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034aef28182876de6f35209176c788c1701e85"/>
    <w:p>
      <w:pPr>
        <w:pStyle w:val="Heading1"/>
      </w:pPr>
      <w:r>
        <w:t xml:space="preserve">Technical Deliverables: Experimental Design, Budget Analysis, and Technology Selection</w:t>
      </w:r>
    </w:p>
    <w:p>
      <w:pPr>
        <w:pStyle w:val="FirstParagraph"/>
      </w:pPr>
      <w:r>
        <w:t xml:space="preserve">This report presents three key deliverables for the research program on microalgae-based treatment of NdFeB magnet manufacturing wastewater: 1) a detailed, importable experimental run plan for the initial screening phase; 2) a sensitivity analysis of the project budget based on critical cost uncertainties; and 3) a weighted decision matrix to guide technology selection based on different regulatory and economic priorities.</w:t>
      </w:r>
    </w:p>
    <w:bookmarkStart w:id="26" w:name="X80214bf387a4e172d15c85d19fad7ae9feddc53"/>
    <w:p>
      <w:pPr>
        <w:pStyle w:val="Heading2"/>
      </w:pPr>
      <w:r>
        <w:t xml:space="preserve">Part 1: JMP/Minitab-Importable DSD Run Order Table</w:t>
      </w:r>
    </w:p>
    <w:bookmarkStart w:id="20" w:name="design-specification"/>
    <w:p>
      <w:pPr>
        <w:pStyle w:val="Heading3"/>
      </w:pPr>
      <w:r>
        <w:t xml:space="preserve">Design Specification</w:t>
      </w:r>
    </w:p>
    <w:p>
      <w:pPr>
        <w:pStyle w:val="FirstParagraph"/>
      </w:pPr>
      <w:r>
        <w:t xml:space="preserve">The initial experimental screening phase will employ a Definitive Screening Design (DSD) to efficiently evaluate seven key factors. This design allows for the identification of significant main effects, two-factor interactions, and quadratic (curvature) effects with a minimal number of runs.</w:t>
      </w:r>
    </w:p>
    <w:p>
      <w:pPr>
        <w:pStyle w:val="Compact"/>
        <w:numPr>
          <w:ilvl w:val="0"/>
          <w:numId w:val="1001"/>
        </w:numPr>
      </w:pPr>
      <w:r>
        <w:rPr>
          <w:b/>
          <w:bCs/>
        </w:rPr>
        <w:t xml:space="preserve">Factors:</w:t>
      </w:r>
      <w:r>
        <w:t xml:space="preserve"> </w:t>
      </w:r>
      <w:r>
        <w:t xml:space="preserve">7 continuous/categorical variables</w:t>
      </w:r>
    </w:p>
    <w:p>
      <w:pPr>
        <w:pStyle w:val="Compact"/>
        <w:numPr>
          <w:ilvl w:val="0"/>
          <w:numId w:val="1001"/>
        </w:numPr>
      </w:pPr>
      <w:r>
        <w:rPr>
          <w:b/>
          <w:bCs/>
        </w:rPr>
        <w:t xml:space="preserve">Base Runs:</w:t>
      </w:r>
      <w:r>
        <w:t xml:space="preserve"> </w:t>
      </w:r>
      <w:r>
        <w:t xml:space="preserve">15 runs per DSD matrix</w:t>
      </w:r>
    </w:p>
    <w:p>
      <w:pPr>
        <w:pStyle w:val="Compact"/>
        <w:numPr>
          <w:ilvl w:val="0"/>
          <w:numId w:val="1001"/>
        </w:numPr>
      </w:pPr>
      <w:r>
        <w:rPr>
          <w:b/>
          <w:bCs/>
        </w:rPr>
        <w:t xml:space="preserve">Blocking Factor:</w:t>
      </w:r>
      <w:r>
        <w:t xml:space="preserve"> </w:t>
      </w:r>
      <w:r>
        <w:t xml:space="preserve">6 microalgae species</w:t>
      </w:r>
    </w:p>
    <w:p>
      <w:pPr>
        <w:pStyle w:val="Compact"/>
        <w:numPr>
          <w:ilvl w:val="0"/>
          <w:numId w:val="1001"/>
        </w:numPr>
      </w:pPr>
      <w:r>
        <w:rPr>
          <w:b/>
          <w:bCs/>
        </w:rPr>
        <w:t xml:space="preserve">Replication:</w:t>
      </w:r>
      <w:r>
        <w:t xml:space="preserve"> </w:t>
      </w:r>
      <w:r>
        <w:t xml:space="preserve">3 full replicates per species</w:t>
      </w:r>
    </w:p>
    <w:p>
      <w:pPr>
        <w:pStyle w:val="Compact"/>
        <w:numPr>
          <w:ilvl w:val="0"/>
          <w:numId w:val="1001"/>
        </w:numPr>
      </w:pPr>
      <w:r>
        <w:rPr>
          <w:b/>
          <w:bCs/>
        </w:rPr>
        <w:t xml:space="preserve">Total Runs:</w:t>
      </w:r>
      <w:r>
        <w:t xml:space="preserve"> </w:t>
      </w:r>
      <w:r>
        <w:t xml:space="preserve">15 runs/replicate × 3 replicates/species × 6 species =</w:t>
      </w:r>
      <w:r>
        <w:t xml:space="preserve"> </w:t>
      </w:r>
      <w:r>
        <w:rPr>
          <w:b/>
          <w:bCs/>
        </w:rPr>
        <w:t xml:space="preserve">270 total experimental runs</w:t>
      </w:r>
    </w:p>
    <w:bookmarkEnd w:id="20"/>
    <w:bookmarkStart w:id="21" w:name="factor-definition-table"/>
    <w:p>
      <w:pPr>
        <w:pStyle w:val="Heading3"/>
      </w:pPr>
      <w:r>
        <w:t xml:space="preserve">Factor Definition Table</w:t>
      </w:r>
    </w:p>
    <w:p>
      <w:pPr>
        <w:pStyle w:val="FirstParagraph"/>
      </w:pPr>
      <w:r>
        <w:t xml:space="preserve">The seven factors have been defined with low (-1), center (0), and high (+1) levels appropriate for screening. For the binary factor 'Fe Pre-removal', the center point (0) is treated as the 'low' level (No).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Factor</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Low (-1)</w:t>
            </w:r>
          </w:p>
        </w:tc>
        <w:tc>
          <w:tcPr/>
          <w:p>
            <w:pPr>
              <w:pStyle w:val="Compact"/>
              <w:jc w:val="left"/>
            </w:pPr>
            <w:r>
              <w:t xml:space="preserve">Center (0)</w:t>
            </w:r>
          </w:p>
        </w:tc>
        <w:tc>
          <w:tcPr/>
          <w:p>
            <w:pPr>
              <w:pStyle w:val="Compact"/>
              <w:jc w:val="left"/>
            </w:pPr>
            <w:r>
              <w:t xml:space="preserve">High (+1)</w:t>
            </w:r>
          </w:p>
        </w:tc>
        <w:tc>
          <w:tcPr/>
          <w:p>
            <w:pPr>
              <w:pStyle w:val="Compact"/>
              <w:jc w:val="left"/>
            </w:pPr>
            <w:r>
              <w:t xml:space="preserve">Units</w:t>
            </w:r>
          </w:p>
        </w:tc>
      </w:tr>
      <w:tr>
        <w:tc>
          <w:tcPr/>
          <w:p>
            <w:pPr>
              <w:pStyle w:val="Compact"/>
              <w:jc w:val="left"/>
            </w:pPr>
            <w:r>
              <w:t xml:space="preserve">A</w:t>
            </w:r>
          </w:p>
        </w:tc>
        <w:tc>
          <w:tcPr/>
          <w:p>
            <w:pPr>
              <w:pStyle w:val="Compact"/>
              <w:jc w:val="left"/>
            </w:pPr>
            <w:r>
              <w:t xml:space="preserve">pH</w:t>
            </w:r>
          </w:p>
        </w:tc>
        <w:tc>
          <w:tcPr/>
          <w:p>
            <w:pPr>
              <w:pStyle w:val="Compact"/>
              <w:jc w:val="left"/>
            </w:pPr>
            <w:r>
              <w:t xml:space="preserve">Continuous</w:t>
            </w:r>
          </w:p>
        </w:tc>
        <w:tc>
          <w:tcPr/>
          <w:p>
            <w:pPr>
              <w:pStyle w:val="Compact"/>
              <w:jc w:val="left"/>
            </w:pPr>
            <w:r>
              <w:t xml:space="preserve">3.0</w:t>
            </w:r>
          </w:p>
        </w:tc>
        <w:tc>
          <w:tcPr/>
          <w:p>
            <w:pPr>
              <w:pStyle w:val="Compact"/>
              <w:jc w:val="left"/>
            </w:pPr>
            <w:r>
              <w:t xml:space="preserve">5.0</w:t>
            </w:r>
          </w:p>
        </w:tc>
        <w:tc>
          <w:tcPr/>
          <w:p>
            <w:pPr>
              <w:pStyle w:val="Compact"/>
              <w:jc w:val="left"/>
            </w:pPr>
            <w:r>
              <w:t xml:space="preserve">7.0</w:t>
            </w:r>
          </w:p>
        </w:tc>
        <w:tc>
          <w:tcPr/>
          <w:p>
            <w:pPr>
              <w:pStyle w:val="Compact"/>
              <w:jc w:val="left"/>
            </w:pPr>
            <w:r>
              <w:t xml:space="preserve">pH units</w:t>
            </w:r>
          </w:p>
        </w:tc>
      </w:tr>
      <w:tr>
        <w:tc>
          <w:tcPr/>
          <w:p>
            <w:pPr>
              <w:pStyle w:val="Compact"/>
              <w:jc w:val="left"/>
            </w:pPr>
            <w:r>
              <w:t xml:space="preserve">B</w:t>
            </w:r>
          </w:p>
        </w:tc>
        <w:tc>
          <w:tcPr/>
          <w:p>
            <w:pPr>
              <w:pStyle w:val="Compact"/>
              <w:jc w:val="left"/>
            </w:pPr>
            <w:r>
              <w:t xml:space="preserve">Leachate Dilution</w:t>
            </w:r>
          </w:p>
        </w:tc>
        <w:tc>
          <w:tcPr/>
          <w:p>
            <w:pPr>
              <w:pStyle w:val="Compact"/>
              <w:jc w:val="left"/>
            </w:pPr>
            <w:r>
              <w:t xml:space="preserve">Continuous</w:t>
            </w:r>
          </w:p>
        </w:tc>
        <w:tc>
          <w:tcPr/>
          <w:p>
            <w:pPr>
              <w:pStyle w:val="Compact"/>
              <w:jc w:val="left"/>
            </w:pPr>
            <w:r>
              <w:t xml:space="preserve">10</w:t>
            </w:r>
          </w:p>
        </w:tc>
        <w:tc>
          <w:tcPr/>
          <w:p>
            <w:pPr>
              <w:pStyle w:val="Compact"/>
              <w:jc w:val="left"/>
            </w:pPr>
            <w:r>
              <w:t xml:space="preserve">55</w:t>
            </w:r>
          </w:p>
        </w:tc>
        <w:tc>
          <w:tcPr/>
          <w:p>
            <w:pPr>
              <w:pStyle w:val="Compact"/>
              <w:jc w:val="left"/>
            </w:pPr>
            <w:r>
              <w:t xml:space="preserve">100</w:t>
            </w:r>
          </w:p>
        </w:tc>
        <w:tc>
          <w:tcPr/>
          <w:p>
            <w:pPr>
              <w:pStyle w:val="Compact"/>
              <w:jc w:val="left"/>
            </w:pPr>
            <w:r>
              <w:t xml:space="preserve">% (v/v)</w:t>
            </w:r>
          </w:p>
        </w:tc>
      </w:tr>
      <w:tr>
        <w:tc>
          <w:tcPr/>
          <w:p>
            <w:pPr>
              <w:pStyle w:val="Compact"/>
              <w:jc w:val="left"/>
            </w:pPr>
            <w:r>
              <w:t xml:space="preserve">C</w:t>
            </w:r>
          </w:p>
        </w:tc>
        <w:tc>
          <w:tcPr/>
          <w:p>
            <w:pPr>
              <w:pStyle w:val="Compact"/>
              <w:jc w:val="left"/>
            </w:pPr>
            <w:r>
              <w:t xml:space="preserve">Fe Pre-removal</w:t>
            </w:r>
          </w:p>
        </w:tc>
        <w:tc>
          <w:tcPr/>
          <w:p>
            <w:pPr>
              <w:pStyle w:val="Compact"/>
              <w:jc w:val="left"/>
            </w:pPr>
            <w:r>
              <w:t xml:space="preserve">Categorical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Binary</w:t>
            </w:r>
          </w:p>
        </w:tc>
      </w:tr>
      <w:tr>
        <w:tc>
          <w:tcPr/>
          <w:p>
            <w:pPr>
              <w:pStyle w:val="Compact"/>
              <w:jc w:val="left"/>
            </w:pPr>
            <w:r>
              <w:t xml:space="preserve">D</w:t>
            </w:r>
          </w:p>
        </w:tc>
        <w:tc>
          <w:tcPr/>
          <w:p>
            <w:pPr>
              <w:pStyle w:val="Compact"/>
              <w:jc w:val="left"/>
            </w:pPr>
            <w:r>
              <w:t xml:space="preserve">Coolant Conc.</w:t>
            </w:r>
          </w:p>
        </w:tc>
        <w:tc>
          <w:tcPr/>
          <w:p>
            <w:pPr>
              <w:pStyle w:val="Compact"/>
              <w:jc w:val="left"/>
            </w:pPr>
            <w:r>
              <w:t xml:space="preserve">Continuous</w:t>
            </w:r>
          </w:p>
        </w:tc>
        <w:tc>
          <w:tcPr/>
          <w:p>
            <w:pPr>
              <w:pStyle w:val="Compact"/>
              <w:jc w:val="left"/>
            </w:pPr>
            <w:r>
              <w:t xml:space="preserve">0</w:t>
            </w:r>
          </w:p>
        </w:tc>
        <w:tc>
          <w:tcPr/>
          <w:p>
            <w:pPr>
              <w:pStyle w:val="Compact"/>
              <w:jc w:val="left"/>
            </w:pPr>
            <w:r>
              <w:t xml:space="preserve">2.5</w:t>
            </w:r>
          </w:p>
        </w:tc>
        <w:tc>
          <w:tcPr/>
          <w:p>
            <w:pPr>
              <w:pStyle w:val="Compact"/>
              <w:jc w:val="left"/>
            </w:pPr>
            <w:r>
              <w:t xml:space="preserve">5.0</w:t>
            </w:r>
          </w:p>
        </w:tc>
        <w:tc>
          <w:tcPr/>
          <w:p>
            <w:pPr>
              <w:pStyle w:val="Compact"/>
              <w:jc w:val="left"/>
            </w:pPr>
            <w:r>
              <w:t xml:space="preserve">% (v/v)</w:t>
            </w:r>
          </w:p>
        </w:tc>
      </w:tr>
      <w:tr>
        <w:tc>
          <w:tcPr/>
          <w:p>
            <w:pPr>
              <w:pStyle w:val="Compact"/>
              <w:jc w:val="left"/>
            </w:pPr>
            <w:r>
              <w:t xml:space="preserve">E</w:t>
            </w:r>
          </w:p>
        </w:tc>
        <w:tc>
          <w:tcPr/>
          <w:p>
            <w:pPr>
              <w:pStyle w:val="Compact"/>
              <w:jc w:val="left"/>
            </w:pPr>
            <w:r>
              <w:t xml:space="preserve">EDTA Conc.</w:t>
            </w:r>
          </w:p>
        </w:tc>
        <w:tc>
          <w:tcPr/>
          <w:p>
            <w:pPr>
              <w:pStyle w:val="Compact"/>
              <w:jc w:val="left"/>
            </w:pPr>
            <w:r>
              <w:t xml:space="preserve">Continuous</w:t>
            </w:r>
          </w:p>
        </w:tc>
        <w:tc>
          <w:tcPr/>
          <w:p>
            <w:pPr>
              <w:pStyle w:val="Compact"/>
              <w:jc w:val="left"/>
            </w:pPr>
            <w:r>
              <w:t xml:space="preserve">0</w:t>
            </w:r>
          </w:p>
        </w:tc>
        <w:tc>
          <w:tcPr/>
          <w:p>
            <w:pPr>
              <w:pStyle w:val="Compact"/>
              <w:jc w:val="left"/>
            </w:pPr>
            <w:r>
              <w:t xml:space="preserve">0.5</w:t>
            </w:r>
          </w:p>
        </w:tc>
        <w:tc>
          <w:tcPr/>
          <w:p>
            <w:pPr>
              <w:pStyle w:val="Compact"/>
              <w:jc w:val="left"/>
            </w:pPr>
            <w:r>
              <w:t xml:space="preserve">1.0</w:t>
            </w:r>
          </w:p>
        </w:tc>
        <w:tc>
          <w:tcPr/>
          <w:p>
            <w:pPr>
              <w:pStyle w:val="Compact"/>
              <w:jc w:val="left"/>
            </w:pPr>
            <w:r>
              <w:t xml:space="preserve">mM</w:t>
            </w:r>
          </w:p>
        </w:tc>
      </w:tr>
      <w:tr>
        <w:tc>
          <w:tcPr/>
          <w:p>
            <w:pPr>
              <w:pStyle w:val="Compact"/>
              <w:jc w:val="left"/>
            </w:pPr>
            <w:r>
              <w:t xml:space="preserve">F</w:t>
            </w:r>
          </w:p>
        </w:tc>
        <w:tc>
          <w:tcPr/>
          <w:p>
            <w:pPr>
              <w:pStyle w:val="Compact"/>
              <w:jc w:val="left"/>
            </w:pPr>
            <w:r>
              <w:t xml:space="preserve">Biomass Dosage</w:t>
            </w:r>
          </w:p>
        </w:tc>
        <w:tc>
          <w:tcPr/>
          <w:p>
            <w:pPr>
              <w:pStyle w:val="Compact"/>
              <w:jc w:val="left"/>
            </w:pPr>
            <w:r>
              <w:t xml:space="preserve">Continuous</w:t>
            </w:r>
          </w:p>
        </w:tc>
        <w:tc>
          <w:tcPr/>
          <w:p>
            <w:pPr>
              <w:pStyle w:val="Compact"/>
              <w:jc w:val="left"/>
            </w:pPr>
            <w:r>
              <w:t xml:space="preserve">0.5</w:t>
            </w:r>
          </w:p>
        </w:tc>
        <w:tc>
          <w:tcPr/>
          <w:p>
            <w:pPr>
              <w:pStyle w:val="Compact"/>
              <w:jc w:val="left"/>
            </w:pPr>
            <w:r>
              <w:t xml:space="preserve">2.75</w:t>
            </w:r>
          </w:p>
        </w:tc>
        <w:tc>
          <w:tcPr/>
          <w:p>
            <w:pPr>
              <w:pStyle w:val="Compact"/>
              <w:jc w:val="left"/>
            </w:pPr>
            <w:r>
              <w:t xml:space="preserve">5.0</w:t>
            </w:r>
          </w:p>
        </w:tc>
        <w:tc>
          <w:tcPr/>
          <w:p>
            <w:pPr>
              <w:pStyle w:val="Compact"/>
              <w:jc w:val="left"/>
            </w:pPr>
            <w:r>
              <w:t xml:space="preserve">g/L</w:t>
            </w:r>
          </w:p>
        </w:tc>
      </w:tr>
      <w:tr>
        <w:tc>
          <w:tcPr/>
          <w:p>
            <w:pPr>
              <w:pStyle w:val="Compact"/>
              <w:jc w:val="left"/>
            </w:pPr>
            <w:r>
              <w:t xml:space="preserve">G</w:t>
            </w:r>
          </w:p>
        </w:tc>
        <w:tc>
          <w:tcPr/>
          <w:p>
            <w:pPr>
              <w:pStyle w:val="Compact"/>
              <w:jc w:val="left"/>
            </w:pPr>
            <w:r>
              <w:t xml:space="preserve">Contact Time</w:t>
            </w:r>
          </w:p>
        </w:tc>
        <w:tc>
          <w:tcPr/>
          <w:p>
            <w:pPr>
              <w:pStyle w:val="Compact"/>
              <w:jc w:val="left"/>
            </w:pPr>
            <w:r>
              <w:t xml:space="preserve">Continuous</w:t>
            </w:r>
          </w:p>
        </w:tc>
        <w:tc>
          <w:tcPr/>
          <w:p>
            <w:pPr>
              <w:pStyle w:val="Compact"/>
              <w:jc w:val="left"/>
            </w:pPr>
            <w:r>
              <w:t xml:space="preserve">1</w:t>
            </w:r>
          </w:p>
        </w:tc>
        <w:tc>
          <w:tcPr/>
          <w:p>
            <w:pPr>
              <w:pStyle w:val="Compact"/>
              <w:jc w:val="left"/>
            </w:pPr>
            <w:r>
              <w:t xml:space="preserve">12.5</w:t>
            </w:r>
          </w:p>
        </w:tc>
        <w:tc>
          <w:tcPr/>
          <w:p>
            <w:pPr>
              <w:pStyle w:val="Compact"/>
              <w:jc w:val="left"/>
            </w:pPr>
            <w:r>
              <w:t xml:space="preserve">24</w:t>
            </w:r>
          </w:p>
        </w:tc>
        <w:tc>
          <w:tcPr/>
          <w:p>
            <w:pPr>
              <w:pStyle w:val="Compact"/>
              <w:jc w:val="left"/>
            </w:pPr>
            <w:r>
              <w:t xml:space="preserve">hours</w:t>
            </w:r>
          </w:p>
        </w:tc>
      </w:tr>
    </w:tbl>
    <w:bookmarkEnd w:id="21"/>
    <w:bookmarkStart w:id="22" w:name="complete-270-run-table"/>
    <w:p>
      <w:pPr>
        <w:pStyle w:val="Heading3"/>
      </w:pPr>
      <w:r>
        <w:t xml:space="preserve">Complete 270-Run Table</w:t>
      </w:r>
    </w:p>
    <w:p>
      <w:pPr>
        <w:pStyle w:val="FirstParagraph"/>
      </w:pPr>
      <w:r>
        <w:t xml:space="preserve">The following table provides the complete, randomized run order for the 270 experiments. The design is blocked by species, and the run order has been randomized within each of the 18 blocks (6 species × 3 replicates) to mitigate systematic error. This table is formatted for direct import into statistical software like JMP or Minitab as a CSV file.</w:t>
      </w:r>
    </w:p>
    <w:tbl>
      <w:tblPr>
        <w:tblStyle w:val="Table"/>
        <w:tblW w:type="pct" w:w="5000"/>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RunOrder</w:t>
            </w:r>
          </w:p>
        </w:tc>
        <w:tc>
          <w:tcPr/>
          <w:p>
            <w:pPr>
              <w:pStyle w:val="Compact"/>
              <w:jc w:val="left"/>
            </w:pPr>
            <w:r>
              <w:t xml:space="preserve">Block (Species)</w:t>
            </w:r>
          </w:p>
        </w:tc>
        <w:tc>
          <w:tcPr/>
          <w:p>
            <w:pPr>
              <w:pStyle w:val="Compact"/>
              <w:jc w:val="left"/>
            </w:pPr>
            <w:r>
              <w:t xml:space="preserve">Replicate</w:t>
            </w:r>
          </w:p>
        </w:tc>
        <w:tc>
          <w:tcPr/>
          <w:p>
            <w:pPr>
              <w:pStyle w:val="Compact"/>
              <w:jc w:val="left"/>
            </w:pPr>
            <w:r>
              <w:t xml:space="preserve">DSD_Run</w:t>
            </w:r>
          </w:p>
        </w:tc>
        <w:tc>
          <w:tcPr/>
          <w:p>
            <w:pPr>
              <w:pStyle w:val="Compact"/>
              <w:jc w:val="left"/>
            </w:pPr>
            <w:r>
              <w:t xml:space="preserve">A_pH</w:t>
            </w:r>
          </w:p>
        </w:tc>
        <w:tc>
          <w:tcPr/>
          <w:p>
            <w:pPr>
              <w:pStyle w:val="Compact"/>
              <w:jc w:val="left"/>
            </w:pPr>
            <w:r>
              <w:t xml:space="preserve">B_Dilution_pct</w:t>
            </w:r>
          </w:p>
        </w:tc>
        <w:tc>
          <w:tcPr/>
          <w:p>
            <w:pPr>
              <w:pStyle w:val="Compact"/>
              <w:jc w:val="left"/>
            </w:pPr>
            <w:r>
              <w:t xml:space="preserve">C_Fe_Preremoval</w:t>
            </w:r>
          </w:p>
        </w:tc>
        <w:tc>
          <w:tcPr/>
          <w:p>
            <w:pPr>
              <w:pStyle w:val="Compact"/>
              <w:jc w:val="left"/>
            </w:pPr>
            <w:r>
              <w:t xml:space="preserve">D_Coolant_pct</w:t>
            </w:r>
          </w:p>
        </w:tc>
        <w:tc>
          <w:tcPr/>
          <w:p>
            <w:pPr>
              <w:pStyle w:val="Compact"/>
              <w:jc w:val="left"/>
            </w:pPr>
            <w:r>
              <w:t xml:space="preserve">E_EDTA_mM</w:t>
            </w:r>
          </w:p>
        </w:tc>
        <w:tc>
          <w:tcPr/>
          <w:p>
            <w:pPr>
              <w:pStyle w:val="Compact"/>
              <w:jc w:val="left"/>
            </w:pPr>
            <w:r>
              <w:t xml:space="preserve">F_Dosage_gL</w:t>
            </w:r>
          </w:p>
        </w:tc>
        <w:tc>
          <w:tcPr/>
          <w:p>
            <w:pPr>
              <w:pStyle w:val="Compact"/>
              <w:jc w:val="left"/>
            </w:pPr>
            <w:r>
              <w:t xml:space="preserve">G_Time_h</w:t>
            </w:r>
          </w:p>
        </w:tc>
      </w:tr>
      <w:tr>
        <w:tc>
          <w:tcPr/>
          <w:p>
            <w:pPr>
              <w:pStyle w:val="Compact"/>
              <w:jc w:val="left"/>
            </w:pPr>
            <w:r>
              <w:t xml:space="preserve">1</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4</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5</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9</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12</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14</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15</w:t>
            </w:r>
          </w:p>
        </w:tc>
        <w:tc>
          <w:tcPr/>
          <w:p>
            <w:pPr>
              <w:pStyle w:val="Compact"/>
              <w:jc w:val="left"/>
            </w:pPr>
            <w:r>
              <w:t xml:space="preserve">C. vulgaris</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19</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20</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21</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24</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25</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26</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27</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28</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29</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30</w:t>
            </w:r>
          </w:p>
        </w:tc>
        <w:tc>
          <w:tcPr/>
          <w:p>
            <w:pPr>
              <w:pStyle w:val="Compact"/>
              <w:jc w:val="left"/>
            </w:pPr>
            <w:r>
              <w:t xml:space="preserve">C. vulgaris</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31</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32</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33</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34</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35</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36</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37</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38</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39</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40</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41</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42</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43</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44</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45</w:t>
            </w:r>
          </w:p>
        </w:tc>
        <w:tc>
          <w:tcPr/>
          <w:p>
            <w:pPr>
              <w:pStyle w:val="Compact"/>
              <w:jc w:val="left"/>
            </w:pPr>
            <w:r>
              <w:t xml:space="preserve">C. vulgaris</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46</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47</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48</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49</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50</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51</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52</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53</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54</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55</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56</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57</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58</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59</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60</w:t>
            </w:r>
          </w:p>
        </w:tc>
        <w:tc>
          <w:tcPr/>
          <w:p>
            <w:pPr>
              <w:pStyle w:val="Compact"/>
              <w:jc w:val="left"/>
            </w:pPr>
            <w:r>
              <w:t xml:space="preserve">G. sulphuraria</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61</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62</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63</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64</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65</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66</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67</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68</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69</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70</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71</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72</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73</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74</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75</w:t>
            </w:r>
          </w:p>
        </w:tc>
        <w:tc>
          <w:tcPr/>
          <w:p>
            <w:pPr>
              <w:pStyle w:val="Compact"/>
              <w:jc w:val="left"/>
            </w:pPr>
            <w:r>
              <w:t xml:space="preserve">G. sulphuraria</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76</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77</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78</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79</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80</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81</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82</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83</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84</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85</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86</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87</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88</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89</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90</w:t>
            </w:r>
          </w:p>
        </w:tc>
        <w:tc>
          <w:tcPr/>
          <w:p>
            <w:pPr>
              <w:pStyle w:val="Compact"/>
              <w:jc w:val="left"/>
            </w:pPr>
            <w:r>
              <w:t xml:space="preserve">G. sulphuraria</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91</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92</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93</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94</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95</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96</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97</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98</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99</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100</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101</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102</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103</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104</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105</w:t>
            </w:r>
          </w:p>
        </w:tc>
        <w:tc>
          <w:tcPr/>
          <w:p>
            <w:pPr>
              <w:pStyle w:val="Compact"/>
              <w:jc w:val="left"/>
            </w:pPr>
            <w:r>
              <w:t xml:space="preserve">Desmodesmus sp.</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106</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107</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108</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109</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110</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111</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112</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113</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114</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115</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116</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117</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118</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119</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120</w:t>
            </w:r>
          </w:p>
        </w:tc>
        <w:tc>
          <w:tcPr/>
          <w:p>
            <w:pPr>
              <w:pStyle w:val="Compact"/>
              <w:jc w:val="left"/>
            </w:pPr>
            <w:r>
              <w:t xml:space="preserve">Desmodesmus sp.</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121</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122</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123</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124</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125</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126</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127</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128</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129</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130</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131</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132</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133</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134</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135</w:t>
            </w:r>
          </w:p>
        </w:tc>
        <w:tc>
          <w:tcPr/>
          <w:p>
            <w:pPr>
              <w:pStyle w:val="Compact"/>
              <w:jc w:val="left"/>
            </w:pPr>
            <w:r>
              <w:t xml:space="preserve">Desmodesmus sp.</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136</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137</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138</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139</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140</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141</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142</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143</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144</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145</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146</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147</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148</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149</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150</w:t>
            </w:r>
          </w:p>
        </w:tc>
        <w:tc>
          <w:tcPr/>
          <w:p>
            <w:pPr>
              <w:pStyle w:val="Compact"/>
              <w:jc w:val="left"/>
            </w:pPr>
            <w:r>
              <w:t xml:space="preserve">A. platensis</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151</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152</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153</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154</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155</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156</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157</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158</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159</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160</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161</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162</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163</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164</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165</w:t>
            </w:r>
          </w:p>
        </w:tc>
        <w:tc>
          <w:tcPr/>
          <w:p>
            <w:pPr>
              <w:pStyle w:val="Compact"/>
              <w:jc w:val="left"/>
            </w:pPr>
            <w:r>
              <w:t xml:space="preserve">A. platensis</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166</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167</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168</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169</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170</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171</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172</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173</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174</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175</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176</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177</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178</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179</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180</w:t>
            </w:r>
          </w:p>
        </w:tc>
        <w:tc>
          <w:tcPr/>
          <w:p>
            <w:pPr>
              <w:pStyle w:val="Compact"/>
              <w:jc w:val="left"/>
            </w:pPr>
            <w:r>
              <w:t xml:space="preserve">A. platensis</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181</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182</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183</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184</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185</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186</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187</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188</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189</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190</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191</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192</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193</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194</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195</w:t>
            </w:r>
          </w:p>
        </w:tc>
        <w:tc>
          <w:tcPr/>
          <w:p>
            <w:pPr>
              <w:pStyle w:val="Compact"/>
              <w:jc w:val="left"/>
            </w:pPr>
            <w:r>
              <w:t xml:space="preserve">Nostoc sp.</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196</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197</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198</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199</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200</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201</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202</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203</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204</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205</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206</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207</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208</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209</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210</w:t>
            </w:r>
          </w:p>
        </w:tc>
        <w:tc>
          <w:tcPr/>
          <w:p>
            <w:pPr>
              <w:pStyle w:val="Compact"/>
              <w:jc w:val="left"/>
            </w:pPr>
            <w:r>
              <w:t xml:space="preserve">Nostoc sp.</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211</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212</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213</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214</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215</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216</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217</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218</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219</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220</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221</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222</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223</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224</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225</w:t>
            </w:r>
          </w:p>
        </w:tc>
        <w:tc>
          <w:tcPr/>
          <w:p>
            <w:pPr>
              <w:pStyle w:val="Compact"/>
              <w:jc w:val="left"/>
            </w:pPr>
            <w:r>
              <w:t xml:space="preserve">Nostoc sp.</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226</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227</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228</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229</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230</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231</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232</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233</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234</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235</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236</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237</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238</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239</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240</w:t>
            </w:r>
          </w:p>
        </w:tc>
        <w:tc>
          <w:tcPr/>
          <w:p>
            <w:pPr>
              <w:pStyle w:val="Compact"/>
              <w:jc w:val="left"/>
            </w:pPr>
            <w:r>
              <w:t xml:space="preserve">Coccomyxa sp.</w:t>
            </w:r>
          </w:p>
        </w:tc>
        <w:tc>
          <w:tcPr/>
          <w:p>
            <w:pPr>
              <w:pStyle w:val="Compact"/>
              <w:jc w:val="left"/>
            </w:pPr>
            <w:r>
              <w:t xml:space="preserve">1</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241</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242</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243</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244</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245</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246</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247</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248</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249</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250</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251</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252</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253</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254</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255</w:t>
            </w:r>
          </w:p>
        </w:tc>
        <w:tc>
          <w:tcPr/>
          <w:p>
            <w:pPr>
              <w:pStyle w:val="Compact"/>
              <w:jc w:val="left"/>
            </w:pPr>
            <w:r>
              <w:t xml:space="preserve">Coccomyxa sp.</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256</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7</w:t>
            </w:r>
          </w:p>
        </w:tc>
        <w:tc>
          <w:tcPr/>
          <w:p>
            <w:pPr>
              <w:pStyle w:val="Compact"/>
              <w:jc w:val="left"/>
            </w:pPr>
            <w:r>
              <w:t xml:space="preserve">7</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257</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13</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258</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259</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10</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260</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5</w:t>
            </w:r>
          </w:p>
        </w:tc>
        <w:tc>
          <w:tcPr/>
          <w:p>
            <w:pPr>
              <w:pStyle w:val="Compact"/>
              <w:jc w:val="left"/>
            </w:pPr>
            <w:r>
              <w:t xml:space="preserve">7</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1</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261</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12</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r>
        <w:tc>
          <w:tcPr/>
          <w:p>
            <w:pPr>
              <w:pStyle w:val="Compact"/>
              <w:jc w:val="left"/>
            </w:pPr>
            <w:r>
              <w:t xml:space="preserve">262</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263</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10</w:t>
            </w:r>
          </w:p>
        </w:tc>
        <w:tc>
          <w:tcPr/>
          <w:p>
            <w:pPr>
              <w:pStyle w:val="Compact"/>
              <w:jc w:val="left"/>
            </w:pPr>
            <w:r>
              <w:t xml:space="preserve">No</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264</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8</w:t>
            </w:r>
          </w:p>
        </w:tc>
        <w:tc>
          <w:tcPr/>
          <w:p>
            <w:pPr>
              <w:pStyle w:val="Compact"/>
              <w:jc w:val="left"/>
            </w:pPr>
            <w:r>
              <w:t xml:space="preserve">3</w:t>
            </w:r>
          </w:p>
        </w:tc>
        <w:tc>
          <w:tcPr/>
          <w:p>
            <w:pPr>
              <w:pStyle w:val="Compact"/>
              <w:jc w:val="left"/>
            </w:pPr>
            <w:r>
              <w:t xml:space="preserve">10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265</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c>
          <w:tcPr/>
          <w:p>
            <w:pPr>
              <w:pStyle w:val="Compact"/>
              <w:jc w:val="left"/>
            </w:pPr>
            <w:r>
              <w:t xml:space="preserve">10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266</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100</w:t>
            </w:r>
          </w:p>
        </w:tc>
        <w:tc>
          <w:tcPr/>
          <w:p>
            <w:pPr>
              <w:pStyle w:val="Compact"/>
              <w:jc w:val="left"/>
            </w:pPr>
            <w:r>
              <w:t xml:space="preserve">No</w:t>
            </w:r>
          </w:p>
        </w:tc>
        <w:tc>
          <w:tcPr/>
          <w:p>
            <w:pPr>
              <w:pStyle w:val="Compact"/>
              <w:jc w:val="left"/>
            </w:pPr>
            <w:r>
              <w:t xml:space="preserve">5</w:t>
            </w:r>
          </w:p>
        </w:tc>
        <w:tc>
          <w:tcPr/>
          <w:p>
            <w:pPr>
              <w:pStyle w:val="Compact"/>
              <w:jc w:val="left"/>
            </w:pPr>
            <w:r>
              <w:t xml:space="preserve">0</w:t>
            </w:r>
          </w:p>
        </w:tc>
        <w:tc>
          <w:tcPr/>
          <w:p>
            <w:pPr>
              <w:pStyle w:val="Compact"/>
              <w:jc w:val="left"/>
            </w:pPr>
            <w:r>
              <w:t xml:space="preserve">0.5</w:t>
            </w:r>
          </w:p>
        </w:tc>
        <w:tc>
          <w:tcPr/>
          <w:p>
            <w:pPr>
              <w:pStyle w:val="Compact"/>
              <w:jc w:val="left"/>
            </w:pPr>
            <w:r>
              <w:t xml:space="preserve">24</w:t>
            </w:r>
          </w:p>
        </w:tc>
      </w:tr>
      <w:tr>
        <w:tc>
          <w:tcPr/>
          <w:p>
            <w:pPr>
              <w:pStyle w:val="Compact"/>
              <w:jc w:val="left"/>
            </w:pPr>
            <w:r>
              <w:t xml:space="preserve">267</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268</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9</w:t>
            </w:r>
          </w:p>
        </w:tc>
        <w:tc>
          <w:tcPr/>
          <w:p>
            <w:pPr>
              <w:pStyle w:val="Compact"/>
              <w:jc w:val="left"/>
            </w:pPr>
            <w:r>
              <w:t xml:space="preserve">3</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269</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100</w:t>
            </w:r>
          </w:p>
        </w:tc>
        <w:tc>
          <w:tcPr/>
          <w:p>
            <w:pPr>
              <w:pStyle w:val="Compact"/>
              <w:jc w:val="left"/>
            </w:pPr>
            <w:r>
              <w:t xml:space="preserve">Yes</w:t>
            </w:r>
          </w:p>
        </w:tc>
        <w:tc>
          <w:tcPr/>
          <w:p>
            <w:pPr>
              <w:pStyle w:val="Compact"/>
              <w:jc w:val="left"/>
            </w:pPr>
            <w:r>
              <w:t xml:space="preserve">0</w:t>
            </w:r>
          </w:p>
        </w:tc>
        <w:tc>
          <w:tcPr/>
          <w:p>
            <w:pPr>
              <w:pStyle w:val="Compact"/>
              <w:jc w:val="left"/>
            </w:pPr>
            <w:r>
              <w:t xml:space="preserve">0</w:t>
            </w:r>
          </w:p>
        </w:tc>
        <w:tc>
          <w:tcPr/>
          <w:p>
            <w:pPr>
              <w:pStyle w:val="Compact"/>
              <w:jc w:val="left"/>
            </w:pPr>
            <w:r>
              <w:t xml:space="preserve">0.5</w:t>
            </w:r>
          </w:p>
        </w:tc>
        <w:tc>
          <w:tcPr/>
          <w:p>
            <w:pPr>
              <w:pStyle w:val="Compact"/>
              <w:jc w:val="left"/>
            </w:pPr>
            <w:r>
              <w:t xml:space="preserve">1</w:t>
            </w:r>
          </w:p>
        </w:tc>
      </w:tr>
      <w:tr>
        <w:tc>
          <w:tcPr/>
          <w:p>
            <w:pPr>
              <w:pStyle w:val="Compact"/>
              <w:jc w:val="left"/>
            </w:pPr>
            <w:r>
              <w:t xml:space="preserve">270</w:t>
            </w:r>
          </w:p>
        </w:tc>
        <w:tc>
          <w:tcPr/>
          <w:p>
            <w:pPr>
              <w:pStyle w:val="Compact"/>
              <w:jc w:val="left"/>
            </w:pPr>
            <w:r>
              <w:t xml:space="preserve">Coccomyxa sp.</w:t>
            </w:r>
          </w:p>
        </w:tc>
        <w:tc>
          <w:tcPr/>
          <w:p>
            <w:pPr>
              <w:pStyle w:val="Compact"/>
              <w:jc w:val="left"/>
            </w:pPr>
            <w:r>
              <w:t xml:space="preserve">3</w:t>
            </w:r>
          </w:p>
        </w:tc>
        <w:tc>
          <w:tcPr/>
          <w:p>
            <w:pPr>
              <w:pStyle w:val="Compact"/>
              <w:jc w:val="left"/>
            </w:pPr>
            <w:r>
              <w:t xml:space="preserve">11</w:t>
            </w:r>
          </w:p>
        </w:tc>
        <w:tc>
          <w:tcPr/>
          <w:p>
            <w:pPr>
              <w:pStyle w:val="Compact"/>
              <w:jc w:val="left"/>
            </w:pPr>
            <w:r>
              <w:t xml:space="preserve">5</w:t>
            </w:r>
          </w:p>
        </w:tc>
        <w:tc>
          <w:tcPr/>
          <w:p>
            <w:pPr>
              <w:pStyle w:val="Compact"/>
              <w:jc w:val="left"/>
            </w:pPr>
            <w:r>
              <w:t xml:space="preserve">55</w:t>
            </w:r>
          </w:p>
        </w:tc>
        <w:tc>
          <w:tcPr/>
          <w:p>
            <w:pPr>
              <w:pStyle w:val="Compact"/>
              <w:jc w:val="left"/>
            </w:pPr>
            <w:r>
              <w:t xml:space="preserve">No</w:t>
            </w:r>
          </w:p>
        </w:tc>
        <w:tc>
          <w:tcPr/>
          <w:p>
            <w:pPr>
              <w:pStyle w:val="Compact"/>
              <w:jc w:val="left"/>
            </w:pPr>
            <w:r>
              <w:t xml:space="preserve">2.5</w:t>
            </w:r>
          </w:p>
        </w:tc>
        <w:tc>
          <w:tcPr/>
          <w:p>
            <w:pPr>
              <w:pStyle w:val="Compact"/>
              <w:jc w:val="left"/>
            </w:pPr>
            <w:r>
              <w:t xml:space="preserve">0.5</w:t>
            </w:r>
          </w:p>
        </w:tc>
        <w:tc>
          <w:tcPr/>
          <w:p>
            <w:pPr>
              <w:pStyle w:val="Compact"/>
              <w:jc w:val="left"/>
            </w:pPr>
            <w:r>
              <w:t xml:space="preserve">2.75</w:t>
            </w:r>
          </w:p>
        </w:tc>
        <w:tc>
          <w:tcPr/>
          <w:p>
            <w:pPr>
              <w:pStyle w:val="Compact"/>
              <w:jc w:val="left"/>
            </w:pPr>
            <w:r>
              <w:t xml:space="preserve">12.5</w:t>
            </w:r>
          </w:p>
        </w:tc>
      </w:tr>
    </w:tbl>
    <w:bookmarkEnd w:id="22"/>
    <w:bookmarkStart w:id="23" w:name="response-variables"/>
    <w:p>
      <w:pPr>
        <w:pStyle w:val="Heading3"/>
      </w:pPr>
      <w:r>
        <w:t xml:space="preserve">Response Variables</w:t>
      </w:r>
    </w:p>
    <w:p>
      <w:pPr>
        <w:pStyle w:val="FirstParagraph"/>
      </w:pPr>
      <w:r>
        <w:t xml:space="preserve">The primary response variables to be measured for each of the 270 runs include:</w:t>
      </w:r>
    </w:p>
    <w:p>
      <w:pPr>
        <w:pStyle w:val="Compact"/>
        <w:numPr>
          <w:ilvl w:val="0"/>
          <w:numId w:val="1002"/>
        </w:numPr>
      </w:pPr>
      <w:r>
        <w:rPr>
          <w:b/>
          <w:bCs/>
        </w:rPr>
        <w:t xml:space="preserve">Residual Metal Concentrations (mg/L):</w:t>
      </w:r>
      <w:r>
        <w:t xml:space="preserve"> </w:t>
      </w:r>
      <w:r>
        <w:t xml:space="preserve">Fe, B, Co, Cu, Ni, Al, Nd, Dy, Pr (measured by ICP-MS/OES).</w:t>
      </w:r>
    </w:p>
    <w:p>
      <w:pPr>
        <w:pStyle w:val="Compact"/>
        <w:numPr>
          <w:ilvl w:val="0"/>
          <w:numId w:val="1002"/>
        </w:numPr>
      </w:pPr>
      <w:r>
        <w:rPr>
          <w:b/>
          <w:bCs/>
        </w:rPr>
        <w:t xml:space="preserve">Final Process Parameters:</w:t>
      </w:r>
      <w:r>
        <w:t xml:space="preserve"> </w:t>
      </w:r>
      <w:r>
        <w:t xml:space="preserve">Final pH, Final COD.</w:t>
      </w:r>
    </w:p>
    <w:p>
      <w:pPr>
        <w:pStyle w:val="Compact"/>
        <w:numPr>
          <w:ilvl w:val="0"/>
          <w:numId w:val="1002"/>
        </w:numPr>
      </w:pPr>
      <w:r>
        <w:rPr>
          <w:b/>
          <w:bCs/>
        </w:rPr>
        <w:t xml:space="preserve">Biomass Health:</w:t>
      </w:r>
      <w:r>
        <w:t xml:space="preserve"> </w:t>
      </w:r>
      <w:r>
        <w:t xml:space="preserve">Cell viability or equivalent metric for living biomass experiments.</w:t>
      </w:r>
    </w:p>
    <w:bookmarkEnd w:id="23"/>
    <w:bookmarkStart w:id="24" w:name="import-instructions"/>
    <w:p>
      <w:pPr>
        <w:pStyle w:val="Heading3"/>
      </w:pPr>
      <w:r>
        <w:t xml:space="preserve">Import Instructions</w:t>
      </w:r>
    </w:p>
    <w:p>
      <w:pPr>
        <w:pStyle w:val="FirstParagraph"/>
      </w:pPr>
      <w:r>
        <w:t xml:space="preserve">The table above can be saved as a CSV file and imported directly into JMP (</w:t>
      </w:r>
      <w:r>
        <w:rPr>
          <w:rStyle w:val="VerbatimChar"/>
        </w:rPr>
        <w:t xml:space="preserve">File &gt; Open &gt; CSV</w:t>
      </w:r>
      <w:r>
        <w:t xml:space="preserve">) or Minitab (</w:t>
      </w:r>
      <w:r>
        <w:rPr>
          <w:rStyle w:val="VerbatimChar"/>
        </w:rPr>
        <w:t xml:space="preserve">Stat &gt; DOE &gt; Define Custom Design</w:t>
      </w:r>
      <w:r>
        <w:t xml:space="preserve">). Ensure columns are assigned the correct data type (continuous or nominal/categorical) after import.</w:t>
      </w:r>
    </w:p>
    <w:bookmarkEnd w:id="24"/>
    <w:bookmarkStart w:id="25" w:name="quality-control-runs"/>
    <w:p>
      <w:pPr>
        <w:pStyle w:val="Heading3"/>
      </w:pPr>
      <w:r>
        <w:t xml:space="preserve">Quality Control Runs</w:t>
      </w:r>
    </w:p>
    <w:p>
      <w:pPr>
        <w:pStyle w:val="FirstParagraph"/>
      </w:pPr>
      <w:r>
        <w:t xml:space="preserve">In addition to the 270 experimental runs, a set of 24 Quality Control (QC) runs should be interspersed throughout the experiment (4 per block):</w:t>
      </w:r>
    </w:p>
    <w:p>
      <w:pPr>
        <w:pStyle w:val="Compact"/>
        <w:numPr>
          <w:ilvl w:val="0"/>
          <w:numId w:val="1003"/>
        </w:numPr>
      </w:pPr>
      <w:r>
        <w:rPr>
          <w:b/>
          <w:bCs/>
        </w:rPr>
        <w:t xml:space="preserve">2 Blanks:</w:t>
      </w:r>
      <w:r>
        <w:t xml:space="preserve"> </w:t>
      </w:r>
      <w:r>
        <w:t xml:space="preserve">Leachate matrix without biomass to assess abiotic precipitation.</w:t>
      </w:r>
    </w:p>
    <w:p>
      <w:pPr>
        <w:pStyle w:val="Compact"/>
        <w:numPr>
          <w:ilvl w:val="0"/>
          <w:numId w:val="1003"/>
        </w:numPr>
      </w:pPr>
      <w:r>
        <w:rPr>
          <w:b/>
          <w:bCs/>
        </w:rPr>
        <w:t xml:space="preserve">1 Spike:</w:t>
      </w:r>
      <w:r>
        <w:t xml:space="preserve"> </w:t>
      </w:r>
      <w:r>
        <w:t xml:space="preserve">Leachate matrix with biomass, spiked with a known concentration of key metals to assess matrix interference and recovery.</w:t>
      </w:r>
    </w:p>
    <w:p>
      <w:pPr>
        <w:pStyle w:val="Compact"/>
        <w:numPr>
          <w:ilvl w:val="0"/>
          <w:numId w:val="1003"/>
        </w:numPr>
      </w:pPr>
      <w:r>
        <w:rPr>
          <w:b/>
          <w:bCs/>
        </w:rPr>
        <w:t xml:space="preserve">1 Duplicate:</w:t>
      </w:r>
      <w:r>
        <w:t xml:space="preserve"> </w:t>
      </w:r>
      <w:r>
        <w:t xml:space="preserve">An exact repeat of a randomly chosen DSD run within the block to assess reproducibility.</w:t>
      </w:r>
      <w:r>
        <w:t xml:space="preserve"> </w:t>
      </w:r>
      <w:r>
        <w:t xml:space="preserve">This brings the total number of analytical runs for Stage 1 to 294.</w:t>
      </w:r>
    </w:p>
    <w:bookmarkEnd w:id="25"/>
    <w:bookmarkEnd w:id="26"/>
    <w:bookmarkStart w:id="32" w:name="part-2-budget-sensitivity-analysis"/>
    <w:p>
      <w:pPr>
        <w:pStyle w:val="Heading2"/>
      </w:pPr>
      <w:r>
        <w:t xml:space="preserve">Part 2: Budget Sensitivity Analysis</w:t>
      </w:r>
    </w:p>
    <w:p>
      <w:pPr>
        <w:pStyle w:val="FirstParagraph"/>
      </w:pPr>
      <w:r>
        <w:t xml:space="preserve">This analysis examines the sensitivity of the $2.27M baseline project budget to two critical variables: the sourcing strategy for ICP-MS analysis and the final classification of the generated biomass sludge.</w:t>
      </w:r>
    </w:p>
    <w:bookmarkStart w:id="27" w:name="baseline-budget-breakdown"/>
    <w:p>
      <w:pPr>
        <w:pStyle w:val="Heading3"/>
      </w:pPr>
      <w:r>
        <w:t xml:space="preserve">Baseline Budget Breakdown</w:t>
      </w:r>
    </w:p>
    <w:p>
      <w:pPr>
        <w:pStyle w:val="FirstParagraph"/>
      </w:pPr>
      <w:r>
        <w:t xml:space="preserve">The estimated baseline budget of $2.27M is allocated as follows (based on the previous report's analysis):</w:t>
      </w:r>
    </w:p>
    <w:p>
      <w:pPr>
        <w:pStyle w:val="Compact"/>
        <w:numPr>
          <w:ilvl w:val="0"/>
          <w:numId w:val="1004"/>
        </w:numPr>
      </w:pPr>
      <w:r>
        <w:rPr>
          <w:b/>
          <w:bCs/>
        </w:rPr>
        <w:t xml:space="preserve">Personnel (2 FTE for 24 months):</w:t>
      </w:r>
      <w:r>
        <w:t xml:space="preserve"> </w:t>
      </w:r>
      <w:r>
        <w:t xml:space="preserve">$480,000</w:t>
      </w:r>
    </w:p>
    <w:p>
      <w:pPr>
        <w:pStyle w:val="Compact"/>
        <w:numPr>
          <w:ilvl w:val="0"/>
          <w:numId w:val="1004"/>
        </w:numPr>
      </w:pPr>
      <w:r>
        <w:rPr>
          <w:b/>
          <w:bCs/>
        </w:rPr>
        <w:t xml:space="preserve">Laboratory Consumables &amp; Reagents:</w:t>
      </w:r>
      <w:r>
        <w:t xml:space="preserve"> </w:t>
      </w:r>
      <w:r>
        <w:t xml:space="preserve">$250,000</w:t>
      </w:r>
    </w:p>
    <w:p>
      <w:pPr>
        <w:pStyle w:val="Compact"/>
        <w:numPr>
          <w:ilvl w:val="0"/>
          <w:numId w:val="1004"/>
        </w:numPr>
      </w:pPr>
      <w:r>
        <w:rPr>
          <w:b/>
          <w:bCs/>
        </w:rPr>
        <w:t xml:space="preserve">Capital Equipment (Pilot Reactor, etc.):</w:t>
      </w:r>
      <w:r>
        <w:t xml:space="preserve"> </w:t>
      </w:r>
      <w:r>
        <w:t xml:space="preserve">$250,000</w:t>
      </w:r>
    </w:p>
    <w:p>
      <w:pPr>
        <w:pStyle w:val="Compact"/>
        <w:numPr>
          <w:ilvl w:val="0"/>
          <w:numId w:val="1004"/>
        </w:numPr>
      </w:pPr>
      <w:r>
        <w:rPr>
          <w:b/>
          <w:bCs/>
        </w:rPr>
        <w:t xml:space="preserve">Analytical Costs (Baseline: Outsourced):</w:t>
      </w:r>
      <w:r>
        <w:t xml:space="preserve"> </w:t>
      </w:r>
      <w:r>
        <w:t xml:space="preserve">$990,000 (3,000 samples @ $330/sample avg.)</w:t>
      </w:r>
    </w:p>
    <w:p>
      <w:pPr>
        <w:pStyle w:val="Compact"/>
        <w:numPr>
          <w:ilvl w:val="0"/>
          <w:numId w:val="1004"/>
        </w:numPr>
      </w:pPr>
      <w:r>
        <w:rPr>
          <w:b/>
          <w:bCs/>
        </w:rPr>
        <w:t xml:space="preserve">Waste Disposal (Baseline: Hazardous):</w:t>
      </w:r>
      <w:r>
        <w:t xml:space="preserve"> </w:t>
      </w:r>
      <w:r>
        <w:t xml:space="preserve">$40,000 (0.1 tons @ $400/ton + fees)</w:t>
      </w:r>
    </w:p>
    <w:p>
      <w:pPr>
        <w:pStyle w:val="Compact"/>
        <w:numPr>
          <w:ilvl w:val="0"/>
          <w:numId w:val="1004"/>
        </w:numPr>
      </w:pPr>
      <w:r>
        <w:rPr>
          <w:b/>
          <w:bCs/>
        </w:rPr>
        <w:t xml:space="preserve">Overhead/Indirect Costs (40%):</w:t>
      </w:r>
      <w:r>
        <w:t xml:space="preserve"> </w:t>
      </w:r>
      <w:r>
        <w:t xml:space="preserve">$804,000</w:t>
      </w:r>
    </w:p>
    <w:p>
      <w:pPr>
        <w:pStyle w:val="Compact"/>
        <w:numPr>
          <w:ilvl w:val="0"/>
          <w:numId w:val="1004"/>
        </w:numPr>
      </w:pPr>
      <w:r>
        <w:rPr>
          <w:b/>
          <w:bCs/>
        </w:rPr>
        <w:t xml:space="preserve">Total:</w:t>
      </w:r>
      <w:r>
        <w:t xml:space="preserve"> </w:t>
      </w:r>
      <w:r>
        <w:rPr>
          <w:b/>
          <w:bCs/>
        </w:rPr>
        <w:t xml:space="preserve">$2,814,000</w:t>
      </w:r>
      <w:r>
        <w:t xml:space="preserve"> </w:t>
      </w:r>
      <w:r>
        <w:t xml:space="preserve">(Note: The baseline is re-calculated here based on updated assumptions for clarity.)</w:t>
      </w:r>
    </w:p>
    <w:bookmarkEnd w:id="27"/>
    <w:bookmarkStart w:id="28" w:name="icp-ms-sourcing-scenarios"/>
    <w:p>
      <w:pPr>
        <w:pStyle w:val="Heading3"/>
      </w:pPr>
      <w:r>
        <w:t xml:space="preserve">ICP-MS Sourcing Scenarios</w:t>
      </w:r>
    </w:p>
    <w:p>
      <w:pPr>
        <w:pStyle w:val="FirstParagraph"/>
      </w:pPr>
      <w:r>
        <w:t xml:space="preserve">The total analytical cost is a major budget driver. We assume a total of 3,000 samples over the 24-month project.</w:t>
      </w:r>
    </w:p>
    <w:p>
      <w:pPr>
        <w:numPr>
          <w:ilvl w:val="0"/>
          <w:numId w:val="1005"/>
        </w:numPr>
      </w:pPr>
      <w:r>
        <w:rPr>
          <w:b/>
          <w:bCs/>
        </w:rPr>
        <w:t xml:space="preserve">Scenario A: Fully Outsourced:</w:t>
      </w:r>
      <w:r>
        <w:t xml:space="preserve"> </w:t>
      </w:r>
      <w:r>
        <w:t xml:space="preserve">Analysis is performed by an external commercial lab.</w:t>
      </w:r>
    </w:p>
    <w:p>
      <w:pPr>
        <w:pStyle w:val="Compact"/>
        <w:numPr>
          <w:ilvl w:val="1"/>
          <w:numId w:val="1006"/>
        </w:numPr>
      </w:pPr>
      <w:r>
        <w:t xml:space="preserve">Cost per sample: $65 - $165 (average $115) per sample.</w:t>
      </w:r>
    </w:p>
    <w:p>
      <w:pPr>
        <w:pStyle w:val="Compact"/>
        <w:numPr>
          <w:ilvl w:val="1"/>
          <w:numId w:val="1006"/>
        </w:numPr>
      </w:pPr>
      <w:r>
        <w:t xml:space="preserve">Total Cost: 3,000 samples * $115/sample =</w:t>
      </w:r>
      <w:r>
        <w:t xml:space="preserve"> </w:t>
      </w:r>
      <w:r>
        <w:rPr>
          <w:b/>
          <w:bCs/>
        </w:rPr>
        <w:t xml:space="preserve">$345,000</w:t>
      </w:r>
    </w:p>
    <w:p>
      <w:pPr>
        <w:numPr>
          <w:ilvl w:val="0"/>
          <w:numId w:val="1006"/>
        </w:numPr>
      </w:pPr>
      <w:r>
        <w:rPr>
          <w:b/>
          <w:bCs/>
        </w:rPr>
        <w:t xml:space="preserve">Scenario B: In-House ICP-MS:</w:t>
      </w:r>
      <w:r>
        <w:t xml:space="preserve"> </w:t>
      </w:r>
      <w:r>
        <w:t xml:space="preserve">A mid-range instrument is purchased and operated internally.</w:t>
      </w:r>
    </w:p>
    <w:p>
      <w:pPr>
        <w:pStyle w:val="Compact"/>
        <w:numPr>
          <w:ilvl w:val="1"/>
          <w:numId w:val="1007"/>
        </w:numPr>
      </w:pPr>
      <w:r>
        <w:t xml:space="preserve">Capital Cost: ~$250,000 - $350,000 (average $300,000).</w:t>
      </w:r>
    </w:p>
    <w:p>
      <w:pPr>
        <w:pStyle w:val="Compact"/>
        <w:numPr>
          <w:ilvl w:val="1"/>
          <w:numId w:val="1007"/>
        </w:numPr>
      </w:pPr>
      <w:r>
        <w:t xml:space="preserve">Annual Operating Cost (Service, Gas, Consumables): 20-30% of capital, or ~$75,000/year. Total for 2 years = $150,000.</w:t>
      </w:r>
    </w:p>
    <w:p>
      <w:pPr>
        <w:pStyle w:val="Compact"/>
        <w:numPr>
          <w:ilvl w:val="1"/>
          <w:numId w:val="1007"/>
        </w:numPr>
      </w:pPr>
      <w:r>
        <w:t xml:space="preserve">Per-Sample Cost: ~$15 - $30 (average $22.50).</w:t>
      </w:r>
    </w:p>
    <w:p>
      <w:pPr>
        <w:pStyle w:val="Compact"/>
        <w:numPr>
          <w:ilvl w:val="1"/>
          <w:numId w:val="1007"/>
        </w:numPr>
      </w:pPr>
      <w:r>
        <w:t xml:space="preserve">Total Cost: $300,000 (CAPEX) + $150,000 (Annual) + (3,000 samples * $22.50/sample) =</w:t>
      </w:r>
      <w:r>
        <w:t xml:space="preserve"> </w:t>
      </w:r>
      <w:r>
        <w:rPr>
          <w:b/>
          <w:bCs/>
        </w:rPr>
        <w:t xml:space="preserve">$517,500</w:t>
      </w:r>
    </w:p>
    <w:p>
      <w:pPr>
        <w:numPr>
          <w:ilvl w:val="0"/>
          <w:numId w:val="1007"/>
        </w:numPr>
      </w:pPr>
      <w:r>
        <w:rPr>
          <w:b/>
          <w:bCs/>
        </w:rPr>
        <w:t xml:space="preserve">Scenario C: Shared University Facility:</w:t>
      </w:r>
      <w:r>
        <w:t xml:space="preserve"> </w:t>
      </w:r>
      <w:r>
        <w:t xml:space="preserve">Analysis is performed using a university core facility.</w:t>
      </w:r>
    </w:p>
    <w:p>
      <w:pPr>
        <w:pStyle w:val="Compact"/>
        <w:numPr>
          <w:ilvl w:val="1"/>
          <w:numId w:val="1008"/>
        </w:numPr>
      </w:pPr>
      <w:r>
        <w:t xml:space="preserve">Cost per sample: $81 - $150 per hour, or per-sample rates ranging from ~$60 to $200 for external academics. Assume an average of</w:t>
      </w:r>
      <w:r>
        <w:t xml:space="preserve"> </w:t>
      </w:r>
      <w:r>
        <w:rPr>
          <w:b/>
          <w:bCs/>
        </w:rPr>
        <w:t xml:space="preserve">$100/sample</w:t>
      </w:r>
      <w:r>
        <w:t xml:space="preserve">.</w:t>
      </w:r>
    </w:p>
    <w:p>
      <w:pPr>
        <w:pStyle w:val="Compact"/>
        <w:numPr>
          <w:ilvl w:val="1"/>
          <w:numId w:val="1008"/>
        </w:numPr>
      </w:pPr>
      <w:r>
        <w:t xml:space="preserve">Total Cost: 3,000 samples * $100/sample =</w:t>
      </w:r>
      <w:r>
        <w:t xml:space="preserve"> </w:t>
      </w:r>
      <w:r>
        <w:rPr>
          <w:b/>
          <w:bCs/>
        </w:rPr>
        <w:t xml:space="preserve">$300,000</w:t>
      </w:r>
    </w:p>
    <w:p>
      <w:pPr>
        <w:pStyle w:val="FirstParagraph"/>
      </w:pPr>
      <w:r>
        <w:rPr>
          <w:b/>
          <w:bCs/>
        </w:rPr>
        <w:t xml:space="preserve">Break-Even Analysis:</w:t>
      </w:r>
      <w:r>
        <w:t xml:space="preserve"> </w:t>
      </w:r>
      <w:r>
        <w:t xml:space="preserve">The primary trade-off is between the high capital cost of an in-house instrument and the higher per-sample cost of outsourcing. The break-even point where the total cost of Scenario B (In-House) equals Scenario C (Shared Facility) is approximately</w:t>
      </w:r>
      <w:r>
        <w:t xml:space="preserve"> </w:t>
      </w:r>
      <w:r>
        <w:rPr>
          <w:b/>
          <w:bCs/>
        </w:rPr>
        <w:t xml:space="preserve">2,833 samples</w:t>
      </w:r>
      <w:r>
        <w:t xml:space="preserve">. Given the projected 3,000 samples, purchasing an instrument is slightly more expensive over the project lifetime but provides greater flexibility and faster turnaround times.</w:t>
      </w:r>
    </w:p>
    <w:bookmarkEnd w:id="28"/>
    <w:bookmarkStart w:id="29" w:name="sludge-classification-scenarios"/>
    <w:p>
      <w:pPr>
        <w:pStyle w:val="Heading3"/>
      </w:pPr>
      <w:r>
        <w:t xml:space="preserve">Sludge Classification Scenarios</w:t>
      </w:r>
    </w:p>
    <w:p>
      <w:pPr>
        <w:pStyle w:val="FirstParagraph"/>
      </w:pPr>
      <w:r>
        <w:t xml:space="preserve">Based on a pilot-scale run generating an estimated 0.1 tons of dry, metal-laden biomass.</w:t>
      </w:r>
    </w:p>
    <w:p>
      <w:pPr>
        <w:numPr>
          <w:ilvl w:val="0"/>
          <w:numId w:val="1009"/>
        </w:numPr>
      </w:pPr>
      <w:r>
        <w:rPr>
          <w:b/>
          <w:bCs/>
        </w:rPr>
        <w:t xml:space="preserve">Scenario X: Hazardous Waste:</w:t>
      </w:r>
      <w:r>
        <w:t xml:space="preserve"> </w:t>
      </w:r>
      <w:r>
        <w:t xml:space="preserve">The biomass fails TCLP tests and must be disposed of at a licensed facility.</w:t>
      </w:r>
    </w:p>
    <w:p>
      <w:pPr>
        <w:pStyle w:val="Compact"/>
        <w:numPr>
          <w:ilvl w:val="1"/>
          <w:numId w:val="1010"/>
        </w:numPr>
      </w:pPr>
      <w:r>
        <w:t xml:space="preserve">Cost per ton: $300 - $800 (average $550).</w:t>
      </w:r>
    </w:p>
    <w:p>
      <w:pPr>
        <w:pStyle w:val="Compact"/>
        <w:numPr>
          <w:ilvl w:val="1"/>
          <w:numId w:val="1010"/>
        </w:numPr>
      </w:pPr>
      <w:r>
        <w:t xml:space="preserve">Total Cost: 0.1 tons * $550/ton + fees =</w:t>
      </w:r>
      <w:r>
        <w:t xml:space="preserve"> </w:t>
      </w:r>
      <w:r>
        <w:rPr>
          <w:b/>
          <w:bCs/>
        </w:rPr>
        <w:t xml:space="preserve">~$1,500</w:t>
      </w:r>
    </w:p>
    <w:p>
      <w:pPr>
        <w:numPr>
          <w:ilvl w:val="0"/>
          <w:numId w:val="1010"/>
        </w:numPr>
      </w:pPr>
      <w:r>
        <w:rPr>
          <w:b/>
          <w:bCs/>
        </w:rPr>
        <w:t xml:space="preserve">Scenario Y: Non-Hazardous Waste:</w:t>
      </w:r>
      <w:r>
        <w:t xml:space="preserve"> </w:t>
      </w:r>
      <w:r>
        <w:t xml:space="preserve">The biomass passes TCLP tests and can be disposed of in a standard industrial landfill.</w:t>
      </w:r>
    </w:p>
    <w:p>
      <w:pPr>
        <w:pStyle w:val="Compact"/>
        <w:numPr>
          <w:ilvl w:val="1"/>
          <w:numId w:val="1011"/>
        </w:numPr>
      </w:pPr>
      <w:r>
        <w:t xml:space="preserve">Cost per ton: $50 - $150 (average $100).</w:t>
      </w:r>
    </w:p>
    <w:p>
      <w:pPr>
        <w:pStyle w:val="Compact"/>
        <w:numPr>
          <w:ilvl w:val="1"/>
          <w:numId w:val="1011"/>
        </w:numPr>
      </w:pPr>
      <w:r>
        <w:t xml:space="preserve">Total Cost: 0.1 tons * $100/ton + fees =</w:t>
      </w:r>
      <w:r>
        <w:t xml:space="preserve"> </w:t>
      </w:r>
      <w:r>
        <w:rPr>
          <w:b/>
          <w:bCs/>
        </w:rPr>
        <w:t xml:space="preserve">~$1,000</w:t>
      </w:r>
    </w:p>
    <w:bookmarkEnd w:id="29"/>
    <w:bookmarkStart w:id="30" w:name="combined-sensitivity-matrix"/>
    <w:p>
      <w:pPr>
        <w:pStyle w:val="Heading3"/>
      </w:pPr>
      <w:r>
        <w:t xml:space="preserve">Combined Sensitivity Matrix</w:t>
      </w:r>
    </w:p>
    <w:p>
      <w:pPr>
        <w:pStyle w:val="FirstParagraph"/>
      </w:pPr>
      <w:r>
        <w:t xml:space="preserve">The following matrix shows the total estimated project budget under all six scenarios. The baseline is Scenario A-X (Outsourced Analytics, Hazardous Sludge).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ICP-MS Sourcing</w:t>
            </w:r>
          </w:p>
        </w:tc>
        <w:tc>
          <w:tcPr/>
          <w:p>
            <w:pPr>
              <w:pStyle w:val="Compact"/>
              <w:jc w:val="left"/>
            </w:pPr>
            <w:r>
              <w:t xml:space="preserve">Sludge Classification</w:t>
            </w:r>
          </w:p>
        </w:tc>
        <w:tc>
          <w:tcPr/>
          <w:p>
            <w:pPr>
              <w:pStyle w:val="Compact"/>
              <w:jc w:val="left"/>
            </w:pPr>
            <w:r>
              <w:t xml:space="preserve">Total Analytical Cost</w:t>
            </w:r>
          </w:p>
        </w:tc>
        <w:tc>
          <w:tcPr/>
          <w:p>
            <w:pPr>
              <w:pStyle w:val="Compact"/>
              <w:jc w:val="left"/>
            </w:pPr>
            <w:r>
              <w:t xml:space="preserve">Total Disposal Cost</w:t>
            </w:r>
          </w:p>
        </w:tc>
        <w:tc>
          <w:tcPr/>
          <w:p>
            <w:pPr>
              <w:pStyle w:val="Compact"/>
              <w:jc w:val="left"/>
            </w:pPr>
            <w:r>
              <w:t xml:space="preserve">Total Project Budget</w:t>
            </w:r>
          </w:p>
        </w:tc>
        <w:tc>
          <w:tcPr/>
          <w:p>
            <w:pPr>
              <w:pStyle w:val="Compact"/>
              <w:jc w:val="left"/>
            </w:pPr>
            <w:r>
              <w:t xml:space="preserve">% Change from Baseline</w:t>
            </w:r>
          </w:p>
        </w:tc>
      </w:tr>
      <w:tr>
        <w:tc>
          <w:tcPr/>
          <w:p>
            <w:pPr>
              <w:pStyle w:val="Compact"/>
              <w:jc w:val="left"/>
            </w:pPr>
            <w:r>
              <w:rPr>
                <w:b/>
                <w:bCs/>
              </w:rPr>
              <w:t xml:space="preserve">A-X (Baseline)</w:t>
            </w:r>
          </w:p>
        </w:tc>
        <w:tc>
          <w:tcPr/>
          <w:p>
            <w:pPr>
              <w:pStyle w:val="Compact"/>
              <w:jc w:val="left"/>
            </w:pPr>
            <w:r>
              <w:t xml:space="preserve">Outsourced</w:t>
            </w:r>
          </w:p>
        </w:tc>
        <w:tc>
          <w:tcPr/>
          <w:p>
            <w:pPr>
              <w:pStyle w:val="Compact"/>
              <w:jc w:val="left"/>
            </w:pPr>
            <w:r>
              <w:t xml:space="preserve">Hazardous</w:t>
            </w:r>
          </w:p>
        </w:tc>
        <w:tc>
          <w:tcPr/>
          <w:p>
            <w:pPr>
              <w:pStyle w:val="Compact"/>
              <w:jc w:val="left"/>
            </w:pPr>
            <w:r>
              <w:t xml:space="preserve">$345,000</w:t>
            </w:r>
          </w:p>
        </w:tc>
        <w:tc>
          <w:tcPr/>
          <w:p>
            <w:pPr>
              <w:pStyle w:val="Compact"/>
              <w:jc w:val="left"/>
            </w:pPr>
            <w:r>
              <w:t xml:space="preserve">$1,500</w:t>
            </w:r>
          </w:p>
        </w:tc>
        <w:tc>
          <w:tcPr/>
          <w:p>
            <w:pPr>
              <w:pStyle w:val="Compact"/>
              <w:jc w:val="left"/>
            </w:pPr>
            <w:r>
              <w:rPr>
                <w:b/>
                <w:bCs/>
              </w:rPr>
              <w:t xml:space="preserve">$2,284,100</w:t>
            </w:r>
          </w:p>
        </w:tc>
        <w:tc>
          <w:tcPr/>
          <w:p>
            <w:pPr>
              <w:pStyle w:val="Compact"/>
              <w:jc w:val="left"/>
            </w:pPr>
            <w:r>
              <w:t xml:space="preserve">0.0%</w:t>
            </w:r>
          </w:p>
        </w:tc>
      </w:tr>
      <w:tr>
        <w:tc>
          <w:tcPr/>
          <w:p>
            <w:pPr>
              <w:pStyle w:val="Compact"/>
              <w:jc w:val="left"/>
            </w:pPr>
            <w:r>
              <w:rPr>
                <w:b/>
                <w:bCs/>
              </w:rPr>
              <w:t xml:space="preserve">A-Y</w:t>
            </w:r>
          </w:p>
        </w:tc>
        <w:tc>
          <w:tcPr/>
          <w:p>
            <w:pPr>
              <w:pStyle w:val="Compact"/>
              <w:jc w:val="left"/>
            </w:pPr>
            <w:r>
              <w:t xml:space="preserve">Outsourced</w:t>
            </w:r>
          </w:p>
        </w:tc>
        <w:tc>
          <w:tcPr/>
          <w:p>
            <w:pPr>
              <w:pStyle w:val="Compact"/>
              <w:jc w:val="left"/>
            </w:pPr>
            <w:r>
              <w:t xml:space="preserve">Non-Hazardous</w:t>
            </w:r>
          </w:p>
        </w:tc>
        <w:tc>
          <w:tcPr/>
          <w:p>
            <w:pPr>
              <w:pStyle w:val="Compact"/>
              <w:jc w:val="left"/>
            </w:pPr>
            <w:r>
              <w:t xml:space="preserve">$345,000</w:t>
            </w:r>
          </w:p>
        </w:tc>
        <w:tc>
          <w:tcPr/>
          <w:p>
            <w:pPr>
              <w:pStyle w:val="Compact"/>
              <w:jc w:val="left"/>
            </w:pPr>
            <w:r>
              <w:t xml:space="preserve">$1,000</w:t>
            </w:r>
          </w:p>
        </w:tc>
        <w:tc>
          <w:tcPr/>
          <w:p>
            <w:pPr>
              <w:pStyle w:val="Compact"/>
              <w:jc w:val="left"/>
            </w:pPr>
            <w:r>
              <w:rPr>
                <w:b/>
                <w:bCs/>
              </w:rPr>
              <w:t xml:space="preserve">$2,283,400</w:t>
            </w:r>
          </w:p>
        </w:tc>
        <w:tc>
          <w:tcPr/>
          <w:p>
            <w:pPr>
              <w:pStyle w:val="Compact"/>
              <w:jc w:val="left"/>
            </w:pPr>
            <w:r>
              <w:t xml:space="preserve">-0.03%</w:t>
            </w:r>
          </w:p>
        </w:tc>
      </w:tr>
      <w:tr>
        <w:tc>
          <w:tcPr/>
          <w:p>
            <w:pPr>
              <w:pStyle w:val="Compact"/>
              <w:jc w:val="left"/>
            </w:pPr>
            <w:r>
              <w:rPr>
                <w:b/>
                <w:bCs/>
              </w:rPr>
              <w:t xml:space="preserve">B-X</w:t>
            </w:r>
          </w:p>
        </w:tc>
        <w:tc>
          <w:tcPr/>
          <w:p>
            <w:pPr>
              <w:pStyle w:val="Compact"/>
              <w:jc w:val="left"/>
            </w:pPr>
            <w:r>
              <w:t xml:space="preserve">In-House</w:t>
            </w:r>
          </w:p>
        </w:tc>
        <w:tc>
          <w:tcPr/>
          <w:p>
            <w:pPr>
              <w:pStyle w:val="Compact"/>
              <w:jc w:val="left"/>
            </w:pPr>
            <w:r>
              <w:t xml:space="preserve">Hazardous</w:t>
            </w:r>
          </w:p>
        </w:tc>
        <w:tc>
          <w:tcPr/>
          <w:p>
            <w:pPr>
              <w:pStyle w:val="Compact"/>
              <w:jc w:val="left"/>
            </w:pPr>
            <w:r>
              <w:t xml:space="preserve">$517,500</w:t>
            </w:r>
          </w:p>
        </w:tc>
        <w:tc>
          <w:tcPr/>
          <w:p>
            <w:pPr>
              <w:pStyle w:val="Compact"/>
              <w:jc w:val="left"/>
            </w:pPr>
            <w:r>
              <w:t xml:space="preserve">$1,500</w:t>
            </w:r>
          </w:p>
        </w:tc>
        <w:tc>
          <w:tcPr/>
          <w:p>
            <w:pPr>
              <w:pStyle w:val="Compact"/>
              <w:jc w:val="left"/>
            </w:pPr>
            <w:r>
              <w:rPr>
                <w:b/>
                <w:bCs/>
              </w:rPr>
              <w:t xml:space="preserve">$2,525,100</w:t>
            </w:r>
          </w:p>
        </w:tc>
        <w:tc>
          <w:tcPr/>
          <w:p>
            <w:pPr>
              <w:pStyle w:val="Compact"/>
              <w:jc w:val="left"/>
            </w:pPr>
            <w:r>
              <w:t xml:space="preserve">+10.5%</w:t>
            </w:r>
          </w:p>
        </w:tc>
      </w:tr>
      <w:tr>
        <w:tc>
          <w:tcPr/>
          <w:p>
            <w:pPr>
              <w:pStyle w:val="Compact"/>
              <w:jc w:val="left"/>
            </w:pPr>
            <w:r>
              <w:rPr>
                <w:b/>
                <w:bCs/>
              </w:rPr>
              <w:t xml:space="preserve">B-Y</w:t>
            </w:r>
          </w:p>
        </w:tc>
        <w:tc>
          <w:tcPr/>
          <w:p>
            <w:pPr>
              <w:pStyle w:val="Compact"/>
              <w:jc w:val="left"/>
            </w:pPr>
            <w:r>
              <w:t xml:space="preserve">In-House</w:t>
            </w:r>
          </w:p>
        </w:tc>
        <w:tc>
          <w:tcPr/>
          <w:p>
            <w:pPr>
              <w:pStyle w:val="Compact"/>
              <w:jc w:val="left"/>
            </w:pPr>
            <w:r>
              <w:t xml:space="preserve">Non-Hazardous</w:t>
            </w:r>
          </w:p>
        </w:tc>
        <w:tc>
          <w:tcPr/>
          <w:p>
            <w:pPr>
              <w:pStyle w:val="Compact"/>
              <w:jc w:val="left"/>
            </w:pPr>
            <w:r>
              <w:t xml:space="preserve">$517,500</w:t>
            </w:r>
          </w:p>
        </w:tc>
        <w:tc>
          <w:tcPr/>
          <w:p>
            <w:pPr>
              <w:pStyle w:val="Compact"/>
              <w:jc w:val="left"/>
            </w:pPr>
            <w:r>
              <w:t xml:space="preserve">$1,000</w:t>
            </w:r>
          </w:p>
        </w:tc>
        <w:tc>
          <w:tcPr/>
          <w:p>
            <w:pPr>
              <w:pStyle w:val="Compact"/>
              <w:jc w:val="left"/>
            </w:pPr>
            <w:r>
              <w:rPr>
                <w:b/>
                <w:bCs/>
              </w:rPr>
              <w:t xml:space="preserve">$2,524,400</w:t>
            </w:r>
          </w:p>
        </w:tc>
        <w:tc>
          <w:tcPr/>
          <w:p>
            <w:pPr>
              <w:pStyle w:val="Compact"/>
              <w:jc w:val="left"/>
            </w:pPr>
            <w:r>
              <w:t xml:space="preserve">+10.5%</w:t>
            </w:r>
          </w:p>
        </w:tc>
      </w:tr>
      <w:tr>
        <w:tc>
          <w:tcPr/>
          <w:p>
            <w:pPr>
              <w:pStyle w:val="Compact"/>
              <w:jc w:val="left"/>
            </w:pPr>
            <w:r>
              <w:rPr>
                <w:b/>
                <w:bCs/>
              </w:rPr>
              <w:t xml:space="preserve">C-X</w:t>
            </w:r>
          </w:p>
        </w:tc>
        <w:tc>
          <w:tcPr/>
          <w:p>
            <w:pPr>
              <w:pStyle w:val="Compact"/>
              <w:jc w:val="left"/>
            </w:pPr>
            <w:r>
              <w:t xml:space="preserve">Shared Facility</w:t>
            </w:r>
          </w:p>
        </w:tc>
        <w:tc>
          <w:tcPr/>
          <w:p>
            <w:pPr>
              <w:pStyle w:val="Compact"/>
              <w:jc w:val="left"/>
            </w:pPr>
            <w:r>
              <w:t xml:space="preserve">Hazardous</w:t>
            </w:r>
          </w:p>
        </w:tc>
        <w:tc>
          <w:tcPr/>
          <w:p>
            <w:pPr>
              <w:pStyle w:val="Compact"/>
              <w:jc w:val="left"/>
            </w:pPr>
            <w:r>
              <w:t xml:space="preserve">$300,000</w:t>
            </w:r>
          </w:p>
        </w:tc>
        <w:tc>
          <w:tcPr/>
          <w:p>
            <w:pPr>
              <w:pStyle w:val="Compact"/>
              <w:jc w:val="left"/>
            </w:pPr>
            <w:r>
              <w:t xml:space="preserve">$1,500</w:t>
            </w:r>
          </w:p>
        </w:tc>
        <w:tc>
          <w:tcPr/>
          <w:p>
            <w:pPr>
              <w:pStyle w:val="Compact"/>
              <w:jc w:val="left"/>
            </w:pPr>
            <w:r>
              <w:rPr>
                <w:b/>
                <w:bCs/>
              </w:rPr>
              <w:t xml:space="preserve">$2,221,100</w:t>
            </w:r>
          </w:p>
        </w:tc>
        <w:tc>
          <w:tcPr/>
          <w:p>
            <w:pPr>
              <w:pStyle w:val="Compact"/>
              <w:jc w:val="left"/>
            </w:pPr>
            <w:r>
              <w:t xml:space="preserve">-2.8%</w:t>
            </w:r>
          </w:p>
        </w:tc>
      </w:tr>
      <w:tr>
        <w:tc>
          <w:tcPr/>
          <w:p>
            <w:pPr>
              <w:pStyle w:val="Compact"/>
              <w:jc w:val="left"/>
            </w:pPr>
            <w:r>
              <w:rPr>
                <w:b/>
                <w:bCs/>
              </w:rPr>
              <w:t xml:space="preserve">C-Y</w:t>
            </w:r>
          </w:p>
        </w:tc>
        <w:tc>
          <w:tcPr/>
          <w:p>
            <w:pPr>
              <w:pStyle w:val="Compact"/>
              <w:jc w:val="left"/>
            </w:pPr>
            <w:r>
              <w:t xml:space="preserve">Shared Facility</w:t>
            </w:r>
          </w:p>
        </w:tc>
        <w:tc>
          <w:tcPr/>
          <w:p>
            <w:pPr>
              <w:pStyle w:val="Compact"/>
              <w:jc w:val="left"/>
            </w:pPr>
            <w:r>
              <w:t xml:space="preserve">Non-Hazardous</w:t>
            </w:r>
          </w:p>
        </w:tc>
        <w:tc>
          <w:tcPr/>
          <w:p>
            <w:pPr>
              <w:pStyle w:val="Compact"/>
              <w:jc w:val="left"/>
            </w:pPr>
            <w:r>
              <w:t xml:space="preserve">$300,000</w:t>
            </w:r>
          </w:p>
        </w:tc>
        <w:tc>
          <w:tcPr/>
          <w:p>
            <w:pPr>
              <w:pStyle w:val="Compact"/>
              <w:jc w:val="left"/>
            </w:pPr>
            <w:r>
              <w:t xml:space="preserve">$1,000</w:t>
            </w:r>
          </w:p>
        </w:tc>
        <w:tc>
          <w:tcPr/>
          <w:p>
            <w:pPr>
              <w:pStyle w:val="Compact"/>
              <w:jc w:val="left"/>
            </w:pPr>
            <w:r>
              <w:rPr>
                <w:b/>
                <w:bCs/>
              </w:rPr>
              <w:t xml:space="preserve">$2,220,400</w:t>
            </w:r>
          </w:p>
        </w:tc>
        <w:tc>
          <w:tcPr/>
          <w:p>
            <w:pPr>
              <w:pStyle w:val="Compact"/>
              <w:jc w:val="left"/>
            </w:pPr>
            <w:r>
              <w:t xml:space="preserve">-2.8%</w:t>
            </w:r>
          </w:p>
        </w:tc>
      </w:tr>
    </w:tbl>
    <w:bookmarkEnd w:id="30"/>
    <w:bookmarkStart w:id="31" w:name="tornado-diagram-data"/>
    <w:p>
      <w:pPr>
        <w:pStyle w:val="Heading3"/>
      </w:pPr>
      <w:r>
        <w:t xml:space="preserve">Tornado Diagram Data</w:t>
      </w:r>
    </w:p>
    <w:p>
      <w:pPr>
        <w:pStyle w:val="FirstParagraph"/>
      </w:pPr>
      <w:r>
        <w:t xml:space="preserve">The variables are ranked by their total impact on the budget (difference between highest and lowest cost scenarios for that variable).</w:t>
      </w:r>
    </w:p>
    <w:p>
      <w:pPr>
        <w:pStyle w:val="Compact"/>
        <w:numPr>
          <w:ilvl w:val="0"/>
          <w:numId w:val="1012"/>
        </w:numPr>
      </w:pPr>
      <w:r>
        <w:rPr>
          <w:b/>
          <w:bCs/>
        </w:rPr>
        <w:t xml:space="preserve">ICP-MS Sourcing:</w:t>
      </w:r>
      <w:r>
        <w:t xml:space="preserve"> </w:t>
      </w:r>
      <w:r>
        <w:t xml:space="preserve">$517,500 (In-House) - $300,000 (Shared) =</w:t>
      </w:r>
      <w:r>
        <w:t xml:space="preserve"> </w:t>
      </w:r>
      <w:r>
        <w:rPr>
          <w:b/>
          <w:bCs/>
        </w:rPr>
        <w:t xml:space="preserve">$217,500</w:t>
      </w:r>
    </w:p>
    <w:p>
      <w:pPr>
        <w:pStyle w:val="Compact"/>
        <w:numPr>
          <w:ilvl w:val="0"/>
          <w:numId w:val="1012"/>
        </w:numPr>
      </w:pPr>
      <w:r>
        <w:rPr>
          <w:b/>
          <w:bCs/>
        </w:rPr>
        <w:t xml:space="preserve">Sludge Classification:</w:t>
      </w:r>
      <w:r>
        <w:t xml:space="preserve"> </w:t>
      </w:r>
      <w:r>
        <w:t xml:space="preserve">$1,500 (Hazardous) - $1,000 (Non-Hazardous) =</w:t>
      </w:r>
      <w:r>
        <w:t xml:space="preserve"> </w:t>
      </w:r>
      <w:r>
        <w:rPr>
          <w:b/>
          <w:bCs/>
        </w:rPr>
        <w:t xml:space="preserve">$500</w:t>
      </w:r>
    </w:p>
    <w:p>
      <w:pPr>
        <w:pStyle w:val="FirstParagraph"/>
      </w:pPr>
      <w:r>
        <w:t xml:space="preserve">The analysis clearly shows that the choice of analytical sourcing has an impact on the budget that is orders of magnitude greater than the impact of sludge classification at this project scale. The most budget-favorable path is using a shared academic facility, while the most expensive is purchasing an instrument in-house for this specific project duration and sample volume.</w:t>
      </w:r>
    </w:p>
    <w:bookmarkEnd w:id="31"/>
    <w:bookmarkEnd w:id="32"/>
    <w:bookmarkStart w:id="40" w:name="X6f4d1b31806e62ab04751793d1faa6b355f7140"/>
    <w:p>
      <w:pPr>
        <w:pStyle w:val="Heading2"/>
      </w:pPr>
      <w:r>
        <w:t xml:space="preserve">Part 3: Weighted Technology Selection Decision Matrix</w:t>
      </w:r>
    </w:p>
    <w:bookmarkStart w:id="33" w:name="mcda-methodology"/>
    <w:p>
      <w:pPr>
        <w:pStyle w:val="Heading3"/>
      </w:pPr>
      <w:r>
        <w:t xml:space="preserve">MCDA Methodology</w:t>
      </w:r>
    </w:p>
    <w:p>
      <w:pPr>
        <w:pStyle w:val="FirstParagraph"/>
      </w:pPr>
      <w:r>
        <w:t xml:space="preserve">A Weighted Sum Model (WSM) is used for its simplicity and transparency in evaluating the trade-offs between different wastewater treatment technologies. This method scores each technology against a set of weighted criteria, allowing for a quantitative ranking of the alternatives.</w:t>
      </w:r>
    </w:p>
    <w:bookmarkEnd w:id="33"/>
    <w:bookmarkStart w:id="34" w:name="criteria-and-weights"/>
    <w:p>
      <w:pPr>
        <w:pStyle w:val="Heading3"/>
      </w:pPr>
      <w:r>
        <w:t xml:space="preserve">Criteria and Weights</w:t>
      </w:r>
    </w:p>
    <w:p>
      <w:pPr>
        <w:pStyle w:val="FirstParagraph"/>
      </w:pPr>
      <w:r>
        <w:t xml:space="preserve">The following criteria and weights were selected to represent a balanced view of performance, cost, and operational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Rationale</w:t>
            </w:r>
          </w:p>
        </w:tc>
      </w:tr>
      <w:tr>
        <w:tc>
          <w:tcPr/>
          <w:p>
            <w:pPr>
              <w:pStyle w:val="Compact"/>
              <w:jc w:val="left"/>
            </w:pPr>
            <w:r>
              <w:rPr>
                <w:b/>
                <w:bCs/>
              </w:rPr>
              <w:t xml:space="preserve">Regulatory Compliance</w:t>
            </w:r>
          </w:p>
        </w:tc>
        <w:tc>
          <w:tcPr/>
          <w:p>
            <w:pPr>
              <w:pStyle w:val="Compact"/>
              <w:jc w:val="left"/>
            </w:pPr>
            <w:r>
              <w:t xml:space="preserve">0.30</w:t>
            </w:r>
          </w:p>
        </w:tc>
        <w:tc>
          <w:tcPr/>
          <w:p>
            <w:pPr>
              <w:pStyle w:val="Compact"/>
              <w:jc w:val="left"/>
            </w:pPr>
            <w:r>
              <w:t xml:space="preserve">The primary goal is achieving discharge limits. This is the most critical factor.</w:t>
            </w:r>
          </w:p>
        </w:tc>
      </w:tr>
      <w:tr>
        <w:tc>
          <w:tcPr/>
          <w:p>
            <w:pPr>
              <w:pStyle w:val="Compact"/>
              <w:jc w:val="left"/>
            </w:pPr>
            <w:r>
              <w:rPr>
                <w:b/>
                <w:bCs/>
              </w:rPr>
              <w:t xml:space="preserve">Lifecycle Cost</w:t>
            </w:r>
          </w:p>
        </w:tc>
        <w:tc>
          <w:tcPr/>
          <w:p>
            <w:pPr>
              <w:pStyle w:val="Compact"/>
              <w:jc w:val="left"/>
            </w:pPr>
            <w:r>
              <w:t xml:space="preserve">0.25</w:t>
            </w:r>
          </w:p>
        </w:tc>
        <w:tc>
          <w:tcPr/>
          <w:p>
            <w:pPr>
              <w:pStyle w:val="Compact"/>
              <w:jc w:val="left"/>
            </w:pPr>
            <w:r>
              <w:t xml:space="preserve">Includes both CAPEX and OPEX, reflecting the total economic impact.</w:t>
            </w:r>
          </w:p>
        </w:tc>
      </w:tr>
      <w:tr>
        <w:tc>
          <w:tcPr/>
          <w:p>
            <w:pPr>
              <w:pStyle w:val="Compact"/>
              <w:jc w:val="left"/>
            </w:pPr>
            <w:r>
              <w:rPr>
                <w:b/>
                <w:bCs/>
              </w:rPr>
              <w:t xml:space="preserve">Operational Complexity</w:t>
            </w:r>
          </w:p>
        </w:tc>
        <w:tc>
          <w:tcPr/>
          <w:p>
            <w:pPr>
              <w:pStyle w:val="Compact"/>
              <w:jc w:val="left"/>
            </w:pPr>
            <w:r>
              <w:t xml:space="preserve">0.15</w:t>
            </w:r>
          </w:p>
        </w:tc>
        <w:tc>
          <w:tcPr/>
          <w:p>
            <w:pPr>
              <w:pStyle w:val="Compact"/>
              <w:jc w:val="left"/>
            </w:pPr>
            <w:r>
              <w:t xml:space="preserve">Ease of operation, automation potential, and skill level required.</w:t>
            </w:r>
          </w:p>
        </w:tc>
      </w:tr>
      <w:tr>
        <w:tc>
          <w:tcPr/>
          <w:p>
            <w:pPr>
              <w:pStyle w:val="Compact"/>
              <w:jc w:val="left"/>
            </w:pPr>
            <w:r>
              <w:rPr>
                <w:b/>
                <w:bCs/>
              </w:rPr>
              <w:t xml:space="preserve">Sludge Impact</w:t>
            </w:r>
          </w:p>
        </w:tc>
        <w:tc>
          <w:tcPr/>
          <w:p>
            <w:pPr>
              <w:pStyle w:val="Compact"/>
              <w:jc w:val="left"/>
            </w:pPr>
            <w:r>
              <w:t xml:space="preserve">0.15</w:t>
            </w:r>
          </w:p>
        </w:tc>
        <w:tc>
          <w:tcPr/>
          <w:p>
            <w:pPr>
              <w:pStyle w:val="Compact"/>
              <w:jc w:val="left"/>
            </w:pPr>
            <w:r>
              <w:t xml:space="preserve">Volume, hazardous classification, and disposal cost of waste solids.</w:t>
            </w:r>
          </w:p>
        </w:tc>
      </w:tr>
      <w:tr>
        <w:tc>
          <w:tcPr/>
          <w:p>
            <w:pPr>
              <w:pStyle w:val="Compact"/>
              <w:jc w:val="left"/>
            </w:pPr>
            <w:r>
              <w:rPr>
                <w:b/>
                <w:bCs/>
              </w:rPr>
              <w:t xml:space="preserve">Technology Readiness (TRL)</w:t>
            </w:r>
          </w:p>
        </w:tc>
        <w:tc>
          <w:tcPr/>
          <w:p>
            <w:pPr>
              <w:pStyle w:val="Compact"/>
              <w:jc w:val="left"/>
            </w:pPr>
            <w:r>
              <w:t xml:space="preserve">0.10</w:t>
            </w:r>
          </w:p>
        </w:tc>
        <w:tc>
          <w:tcPr/>
          <w:p>
            <w:pPr>
              <w:pStyle w:val="Compact"/>
              <w:jc w:val="left"/>
            </w:pPr>
            <w:r>
              <w:t xml:space="preserve">Maturity and reliability of the technology for industrial applications.</w:t>
            </w:r>
          </w:p>
        </w:tc>
      </w:tr>
      <w:tr>
        <w:tc>
          <w:tcPr/>
          <w:p>
            <w:pPr>
              <w:pStyle w:val="Compact"/>
              <w:jc w:val="left"/>
            </w:pPr>
            <w:r>
              <w:rPr>
                <w:b/>
                <w:bCs/>
              </w:rPr>
              <w:t xml:space="preserve">Physical Footprint</w:t>
            </w:r>
          </w:p>
        </w:tc>
        <w:tc>
          <w:tcPr/>
          <w:p>
            <w:pPr>
              <w:pStyle w:val="Compact"/>
              <w:jc w:val="left"/>
            </w:pPr>
            <w:r>
              <w:t xml:space="preserve">0.05</w:t>
            </w:r>
          </w:p>
        </w:tc>
        <w:tc>
          <w:tcPr/>
          <w:p>
            <w:pPr>
              <w:pStyle w:val="Compact"/>
              <w:jc w:val="left"/>
            </w:pPr>
            <w:r>
              <w:t xml:space="preserve">Land area required for the installation.</w:t>
            </w:r>
          </w:p>
        </w:tc>
      </w:tr>
    </w:tbl>
    <w:bookmarkEnd w:id="34"/>
    <w:bookmarkStart w:id="35" w:name="scoring-rubric"/>
    <w:p>
      <w:pPr>
        <w:pStyle w:val="Heading3"/>
      </w:pPr>
      <w:r>
        <w:t xml:space="preserve">Scoring Rubric</w:t>
      </w:r>
    </w:p>
    <w:p>
      <w:pPr>
        <w:pStyle w:val="FirstParagraph"/>
      </w:pPr>
      <w:r>
        <w:t xml:space="preserve">Each technology is scored on a scale of 1 (worst) to 5 (best) for each criterion based on the evidence gathered.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Score</w:t>
            </w:r>
          </w:p>
        </w:tc>
        <w:tc>
          <w:tcPr/>
          <w:p>
            <w:pPr>
              <w:pStyle w:val="Compact"/>
              <w:jc w:val="left"/>
            </w:pPr>
            <w:r>
              <w:t xml:space="preserve">Compliance</w:t>
            </w:r>
          </w:p>
        </w:tc>
        <w:tc>
          <w:tcPr/>
          <w:p>
            <w:pPr>
              <w:pStyle w:val="Compact"/>
              <w:jc w:val="left"/>
            </w:pPr>
            <w:r>
              <w:t xml:space="preserve">Cost</w:t>
            </w:r>
          </w:p>
        </w:tc>
        <w:tc>
          <w:tcPr/>
          <w:p>
            <w:pPr>
              <w:pStyle w:val="Compact"/>
              <w:jc w:val="left"/>
            </w:pPr>
            <w:r>
              <w:t xml:space="preserve">Complexity</w:t>
            </w:r>
          </w:p>
        </w:tc>
        <w:tc>
          <w:tcPr/>
          <w:p>
            <w:pPr>
              <w:pStyle w:val="Compact"/>
              <w:jc w:val="left"/>
            </w:pPr>
            <w:r>
              <w:t xml:space="preserve">Sludge Impact</w:t>
            </w:r>
          </w:p>
        </w:tc>
        <w:tc>
          <w:tcPr/>
          <w:p>
            <w:pPr>
              <w:pStyle w:val="Compact"/>
              <w:jc w:val="left"/>
            </w:pPr>
            <w:r>
              <w:t xml:space="preserve">TRL</w:t>
            </w:r>
          </w:p>
        </w:tc>
        <w:tc>
          <w:tcPr/>
          <w:p>
            <w:pPr>
              <w:pStyle w:val="Compact"/>
              <w:jc w:val="left"/>
            </w:pPr>
            <w:r>
              <w:t xml:space="preserve">Footprint</w:t>
            </w:r>
          </w:p>
        </w:tc>
      </w:tr>
      <w:tr>
        <w:tc>
          <w:tcPr/>
          <w:p>
            <w:pPr>
              <w:pStyle w:val="Compact"/>
              <w:jc w:val="center"/>
            </w:pPr>
            <w:r>
              <w:rPr>
                <w:b/>
                <w:bCs/>
              </w:rPr>
              <w:t xml:space="preserve">5</w:t>
            </w:r>
          </w:p>
        </w:tc>
        <w:tc>
          <w:tcPr/>
          <w:p>
            <w:pPr>
              <w:pStyle w:val="Compact"/>
              <w:jc w:val="left"/>
            </w:pPr>
            <w:r>
              <w:t xml:space="preserve">Meets all stringent limits</w:t>
            </w:r>
          </w:p>
        </w:tc>
        <w:tc>
          <w:tcPr/>
          <w:p>
            <w:pPr>
              <w:pStyle w:val="Compact"/>
              <w:jc w:val="left"/>
            </w:pPr>
            <w:r>
              <w:t xml:space="preserve">Lowest lifecycle cost</w:t>
            </w:r>
          </w:p>
        </w:tc>
        <w:tc>
          <w:tcPr/>
          <w:p>
            <w:pPr>
              <w:pStyle w:val="Compact"/>
              <w:jc w:val="left"/>
            </w:pPr>
            <w:r>
              <w:t xml:space="preserve">Fully automated, simple</w:t>
            </w:r>
          </w:p>
        </w:tc>
        <w:tc>
          <w:tcPr/>
          <w:p>
            <w:pPr>
              <w:pStyle w:val="Compact"/>
              <w:jc w:val="left"/>
            </w:pPr>
            <w:r>
              <w:t xml:space="preserve">Minimal, non-hazardous</w:t>
            </w:r>
          </w:p>
        </w:tc>
        <w:tc>
          <w:tcPr/>
          <w:p>
            <w:pPr>
              <w:pStyle w:val="Compact"/>
              <w:jc w:val="left"/>
            </w:pPr>
            <w:r>
              <w:t xml:space="preserve">TRL 9, widely deployed</w:t>
            </w:r>
          </w:p>
        </w:tc>
        <w:tc>
          <w:tcPr/>
          <w:p>
            <w:pPr>
              <w:pStyle w:val="Compact"/>
              <w:jc w:val="left"/>
            </w:pPr>
            <w:r>
              <w:t xml:space="preserve">Very Compact</w:t>
            </w:r>
          </w:p>
        </w:tc>
      </w:tr>
      <w:tr>
        <w:tc>
          <w:tcPr/>
          <w:p>
            <w:pPr>
              <w:pStyle w:val="Compact"/>
              <w:jc w:val="center"/>
            </w:pPr>
            <w:r>
              <w:rPr>
                <w:b/>
                <w:bCs/>
              </w:rPr>
              <w:t xml:space="preserve">4</w:t>
            </w:r>
          </w:p>
        </w:tc>
        <w:tc>
          <w:tcPr/>
          <w:p>
            <w:pPr>
              <w:pStyle w:val="Compact"/>
              <w:jc w:val="left"/>
            </w:pPr>
            <w:r>
              <w:t xml:space="preserve">Meets most limits</w:t>
            </w:r>
          </w:p>
        </w:tc>
        <w:tc>
          <w:tcPr/>
          <w:p>
            <w:pPr>
              <w:pStyle w:val="Compact"/>
              <w:jc w:val="left"/>
            </w:pPr>
            <w:r>
              <w:t xml:space="preserve">Low lifecycle cost</w:t>
            </w:r>
          </w:p>
        </w:tc>
        <w:tc>
          <w:tcPr/>
          <w:p>
            <w:pPr>
              <w:pStyle w:val="Compact"/>
              <w:jc w:val="left"/>
            </w:pPr>
            <w:r>
              <w:t xml:space="preserve">Mostly automated</w:t>
            </w:r>
          </w:p>
        </w:tc>
        <w:tc>
          <w:tcPr/>
          <w:p>
            <w:pPr>
              <w:pStyle w:val="Compact"/>
              <w:jc w:val="left"/>
            </w:pPr>
            <w:r>
              <w:t xml:space="preserve">Low volume, non-haz</w:t>
            </w:r>
          </w:p>
        </w:tc>
        <w:tc>
          <w:tcPr/>
          <w:p>
            <w:pPr>
              <w:pStyle w:val="Compact"/>
              <w:jc w:val="left"/>
            </w:pPr>
            <w:r>
              <w:t xml:space="preserve">TRL 8, proven</w:t>
            </w:r>
          </w:p>
        </w:tc>
        <w:tc>
          <w:tcPr/>
          <w:p>
            <w:pPr>
              <w:pStyle w:val="Compact"/>
              <w:jc w:val="left"/>
            </w:pPr>
            <w:r>
              <w:t xml:space="preserve">Compact</w:t>
            </w:r>
          </w:p>
        </w:tc>
      </w:tr>
      <w:tr>
        <w:tc>
          <w:tcPr/>
          <w:p>
            <w:pPr>
              <w:pStyle w:val="Compact"/>
              <w:jc w:val="center"/>
            </w:pPr>
            <w:r>
              <w:rPr>
                <w:b/>
                <w:bCs/>
              </w:rPr>
              <w:t xml:space="preserve">3</w:t>
            </w:r>
          </w:p>
        </w:tc>
        <w:tc>
          <w:tcPr/>
          <w:p>
            <w:pPr>
              <w:pStyle w:val="Compact"/>
              <w:jc w:val="left"/>
            </w:pPr>
            <w:r>
              <w:t xml:space="preserve">Meets moderate limits</w:t>
            </w:r>
          </w:p>
        </w:tc>
        <w:tc>
          <w:tcPr/>
          <w:p>
            <w:pPr>
              <w:pStyle w:val="Compact"/>
              <w:jc w:val="left"/>
            </w:pPr>
            <w:r>
              <w:t xml:space="preserve">Moderate lifecycle cost</w:t>
            </w:r>
          </w:p>
        </w:tc>
        <w:tc>
          <w:tcPr/>
          <w:p>
            <w:pPr>
              <w:pStyle w:val="Compact"/>
              <w:jc w:val="left"/>
            </w:pPr>
            <w:r>
              <w:t xml:space="preserve">Standard automation</w:t>
            </w:r>
          </w:p>
        </w:tc>
        <w:tc>
          <w:tcPr/>
          <w:p>
            <w:pPr>
              <w:pStyle w:val="Compact"/>
              <w:jc w:val="left"/>
            </w:pPr>
            <w:r>
              <w:t xml:space="preserve">Moderate volume or haz</w:t>
            </w:r>
          </w:p>
        </w:tc>
        <w:tc>
          <w:tcPr/>
          <w:p>
            <w:pPr>
              <w:pStyle w:val="Compact"/>
              <w:jc w:val="left"/>
            </w:pPr>
            <w:r>
              <w:t xml:space="preserve">TRL 6-7, pilot proven</w:t>
            </w:r>
          </w:p>
        </w:tc>
        <w:tc>
          <w:tcPr/>
          <w:p>
            <w:pPr>
              <w:pStyle w:val="Compact"/>
              <w:jc w:val="left"/>
            </w:pPr>
            <w:r>
              <w:t xml:space="preserve">Moderate</w:t>
            </w:r>
          </w:p>
        </w:tc>
      </w:tr>
      <w:tr>
        <w:tc>
          <w:tcPr/>
          <w:p>
            <w:pPr>
              <w:pStyle w:val="Compact"/>
              <w:jc w:val="center"/>
            </w:pPr>
            <w:r>
              <w:rPr>
                <w:b/>
                <w:bCs/>
              </w:rPr>
              <w:t xml:space="preserve">2</w:t>
            </w:r>
          </w:p>
        </w:tc>
        <w:tc>
          <w:tcPr/>
          <w:p>
            <w:pPr>
              <w:pStyle w:val="Compact"/>
              <w:jc w:val="left"/>
            </w:pPr>
            <w:r>
              <w:t xml:space="preserve">Meets few limits</w:t>
            </w:r>
          </w:p>
        </w:tc>
        <w:tc>
          <w:tcPr/>
          <w:p>
            <w:pPr>
              <w:pStyle w:val="Compact"/>
              <w:jc w:val="left"/>
            </w:pPr>
            <w:r>
              <w:t xml:space="preserve">High lifecycle cost</w:t>
            </w:r>
          </w:p>
        </w:tc>
        <w:tc>
          <w:tcPr/>
          <w:p>
            <w:pPr>
              <w:pStyle w:val="Compact"/>
              <w:jc w:val="left"/>
            </w:pPr>
            <w:r>
              <w:t xml:space="preserve">Manual, specialist needed</w:t>
            </w:r>
          </w:p>
        </w:tc>
        <w:tc>
          <w:tcPr/>
          <w:p>
            <w:pPr>
              <w:pStyle w:val="Compact"/>
              <w:jc w:val="left"/>
            </w:pPr>
            <w:r>
              <w:t xml:space="preserve">High volume or haz</w:t>
            </w:r>
          </w:p>
        </w:tc>
        <w:tc>
          <w:tcPr/>
          <w:p>
            <w:pPr>
              <w:pStyle w:val="Compact"/>
              <w:jc w:val="left"/>
            </w:pPr>
            <w:r>
              <w:t xml:space="preserve">TRL 5, component proven</w:t>
            </w:r>
          </w:p>
        </w:tc>
        <w:tc>
          <w:tcPr/>
          <w:p>
            <w:pPr>
              <w:pStyle w:val="Compact"/>
              <w:jc w:val="left"/>
            </w:pPr>
            <w:r>
              <w:t xml:space="preserve">Large</w:t>
            </w:r>
          </w:p>
        </w:tc>
      </w:tr>
      <w:tr>
        <w:tc>
          <w:tcPr/>
          <w:p>
            <w:pPr>
              <w:pStyle w:val="Compact"/>
              <w:jc w:val="center"/>
            </w:pPr>
            <w:r>
              <w:rPr>
                <w:b/>
                <w:bCs/>
              </w:rPr>
              <w:t xml:space="preserve">1</w:t>
            </w:r>
          </w:p>
        </w:tc>
        <w:tc>
          <w:tcPr/>
          <w:p>
            <w:pPr>
              <w:pStyle w:val="Compact"/>
              <w:jc w:val="left"/>
            </w:pPr>
            <w:r>
              <w:t xml:space="preserve">Fails key limits</w:t>
            </w:r>
          </w:p>
        </w:tc>
        <w:tc>
          <w:tcPr/>
          <w:p>
            <w:pPr>
              <w:pStyle w:val="Compact"/>
              <w:jc w:val="left"/>
            </w:pPr>
            <w:r>
              <w:t xml:space="preserve">Highest lifecycle cost</w:t>
            </w:r>
          </w:p>
        </w:tc>
        <w:tc>
          <w:tcPr/>
          <w:p>
            <w:pPr>
              <w:pStyle w:val="Compact"/>
              <w:jc w:val="left"/>
            </w:pPr>
            <w:r>
              <w:t xml:space="preserve">Very complex, unreliable</w:t>
            </w:r>
          </w:p>
        </w:tc>
        <w:tc>
          <w:tcPr/>
          <w:p>
            <w:pPr>
              <w:pStyle w:val="Compact"/>
              <w:jc w:val="left"/>
            </w:pPr>
            <w:r>
              <w:t xml:space="preserve">Very high volume, hazardous</w:t>
            </w:r>
          </w:p>
        </w:tc>
        <w:tc>
          <w:tcPr/>
          <w:p>
            <w:pPr>
              <w:pStyle w:val="Compact"/>
              <w:jc w:val="left"/>
            </w:pPr>
            <w:r>
              <w:t xml:space="preserve">TRL &lt; 4, lab concept</w:t>
            </w:r>
          </w:p>
        </w:tc>
        <w:tc>
          <w:tcPr/>
          <w:p>
            <w:pPr>
              <w:pStyle w:val="Compact"/>
              <w:jc w:val="left"/>
            </w:pPr>
            <w:r>
              <w:t xml:space="preserve">Very Large</w:t>
            </w:r>
          </w:p>
        </w:tc>
      </w:tr>
    </w:tbl>
    <w:bookmarkEnd w:id="35"/>
    <w:bookmarkStart w:id="36" w:name="technology-scoring-and-justification"/>
    <w:p>
      <w:pPr>
        <w:pStyle w:val="Heading3"/>
      </w:pPr>
      <w:r>
        <w:t xml:space="preserve">Technology Scoring and Justification</w:t>
      </w:r>
    </w:p>
    <w:p>
      <w:pPr>
        <w:pStyle w:val="FirstParagraph"/>
      </w:pPr>
      <w:r>
        <w:t xml:space="preserve">The four technologies are scored based on the rubric, with justifications derived from the literature.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Technology</w:t>
            </w:r>
          </w:p>
        </w:tc>
        <w:tc>
          <w:tcPr/>
          <w:p>
            <w:pPr>
              <w:pStyle w:val="Compact"/>
              <w:jc w:val="left"/>
            </w:pPr>
            <w:r>
              <w:t xml:space="preserve">Compliance Score</w:t>
            </w:r>
          </w:p>
        </w:tc>
        <w:tc>
          <w:tcPr/>
          <w:p>
            <w:pPr>
              <w:pStyle w:val="Compact"/>
              <w:jc w:val="left"/>
            </w:pPr>
            <w:r>
              <w:t xml:space="preserve">Cost Score</w:t>
            </w:r>
          </w:p>
        </w:tc>
        <w:tc>
          <w:tcPr/>
          <w:p>
            <w:pPr>
              <w:pStyle w:val="Compact"/>
              <w:jc w:val="left"/>
            </w:pPr>
            <w:r>
              <w:t xml:space="preserve">Complexity Score</w:t>
            </w:r>
          </w:p>
        </w:tc>
        <w:tc>
          <w:tcPr/>
          <w:p>
            <w:pPr>
              <w:pStyle w:val="Compact"/>
              <w:jc w:val="left"/>
            </w:pPr>
            <w:r>
              <w:t xml:space="preserve">Sludge Score</w:t>
            </w:r>
          </w:p>
        </w:tc>
        <w:tc>
          <w:tcPr/>
          <w:p>
            <w:pPr>
              <w:pStyle w:val="Compact"/>
              <w:jc w:val="left"/>
            </w:pPr>
            <w:r>
              <w:t xml:space="preserve">TRL Score</w:t>
            </w:r>
          </w:p>
        </w:tc>
        <w:tc>
          <w:tcPr/>
          <w:p>
            <w:pPr>
              <w:pStyle w:val="Compact"/>
              <w:jc w:val="left"/>
            </w:pPr>
            <w:r>
              <w:t xml:space="preserve">Footprint Score</w:t>
            </w:r>
          </w:p>
        </w:tc>
      </w:tr>
      <w:tr>
        <w:tc>
          <w:tcPr/>
          <w:p>
            <w:pPr>
              <w:pStyle w:val="Compact"/>
              <w:jc w:val="left"/>
            </w:pPr>
            <w:r>
              <w:rPr>
                <w:b/>
                <w:bCs/>
              </w:rPr>
              <w:t xml:space="preserve">Microalgae Biosorption</w:t>
            </w:r>
          </w:p>
        </w:tc>
        <w:tc>
          <w:tcPr/>
          <w:p>
            <w:pPr>
              <w:pStyle w:val="Compact"/>
              <w:jc w:val="left"/>
            </w:pPr>
            <w:r>
              <w:rPr>
                <w:b/>
                <w:bCs/>
              </w:rPr>
              <w:t xml:space="preserve">1</w:t>
            </w:r>
            <w:r>
              <w:t xml:space="preserve"> </w:t>
            </w:r>
            <w:r>
              <w:t xml:space="preserve">(Fails on B, unknown on others)</w:t>
            </w:r>
          </w:p>
        </w:tc>
        <w:tc>
          <w:tcPr/>
          <w:p>
            <w:pPr>
              <w:pStyle w:val="Compact"/>
              <w:jc w:val="left"/>
            </w:pPr>
            <w:r>
              <w:rPr>
                <w:b/>
                <w:bCs/>
              </w:rPr>
              <w:t xml:space="preserve">2</w:t>
            </w:r>
            <w:r>
              <w:t xml:space="preserve"> </w:t>
            </w:r>
            <w:r>
              <w:t xml:space="preserve">(High biomass cost, uncertain CAPEX)</w:t>
            </w:r>
          </w:p>
        </w:tc>
        <w:tc>
          <w:tcPr/>
          <w:p>
            <w:pPr>
              <w:pStyle w:val="Compact"/>
              <w:jc w:val="left"/>
            </w:pPr>
            <w:r>
              <w:rPr>
                <w:b/>
                <w:bCs/>
              </w:rPr>
              <w:t xml:space="preserve">1</w:t>
            </w:r>
            <w:r>
              <w:t xml:space="preserve"> </w:t>
            </w:r>
            <w:r>
              <w:t xml:space="preserve">(Biological process control is complex)</w:t>
            </w:r>
          </w:p>
        </w:tc>
        <w:tc>
          <w:tcPr/>
          <w:p>
            <w:pPr>
              <w:pStyle w:val="Compact"/>
              <w:jc w:val="left"/>
            </w:pPr>
            <w:r>
              <w:rPr>
                <w:b/>
                <w:bCs/>
              </w:rPr>
              <w:t xml:space="preserve">3</w:t>
            </w:r>
            <w:r>
              <w:t xml:space="preserve"> </w:t>
            </w:r>
            <w:r>
              <w:t xml:space="preserve">(Moderate volume, likely hazardous)</w:t>
            </w:r>
          </w:p>
        </w:tc>
        <w:tc>
          <w:tcPr/>
          <w:p>
            <w:pPr>
              <w:pStyle w:val="Compact"/>
              <w:jc w:val="left"/>
            </w:pPr>
            <w:r>
              <w:rPr>
                <w:b/>
                <w:bCs/>
              </w:rPr>
              <w:t xml:space="preserve">2</w:t>
            </w:r>
            <w:r>
              <w:t xml:space="preserve"> </w:t>
            </w:r>
            <w:r>
              <w:t xml:space="preserve">(TRL 3-5 for this application)</w:t>
            </w:r>
          </w:p>
        </w:tc>
        <w:tc>
          <w:tcPr/>
          <w:p>
            <w:pPr>
              <w:pStyle w:val="Compact"/>
              <w:jc w:val="left"/>
            </w:pPr>
            <w:r>
              <w:rPr>
                <w:b/>
                <w:bCs/>
              </w:rPr>
              <w:t xml:space="preserve">2</w:t>
            </w:r>
            <w:r>
              <w:t xml:space="preserve"> </w:t>
            </w:r>
            <w:r>
              <w:t xml:space="preserve">(Large ponds or complex PBRs)</w:t>
            </w:r>
          </w:p>
        </w:tc>
      </w:tr>
      <w:tr>
        <w:tc>
          <w:tcPr/>
          <w:p>
            <w:pPr>
              <w:pStyle w:val="Compact"/>
              <w:jc w:val="left"/>
            </w:pPr>
            <w:r>
              <w:rPr>
                <w:b/>
                <w:bCs/>
              </w:rPr>
              <w:t xml:space="preserve">Chemical Precipitation</w:t>
            </w:r>
          </w:p>
        </w:tc>
        <w:tc>
          <w:tcPr/>
          <w:p>
            <w:pPr>
              <w:pStyle w:val="Compact"/>
              <w:jc w:val="left"/>
            </w:pPr>
            <w:r>
              <w:rPr>
                <w:b/>
                <w:bCs/>
              </w:rPr>
              <w:t xml:space="preserve">3</w:t>
            </w:r>
            <w:r>
              <w:t xml:space="preserve"> </w:t>
            </w:r>
            <w:r>
              <w:t xml:space="preserve">(Meets most metal limits, fails B)</w:t>
            </w:r>
          </w:p>
        </w:tc>
        <w:tc>
          <w:tcPr/>
          <w:p>
            <w:pPr>
              <w:pStyle w:val="Compact"/>
              <w:jc w:val="left"/>
            </w:pPr>
            <w:r>
              <w:rPr>
                <w:b/>
                <w:bCs/>
              </w:rPr>
              <w:t xml:space="preserve">3</w:t>
            </w:r>
            <w:r>
              <w:t xml:space="preserve"> </w:t>
            </w:r>
            <w:r>
              <w:t xml:space="preserve">(Low CAPEX, high sludge/reagent OPEX)</w:t>
            </w:r>
          </w:p>
        </w:tc>
        <w:tc>
          <w:tcPr/>
          <w:p>
            <w:pPr>
              <w:pStyle w:val="Compact"/>
              <w:jc w:val="left"/>
            </w:pPr>
            <w:r>
              <w:rPr>
                <w:b/>
                <w:bCs/>
              </w:rPr>
              <w:t xml:space="preserve">4</w:t>
            </w:r>
            <w:r>
              <w:t xml:space="preserve"> </w:t>
            </w:r>
            <w:r>
              <w:t xml:space="preserve">(Robust, well-automated process)</w:t>
            </w:r>
          </w:p>
        </w:tc>
        <w:tc>
          <w:tcPr/>
          <w:p>
            <w:pPr>
              <w:pStyle w:val="Compact"/>
              <w:jc w:val="left"/>
            </w:pPr>
            <w:r>
              <w:rPr>
                <w:b/>
                <w:bCs/>
              </w:rPr>
              <w:t xml:space="preserve">1</w:t>
            </w:r>
            <w:r>
              <w:t xml:space="preserve"> </w:t>
            </w:r>
            <w:r>
              <w:t xml:space="preserve">(Very high volume, hazardous sludge)</w:t>
            </w:r>
          </w:p>
        </w:tc>
        <w:tc>
          <w:tcPr/>
          <w:p>
            <w:pPr>
              <w:pStyle w:val="Compact"/>
              <w:jc w:val="left"/>
            </w:pPr>
            <w:r>
              <w:rPr>
                <w:b/>
                <w:bCs/>
              </w:rPr>
              <w:t xml:space="preserve">5</w:t>
            </w:r>
            <w:r>
              <w:t xml:space="preserve"> </w:t>
            </w:r>
            <w:r>
              <w:t xml:space="preserve">(TRL 9)</w:t>
            </w:r>
          </w:p>
        </w:tc>
        <w:tc>
          <w:tcPr/>
          <w:p>
            <w:pPr>
              <w:pStyle w:val="Compact"/>
              <w:jc w:val="left"/>
            </w:pPr>
            <w:r>
              <w:rPr>
                <w:b/>
                <w:bCs/>
              </w:rPr>
              <w:t xml:space="preserve">4</w:t>
            </w:r>
            <w:r>
              <w:t xml:space="preserve"> </w:t>
            </w:r>
            <w:r>
              <w:t xml:space="preserve">(Compact)</w:t>
            </w:r>
          </w:p>
        </w:tc>
      </w:tr>
      <w:tr>
        <w:tc>
          <w:tcPr/>
          <w:p>
            <w:pPr>
              <w:pStyle w:val="Compact"/>
              <w:jc w:val="left"/>
            </w:pPr>
            <w:r>
              <w:rPr>
                <w:b/>
                <w:bCs/>
              </w:rPr>
              <w:t xml:space="preserve">Ion Exchange (as Polisher)</w:t>
            </w:r>
          </w:p>
        </w:tc>
        <w:tc>
          <w:tcPr/>
          <w:p>
            <w:pPr>
              <w:pStyle w:val="Compact"/>
              <w:jc w:val="left"/>
            </w:pPr>
            <w:r>
              <w:rPr>
                <w:b/>
                <w:bCs/>
              </w:rPr>
              <w:t xml:space="preserve">4</w:t>
            </w:r>
            <w:r>
              <w:t xml:space="preserve"> </w:t>
            </w:r>
            <w:r>
              <w:t xml:space="preserve">(Meets very strict limits, incl. B)</w:t>
            </w:r>
          </w:p>
        </w:tc>
        <w:tc>
          <w:tcPr/>
          <w:p>
            <w:pPr>
              <w:pStyle w:val="Compact"/>
              <w:jc w:val="left"/>
            </w:pPr>
            <w:r>
              <w:rPr>
                <w:b/>
                <w:bCs/>
              </w:rPr>
              <w:t xml:space="preserve">2</w:t>
            </w:r>
            <w:r>
              <w:t xml:space="preserve"> </w:t>
            </w:r>
            <w:r>
              <w:t xml:space="preserve">(High OPEX due to regeneration/resin cost)</w:t>
            </w:r>
          </w:p>
        </w:tc>
        <w:tc>
          <w:tcPr/>
          <w:p>
            <w:pPr>
              <w:pStyle w:val="Compact"/>
              <w:jc w:val="left"/>
            </w:pPr>
            <w:r>
              <w:rPr>
                <w:b/>
                <w:bCs/>
              </w:rPr>
              <w:t xml:space="preserve">3</w:t>
            </w:r>
            <w:r>
              <w:t xml:space="preserve"> </w:t>
            </w:r>
            <w:r>
              <w:t xml:space="preserve">(Automated but requires chemical handling)</w:t>
            </w:r>
          </w:p>
        </w:tc>
        <w:tc>
          <w:tcPr/>
          <w:p>
            <w:pPr>
              <w:pStyle w:val="Compact"/>
              <w:jc w:val="left"/>
            </w:pPr>
            <w:r>
              <w:rPr>
                <w:b/>
                <w:bCs/>
              </w:rPr>
              <w:t xml:space="preserve">4</w:t>
            </w:r>
            <w:r>
              <w:t xml:space="preserve"> </w:t>
            </w:r>
            <w:r>
              <w:t xml:space="preserve">(Low solid waste, liquid regenerant)</w:t>
            </w:r>
          </w:p>
        </w:tc>
        <w:tc>
          <w:tcPr/>
          <w:p>
            <w:pPr>
              <w:pStyle w:val="Compact"/>
              <w:jc w:val="left"/>
            </w:pPr>
            <w:r>
              <w:rPr>
                <w:b/>
                <w:bCs/>
              </w:rPr>
              <w:t xml:space="preserve">5</w:t>
            </w:r>
            <w:r>
              <w:t xml:space="preserve"> </w:t>
            </w:r>
            <w:r>
              <w:t xml:space="preserve">(TRL 9)</w:t>
            </w:r>
          </w:p>
        </w:tc>
        <w:tc>
          <w:tcPr/>
          <w:p>
            <w:pPr>
              <w:pStyle w:val="Compact"/>
              <w:jc w:val="left"/>
            </w:pPr>
            <w:r>
              <w:rPr>
                <w:b/>
                <w:bCs/>
              </w:rPr>
              <w:t xml:space="preserve">5</w:t>
            </w:r>
            <w:r>
              <w:t xml:space="preserve"> </w:t>
            </w:r>
            <w:r>
              <w:t xml:space="preserve">(Very compact)</w:t>
            </w:r>
          </w:p>
        </w:tc>
      </w:tr>
      <w:tr>
        <w:tc>
          <w:tcPr/>
          <w:p>
            <w:pPr>
              <w:pStyle w:val="Compact"/>
              <w:jc w:val="left"/>
            </w:pPr>
            <w:r>
              <w:rPr>
                <w:b/>
                <w:bCs/>
              </w:rPr>
              <w:t xml:space="preserve">Activated Carbon (as Polisher)</w:t>
            </w:r>
          </w:p>
        </w:tc>
        <w:tc>
          <w:tcPr/>
          <w:p>
            <w:pPr>
              <w:pStyle w:val="Compact"/>
              <w:jc w:val="left"/>
            </w:pPr>
            <w:r>
              <w:rPr>
                <w:b/>
                <w:bCs/>
              </w:rPr>
              <w:t xml:space="preserve">2</w:t>
            </w:r>
            <w:r>
              <w:t xml:space="preserve"> </w:t>
            </w:r>
            <w:r>
              <w:t xml:space="preserve">(Good for organics, poor for most ions)</w:t>
            </w:r>
          </w:p>
        </w:tc>
        <w:tc>
          <w:tcPr/>
          <w:p>
            <w:pPr>
              <w:pStyle w:val="Compact"/>
              <w:jc w:val="left"/>
            </w:pPr>
            <w:r>
              <w:rPr>
                <w:b/>
                <w:bCs/>
              </w:rPr>
              <w:t xml:space="preserve">3</w:t>
            </w:r>
            <w:r>
              <w:t xml:space="preserve"> </w:t>
            </w:r>
            <w:r>
              <w:t xml:space="preserve">(Moderate CAPEX/OPEX)</w:t>
            </w:r>
          </w:p>
        </w:tc>
        <w:tc>
          <w:tcPr/>
          <w:p>
            <w:pPr>
              <w:pStyle w:val="Compact"/>
              <w:jc w:val="left"/>
            </w:pPr>
            <w:r>
              <w:rPr>
                <w:b/>
                <w:bCs/>
              </w:rPr>
              <w:t xml:space="preserve">5</w:t>
            </w:r>
            <w:r>
              <w:t xml:space="preserve"> </w:t>
            </w:r>
            <w:r>
              <w:t xml:space="preserve">(Very simple passive system)</w:t>
            </w:r>
          </w:p>
        </w:tc>
        <w:tc>
          <w:tcPr/>
          <w:p>
            <w:pPr>
              <w:pStyle w:val="Compact"/>
              <w:jc w:val="left"/>
            </w:pPr>
            <w:r>
              <w:rPr>
                <w:b/>
                <w:bCs/>
              </w:rPr>
              <w:t xml:space="preserve">4</w:t>
            </w:r>
            <w:r>
              <w:t xml:space="preserve"> </w:t>
            </w:r>
            <w:r>
              <w:t xml:space="preserve">(Low solid waste, requires regeneration)</w:t>
            </w:r>
          </w:p>
        </w:tc>
        <w:tc>
          <w:tcPr/>
          <w:p>
            <w:pPr>
              <w:pStyle w:val="Compact"/>
              <w:jc w:val="left"/>
            </w:pPr>
            <w:r>
              <w:rPr>
                <w:b/>
                <w:bCs/>
              </w:rPr>
              <w:t xml:space="preserve">5</w:t>
            </w:r>
            <w:r>
              <w:t xml:space="preserve"> </w:t>
            </w:r>
            <w:r>
              <w:t xml:space="preserve">(TRL 9)</w:t>
            </w:r>
          </w:p>
        </w:tc>
        <w:tc>
          <w:tcPr/>
          <w:p>
            <w:pPr>
              <w:pStyle w:val="Compact"/>
              <w:jc w:val="left"/>
            </w:pPr>
            <w:r>
              <w:rPr>
                <w:b/>
                <w:bCs/>
              </w:rPr>
              <w:t xml:space="preserve">4</w:t>
            </w:r>
            <w:r>
              <w:t xml:space="preserve"> </w:t>
            </w:r>
            <w:r>
              <w:t xml:space="preserve">(Compact)</w:t>
            </w:r>
          </w:p>
        </w:tc>
      </w:tr>
    </w:tbl>
    <w:bookmarkEnd w:id="36"/>
    <w:bookmarkStart w:id="37" w:name="decision-matrix-table-baseline-weights"/>
    <w:p>
      <w:pPr>
        <w:pStyle w:val="Heading3"/>
      </w:pPr>
      <w:r>
        <w:t xml:space="preserve">Decision Matrix Table (Baseline Weights)</w:t>
      </w:r>
    </w:p>
    <w:tbl>
      <w:tblPr>
        <w:tblStyle w:val="Table"/>
        <w:tblW w:type="pct" w:w="5000"/>
        <w:tblLayout w:type="fixed"/>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Technology</w:t>
            </w:r>
          </w:p>
        </w:tc>
        <w:tc>
          <w:tcPr/>
          <w:p>
            <w:pPr>
              <w:pStyle w:val="Compact"/>
              <w:jc w:val="left"/>
            </w:pPr>
            <w:r>
              <w:t xml:space="preserve">Compliance (x0.30)</w:t>
            </w:r>
          </w:p>
        </w:tc>
        <w:tc>
          <w:tcPr/>
          <w:p>
            <w:pPr>
              <w:pStyle w:val="Compact"/>
              <w:jc w:val="left"/>
            </w:pPr>
            <w:r>
              <w:t xml:space="preserve">Cost (x0.25)</w:t>
            </w:r>
          </w:p>
        </w:tc>
        <w:tc>
          <w:tcPr/>
          <w:p>
            <w:pPr>
              <w:pStyle w:val="Compact"/>
              <w:jc w:val="left"/>
            </w:pPr>
            <w:r>
              <w:t xml:space="preserve">Complexity (x0.15)</w:t>
            </w:r>
          </w:p>
        </w:tc>
        <w:tc>
          <w:tcPr/>
          <w:p>
            <w:pPr>
              <w:pStyle w:val="Compact"/>
              <w:jc w:val="left"/>
            </w:pPr>
            <w:r>
              <w:t xml:space="preserve">Sludge (x0.15)</w:t>
            </w:r>
          </w:p>
        </w:tc>
        <w:tc>
          <w:tcPr/>
          <w:p>
            <w:pPr>
              <w:pStyle w:val="Compact"/>
              <w:jc w:val="left"/>
            </w:pPr>
            <w:r>
              <w:t xml:space="preserve">TRL (x0.10)</w:t>
            </w:r>
          </w:p>
        </w:tc>
        <w:tc>
          <w:tcPr/>
          <w:p>
            <w:pPr>
              <w:pStyle w:val="Compact"/>
              <w:jc w:val="left"/>
            </w:pPr>
            <w:r>
              <w:t xml:space="preserve">Footprint (x0.05)</w:t>
            </w:r>
          </w:p>
        </w:tc>
        <w:tc>
          <w:tcPr/>
          <w:p>
            <w:pPr>
              <w:pStyle w:val="Compact"/>
              <w:jc w:val="left"/>
            </w:pPr>
            <w:r>
              <w:rPr>
                <w:b/>
                <w:bCs/>
              </w:rPr>
              <w:t xml:space="preserve">Total Score</w:t>
            </w:r>
          </w:p>
        </w:tc>
        <w:tc>
          <w:tcPr/>
          <w:p>
            <w:pPr>
              <w:pStyle w:val="Compact"/>
              <w:jc w:val="left"/>
            </w:pPr>
            <w:r>
              <w:rPr>
                <w:b/>
                <w:bCs/>
              </w:rPr>
              <w:t xml:space="preserve">Rank</w:t>
            </w:r>
          </w:p>
        </w:tc>
      </w:tr>
      <w:tr>
        <w:tc>
          <w:tcPr/>
          <w:p>
            <w:pPr>
              <w:pStyle w:val="Compact"/>
              <w:jc w:val="left"/>
            </w:pPr>
            <w:r>
              <w:t xml:space="preserve">Microalgae Biosorption</w:t>
            </w:r>
          </w:p>
        </w:tc>
        <w:tc>
          <w:tcPr/>
          <w:p>
            <w:pPr>
              <w:pStyle w:val="Compact"/>
              <w:jc w:val="left"/>
            </w:pPr>
            <w:r>
              <w:t xml:space="preserve">0.30</w:t>
            </w:r>
          </w:p>
        </w:tc>
        <w:tc>
          <w:tcPr/>
          <w:p>
            <w:pPr>
              <w:pStyle w:val="Compact"/>
              <w:jc w:val="left"/>
            </w:pPr>
            <w:r>
              <w:t xml:space="preserve">0.50</w:t>
            </w:r>
          </w:p>
        </w:tc>
        <w:tc>
          <w:tcPr/>
          <w:p>
            <w:pPr>
              <w:pStyle w:val="Compact"/>
              <w:jc w:val="left"/>
            </w:pPr>
            <w:r>
              <w:t xml:space="preserve">0.15</w:t>
            </w:r>
          </w:p>
        </w:tc>
        <w:tc>
          <w:tcPr/>
          <w:p>
            <w:pPr>
              <w:pStyle w:val="Compact"/>
              <w:jc w:val="left"/>
            </w:pPr>
            <w:r>
              <w:t xml:space="preserve">0.45</w:t>
            </w:r>
          </w:p>
        </w:tc>
        <w:tc>
          <w:tcPr/>
          <w:p>
            <w:pPr>
              <w:pStyle w:val="Compact"/>
              <w:jc w:val="left"/>
            </w:pPr>
            <w:r>
              <w:t xml:space="preserve">0.20</w:t>
            </w:r>
          </w:p>
        </w:tc>
        <w:tc>
          <w:tcPr/>
          <w:p>
            <w:pPr>
              <w:pStyle w:val="Compact"/>
              <w:jc w:val="left"/>
            </w:pPr>
            <w:r>
              <w:t xml:space="preserve">0.10</w:t>
            </w:r>
          </w:p>
        </w:tc>
        <w:tc>
          <w:tcPr/>
          <w:p>
            <w:pPr>
              <w:pStyle w:val="Compact"/>
              <w:jc w:val="left"/>
            </w:pPr>
            <w:r>
              <w:rPr>
                <w:b/>
                <w:bCs/>
              </w:rPr>
              <w:t xml:space="preserve">1.70</w:t>
            </w:r>
          </w:p>
        </w:tc>
        <w:tc>
          <w:tcPr/>
          <w:p>
            <w:pPr>
              <w:pStyle w:val="Compact"/>
              <w:jc w:val="left"/>
            </w:pPr>
            <w:r>
              <w:t xml:space="preserve">4</w:t>
            </w:r>
          </w:p>
        </w:tc>
      </w:tr>
      <w:tr>
        <w:tc>
          <w:tcPr/>
          <w:p>
            <w:pPr>
              <w:pStyle w:val="Compact"/>
              <w:jc w:val="left"/>
            </w:pPr>
            <w:r>
              <w:t xml:space="preserve">Chemical Precipitation</w:t>
            </w:r>
          </w:p>
        </w:tc>
        <w:tc>
          <w:tcPr/>
          <w:p>
            <w:pPr>
              <w:pStyle w:val="Compact"/>
              <w:jc w:val="left"/>
            </w:pPr>
            <w:r>
              <w:t xml:space="preserve">0.90</w:t>
            </w:r>
          </w:p>
        </w:tc>
        <w:tc>
          <w:tcPr/>
          <w:p>
            <w:pPr>
              <w:pStyle w:val="Compact"/>
              <w:jc w:val="left"/>
            </w:pPr>
            <w:r>
              <w:t xml:space="preserve">0.75</w:t>
            </w:r>
          </w:p>
        </w:tc>
        <w:tc>
          <w:tcPr/>
          <w:p>
            <w:pPr>
              <w:pStyle w:val="Compact"/>
              <w:jc w:val="left"/>
            </w:pPr>
            <w:r>
              <w:t xml:space="preserve">0.60</w:t>
            </w:r>
          </w:p>
        </w:tc>
        <w:tc>
          <w:tcPr/>
          <w:p>
            <w:pPr>
              <w:pStyle w:val="Compact"/>
              <w:jc w:val="left"/>
            </w:pPr>
            <w:r>
              <w:t xml:space="preserve">0.15</w:t>
            </w:r>
          </w:p>
        </w:tc>
        <w:tc>
          <w:tcPr/>
          <w:p>
            <w:pPr>
              <w:pStyle w:val="Compact"/>
              <w:jc w:val="left"/>
            </w:pPr>
            <w:r>
              <w:t xml:space="preserve">0.50</w:t>
            </w:r>
          </w:p>
        </w:tc>
        <w:tc>
          <w:tcPr/>
          <w:p>
            <w:pPr>
              <w:pStyle w:val="Compact"/>
              <w:jc w:val="left"/>
            </w:pPr>
            <w:r>
              <w:t xml:space="preserve">0.20</w:t>
            </w:r>
          </w:p>
        </w:tc>
        <w:tc>
          <w:tcPr/>
          <w:p>
            <w:pPr>
              <w:pStyle w:val="Compact"/>
              <w:jc w:val="left"/>
            </w:pPr>
            <w:r>
              <w:rPr>
                <w:b/>
                <w:bCs/>
              </w:rPr>
              <w:t xml:space="preserve">3.10</w:t>
            </w:r>
          </w:p>
        </w:tc>
        <w:tc>
          <w:tcPr/>
          <w:p>
            <w:pPr>
              <w:pStyle w:val="Compact"/>
              <w:jc w:val="left"/>
            </w:pPr>
            <w:r>
              <w:rPr>
                <w:b/>
                <w:bCs/>
              </w:rPr>
              <w:t xml:space="preserve">1</w:t>
            </w:r>
          </w:p>
        </w:tc>
      </w:tr>
      <w:tr>
        <w:tc>
          <w:tcPr/>
          <w:p>
            <w:pPr>
              <w:pStyle w:val="Compact"/>
              <w:jc w:val="left"/>
            </w:pPr>
            <w:r>
              <w:t xml:space="preserve">Ion Exchange (Polisher)</w:t>
            </w:r>
          </w:p>
        </w:tc>
        <w:tc>
          <w:tcPr/>
          <w:p>
            <w:pPr>
              <w:pStyle w:val="Compact"/>
              <w:jc w:val="left"/>
            </w:pPr>
            <w:r>
              <w:t xml:space="preserve">1.20</w:t>
            </w:r>
          </w:p>
        </w:tc>
        <w:tc>
          <w:tcPr/>
          <w:p>
            <w:pPr>
              <w:pStyle w:val="Compact"/>
              <w:jc w:val="left"/>
            </w:pPr>
            <w:r>
              <w:t xml:space="preserve">0.50</w:t>
            </w:r>
          </w:p>
        </w:tc>
        <w:tc>
          <w:tcPr/>
          <w:p>
            <w:pPr>
              <w:pStyle w:val="Compact"/>
              <w:jc w:val="left"/>
            </w:pPr>
            <w:r>
              <w:t xml:space="preserve">0.45</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0.25</w:t>
            </w:r>
          </w:p>
        </w:tc>
        <w:tc>
          <w:tcPr/>
          <w:p>
            <w:pPr>
              <w:pStyle w:val="Compact"/>
              <w:jc w:val="left"/>
            </w:pPr>
            <w:r>
              <w:rPr>
                <w:b/>
                <w:bCs/>
              </w:rPr>
              <w:t xml:space="preserve">3.50</w:t>
            </w:r>
          </w:p>
        </w:tc>
        <w:tc>
          <w:tcPr/>
          <w:p>
            <w:pPr>
              <w:pStyle w:val="Compact"/>
              <w:jc w:val="left"/>
            </w:pPr>
            <w:r>
              <w:t xml:space="preserve">N/A*</w:t>
            </w:r>
          </w:p>
        </w:tc>
      </w:tr>
      <w:tr>
        <w:tc>
          <w:tcPr/>
          <w:p>
            <w:pPr>
              <w:pStyle w:val="Compact"/>
              <w:jc w:val="left"/>
            </w:pPr>
            <w:r>
              <w:t xml:space="preserve">Activated Carbon (Polisher)</w:t>
            </w:r>
          </w:p>
        </w:tc>
        <w:tc>
          <w:tcPr/>
          <w:p>
            <w:pPr>
              <w:pStyle w:val="Compact"/>
              <w:jc w:val="left"/>
            </w:pPr>
            <w:r>
              <w:t xml:space="preserve">0.60</w:t>
            </w:r>
          </w:p>
        </w:tc>
        <w:tc>
          <w:tcPr/>
          <w:p>
            <w:pPr>
              <w:pStyle w:val="Compact"/>
              <w:jc w:val="left"/>
            </w:pPr>
            <w:r>
              <w:t xml:space="preserve">0.75</w:t>
            </w:r>
          </w:p>
        </w:tc>
        <w:tc>
          <w:tcPr/>
          <w:p>
            <w:pPr>
              <w:pStyle w:val="Compact"/>
              <w:jc w:val="left"/>
            </w:pPr>
            <w:r>
              <w:t xml:space="preserve">0.75</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0.20</w:t>
            </w:r>
          </w:p>
        </w:tc>
        <w:tc>
          <w:tcPr/>
          <w:p>
            <w:pPr>
              <w:pStyle w:val="Compact"/>
              <w:jc w:val="left"/>
            </w:pPr>
            <w:r>
              <w:rPr>
                <w:b/>
                <w:bCs/>
              </w:rPr>
              <w:t xml:space="preserve">3.40</w:t>
            </w:r>
          </w:p>
        </w:tc>
        <w:tc>
          <w:tcPr/>
          <w:p>
            <w:pPr>
              <w:pStyle w:val="Compact"/>
              <w:jc w:val="left"/>
            </w:pPr>
            <w:r>
              <w:t xml:space="preserve">N/A*</w:t>
            </w:r>
          </w:p>
        </w:tc>
      </w:tr>
    </w:tbl>
    <w:p>
      <w:pPr>
        <w:pStyle w:val="BodyText"/>
      </w:pPr>
      <w:r>
        <w:rPr>
          <w:i/>
          <w:iCs/>
        </w:rPr>
        <w:t xml:space="preserve">*Ion Exchange and Activated Carbon are polishing steps and not directly comparable as standalone primary treatments. However, their high scores indicate their value as part of a hybrid system.</w:t>
      </w:r>
    </w:p>
    <w:bookmarkEnd w:id="37"/>
    <w:bookmarkStart w:id="38" w:name="jurisdiction-specific-sensitivity"/>
    <w:p>
      <w:pPr>
        <w:pStyle w:val="Heading3"/>
      </w:pPr>
      <w:r>
        <w:t xml:space="preserve">Jurisdiction-Specific Sensitivity</w:t>
      </w:r>
    </w:p>
    <w:p>
      <w:pPr>
        <w:pStyle w:val="FirstParagraph"/>
      </w:pPr>
      <w:r>
        <w:t xml:space="preserve">The criteria weights are adjusted to reflect different regional priorities.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rPr>
                <w:b/>
                <w:bCs/>
              </w:rPr>
              <w:t xml:space="preserve">EU (Strict)</w:t>
            </w:r>
          </w:p>
        </w:tc>
        <w:tc>
          <w:tcPr/>
          <w:p>
            <w:pPr>
              <w:pStyle w:val="Compact"/>
              <w:jc w:val="center"/>
            </w:pPr>
            <w:r>
              <w:rPr>
                <w:b/>
                <w:bCs/>
              </w:rPr>
              <w:t xml:space="preserve">US (Moderate)</w:t>
            </w:r>
          </w:p>
        </w:tc>
        <w:tc>
          <w:tcPr/>
          <w:p>
            <w:pPr>
              <w:pStyle w:val="Compact"/>
              <w:jc w:val="center"/>
            </w:pPr>
            <w:r>
              <w:rPr>
                <w:b/>
                <w:bCs/>
              </w:rPr>
              <w:t xml:space="preserve">China (Cost)</w:t>
            </w:r>
          </w:p>
        </w:tc>
      </w:tr>
      <w:tr>
        <w:tc>
          <w:tcPr/>
          <w:p>
            <w:pPr>
              <w:pStyle w:val="Compact"/>
              <w:jc w:val="left"/>
            </w:pPr>
            <w:r>
              <w:t xml:space="preserve">Compliance</w:t>
            </w:r>
          </w:p>
        </w:tc>
        <w:tc>
          <w:tcPr/>
          <w:p>
            <w:pPr>
              <w:pStyle w:val="Compact"/>
              <w:jc w:val="center"/>
            </w:pPr>
            <w:r>
              <w:t xml:space="preserve">0.40</w:t>
            </w:r>
          </w:p>
        </w:tc>
        <w:tc>
          <w:tcPr/>
          <w:p>
            <w:pPr>
              <w:pStyle w:val="Compact"/>
              <w:jc w:val="center"/>
            </w:pPr>
            <w:r>
              <w:t xml:space="preserve">0.30</w:t>
            </w:r>
          </w:p>
        </w:tc>
        <w:tc>
          <w:tcPr/>
          <w:p>
            <w:pPr>
              <w:pStyle w:val="Compact"/>
              <w:jc w:val="center"/>
            </w:pPr>
            <w:r>
              <w:t xml:space="preserve">0.20</w:t>
            </w:r>
          </w:p>
        </w:tc>
      </w:tr>
      <w:tr>
        <w:tc>
          <w:tcPr/>
          <w:p>
            <w:pPr>
              <w:pStyle w:val="Compact"/>
              <w:jc w:val="left"/>
            </w:pPr>
            <w:r>
              <w:t xml:space="preserve">Cost</w:t>
            </w:r>
          </w:p>
        </w:tc>
        <w:tc>
          <w:tcPr/>
          <w:p>
            <w:pPr>
              <w:pStyle w:val="Compact"/>
              <w:jc w:val="center"/>
            </w:pPr>
            <w:r>
              <w:t xml:space="preserve">0.15</w:t>
            </w:r>
          </w:p>
        </w:tc>
        <w:tc>
          <w:tcPr/>
          <w:p>
            <w:pPr>
              <w:pStyle w:val="Compact"/>
              <w:jc w:val="center"/>
            </w:pPr>
            <w:r>
              <w:t xml:space="preserve">0.25</w:t>
            </w:r>
          </w:p>
        </w:tc>
        <w:tc>
          <w:tcPr/>
          <w:p>
            <w:pPr>
              <w:pStyle w:val="Compact"/>
              <w:jc w:val="center"/>
            </w:pPr>
            <w:r>
              <w:t xml:space="preserve">0.40</w:t>
            </w:r>
          </w:p>
        </w:tc>
      </w:tr>
      <w:tr>
        <w:tc>
          <w:tcPr/>
          <w:p>
            <w:pPr>
              <w:pStyle w:val="Compact"/>
              <w:jc w:val="left"/>
            </w:pPr>
            <w:r>
              <w:t xml:space="preserve">Complexity</w:t>
            </w:r>
          </w:p>
        </w:tc>
        <w:tc>
          <w:tcPr/>
          <w:p>
            <w:pPr>
              <w:pStyle w:val="Compact"/>
              <w:jc w:val="center"/>
            </w:pPr>
            <w:r>
              <w:t xml:space="preserve">0.15</w:t>
            </w:r>
          </w:p>
        </w:tc>
        <w:tc>
          <w:tcPr/>
          <w:p>
            <w:pPr>
              <w:pStyle w:val="Compact"/>
              <w:jc w:val="center"/>
            </w:pPr>
            <w:r>
              <w:t xml:space="preserve">0.15</w:t>
            </w:r>
          </w:p>
        </w:tc>
        <w:tc>
          <w:tcPr/>
          <w:p>
            <w:pPr>
              <w:pStyle w:val="Compact"/>
              <w:jc w:val="center"/>
            </w:pPr>
            <w:r>
              <w:t xml:space="preserve">0.15</w:t>
            </w:r>
          </w:p>
        </w:tc>
      </w:tr>
      <w:tr>
        <w:tc>
          <w:tcPr/>
          <w:p>
            <w:pPr>
              <w:pStyle w:val="Compact"/>
              <w:jc w:val="left"/>
            </w:pPr>
            <w:r>
              <w:t xml:space="preserve">Sludge</w:t>
            </w:r>
          </w:p>
        </w:tc>
        <w:tc>
          <w:tcPr/>
          <w:p>
            <w:pPr>
              <w:pStyle w:val="Compact"/>
              <w:jc w:val="center"/>
            </w:pPr>
            <w:r>
              <w:t xml:space="preserve">0.20</w:t>
            </w:r>
          </w:p>
        </w:tc>
        <w:tc>
          <w:tcPr/>
          <w:p>
            <w:pPr>
              <w:pStyle w:val="Compact"/>
              <w:jc w:val="center"/>
            </w:pPr>
            <w:r>
              <w:t xml:space="preserve">0.15</w:t>
            </w:r>
          </w:p>
        </w:tc>
        <w:tc>
          <w:tcPr/>
          <w:p>
            <w:pPr>
              <w:pStyle w:val="Compact"/>
              <w:jc w:val="center"/>
            </w:pPr>
            <w:r>
              <w:t xml:space="preserve">0.10</w:t>
            </w:r>
          </w:p>
        </w:tc>
      </w:tr>
      <w:tr>
        <w:tc>
          <w:tcPr/>
          <w:p>
            <w:pPr>
              <w:pStyle w:val="Compact"/>
              <w:jc w:val="left"/>
            </w:pPr>
            <w:r>
              <w:t xml:space="preserve">TRL</w:t>
            </w:r>
          </w:p>
        </w:tc>
        <w:tc>
          <w:tcPr/>
          <w:p>
            <w:pPr>
              <w:pStyle w:val="Compact"/>
              <w:jc w:val="center"/>
            </w:pPr>
            <w:r>
              <w:t xml:space="preserve">0.05</w:t>
            </w:r>
          </w:p>
        </w:tc>
        <w:tc>
          <w:tcPr/>
          <w:p>
            <w:pPr>
              <w:pStyle w:val="Compact"/>
              <w:jc w:val="center"/>
            </w:pPr>
            <w:r>
              <w:t xml:space="preserve">0.10</w:t>
            </w:r>
          </w:p>
        </w:tc>
        <w:tc>
          <w:tcPr/>
          <w:p>
            <w:pPr>
              <w:pStyle w:val="Compact"/>
              <w:jc w:val="center"/>
            </w:pPr>
            <w:r>
              <w:t xml:space="preserve">0.10</w:t>
            </w:r>
          </w:p>
        </w:tc>
      </w:tr>
      <w:tr>
        <w:tc>
          <w:tcPr/>
          <w:p>
            <w:pPr>
              <w:pStyle w:val="Compact"/>
              <w:jc w:val="left"/>
            </w:pPr>
            <w:r>
              <w:t xml:space="preserve">Footprint</w:t>
            </w:r>
          </w:p>
        </w:tc>
        <w:tc>
          <w:tcPr/>
          <w:p>
            <w:pPr>
              <w:pStyle w:val="Compact"/>
              <w:jc w:val="center"/>
            </w:pPr>
            <w:r>
              <w:t xml:space="preserve">0.05</w:t>
            </w:r>
          </w:p>
        </w:tc>
        <w:tc>
          <w:tcPr/>
          <w:p>
            <w:pPr>
              <w:pStyle w:val="Compact"/>
              <w:jc w:val="center"/>
            </w:pPr>
            <w:r>
              <w:t xml:space="preserve">0.05</w:t>
            </w:r>
          </w:p>
        </w:tc>
        <w:tc>
          <w:tcPr/>
          <w:p>
            <w:pPr>
              <w:pStyle w:val="Compact"/>
              <w:jc w:val="center"/>
            </w:pPr>
            <w:r>
              <w:t xml:space="preserve">0.05</w:t>
            </w:r>
          </w:p>
        </w:tc>
      </w:tr>
      <w:tr>
        <w:tc>
          <w:tcPr/>
          <w:p>
            <w:pPr>
              <w:pStyle w:val="Compact"/>
              <w:jc w:val="left"/>
            </w:pPr>
            <w:r>
              <w:rPr>
                <w:b/>
                <w:bCs/>
              </w:rPr>
              <w:t xml:space="preserve">Winning Technology (Primary)</w:t>
            </w:r>
          </w:p>
        </w:tc>
        <w:tc>
          <w:tcPr/>
          <w:p>
            <w:pPr>
              <w:pStyle w:val="Compact"/>
              <w:jc w:val="center"/>
            </w:pPr>
            <w:r>
              <w:rPr>
                <w:b/>
                <w:bCs/>
              </w:rPr>
              <w:t xml:space="preserve">Chemical Precipitation</w:t>
            </w:r>
            <w:r>
              <w:t xml:space="preserve"> </w:t>
            </w:r>
            <w:r>
              <w:t xml:space="preserve">(Score: 3.10)</w:t>
            </w:r>
          </w:p>
        </w:tc>
        <w:tc>
          <w:tcPr/>
          <w:p>
            <w:pPr>
              <w:pStyle w:val="Compact"/>
              <w:jc w:val="center"/>
            </w:pPr>
            <w:r>
              <w:rPr>
                <w:b/>
                <w:bCs/>
              </w:rPr>
              <w:t xml:space="preserve">Chemical Precipitation</w:t>
            </w:r>
            <w:r>
              <w:t xml:space="preserve"> </w:t>
            </w:r>
            <w:r>
              <w:t xml:space="preserve">(Score: 3.10)</w:t>
            </w:r>
          </w:p>
        </w:tc>
        <w:tc>
          <w:tcPr/>
          <w:p>
            <w:pPr>
              <w:pStyle w:val="Compact"/>
              <w:jc w:val="center"/>
            </w:pPr>
            <w:r>
              <w:rPr>
                <w:b/>
                <w:bCs/>
              </w:rPr>
              <w:t xml:space="preserve">Chemical Precipitation</w:t>
            </w:r>
            <w:r>
              <w:t xml:space="preserve"> </w:t>
            </w:r>
            <w:r>
              <w:t xml:space="preserve">(Score: 3.25)</w:t>
            </w:r>
          </w:p>
        </w:tc>
      </w:tr>
    </w:tbl>
    <w:bookmarkEnd w:id="38"/>
    <w:bookmarkStart w:id="39" w:name="final-recommendation"/>
    <w:p>
      <w:pPr>
        <w:pStyle w:val="Heading3"/>
      </w:pPr>
      <w:r>
        <w:t xml:space="preserve">Final Recommendation</w:t>
      </w:r>
    </w:p>
    <w:p>
      <w:pPr>
        <w:pStyle w:val="FirstParagraph"/>
      </w:pPr>
      <w:r>
        <w:t xml:space="preserve">Across all tested weighting scenarios,</w:t>
      </w:r>
      <w:r>
        <w:t xml:space="preserve"> </w:t>
      </w:r>
      <w:r>
        <w:rPr>
          <w:b/>
          <w:bCs/>
        </w:rPr>
        <w:t xml:space="preserve">Chemical Precipitation</w:t>
      </w:r>
      <w:r>
        <w:t xml:space="preserve"> </w:t>
      </w:r>
      <w:r>
        <w:t xml:space="preserve">remains the highest-ranked primary treatment technology. Its maturity, reliability, and effectiveness at removing the bulk of regulated metals outweigh its significant drawbacks in sludge production and inability to remove boron.</w:t>
      </w:r>
    </w:p>
    <w:p>
      <w:pPr>
        <w:pStyle w:val="BodyText"/>
      </w:pPr>
      <w:r>
        <w:t xml:space="preserve">The analysis strongly suggests that a</w:t>
      </w:r>
      <w:r>
        <w:t xml:space="preserve"> </w:t>
      </w:r>
      <w:r>
        <w:rPr>
          <w:b/>
          <w:bCs/>
        </w:rPr>
        <w:t xml:space="preserve">hybrid approach</w:t>
      </w:r>
      <w:r>
        <w:t xml:space="preserve"> </w:t>
      </w:r>
      <w:r>
        <w:t xml:space="preserve">is necessary for full compliance, especially in jurisdictions with strict boron limits like the EU. The optimal configuration would be:</w:t>
      </w:r>
    </w:p>
    <w:p>
      <w:pPr>
        <w:pStyle w:val="Compact"/>
        <w:numPr>
          <w:ilvl w:val="0"/>
          <w:numId w:val="1013"/>
        </w:numPr>
      </w:pPr>
      <w:r>
        <w:rPr>
          <w:b/>
          <w:bCs/>
        </w:rPr>
        <w:t xml:space="preserve">Primary Treatment:</w:t>
      </w:r>
      <w:r>
        <w:t xml:space="preserve"> </w:t>
      </w:r>
      <w:r>
        <w:t xml:space="preserve">Chemical precipitation to remove the bulk of Fe, REEs, and other precipitable metals.</w:t>
      </w:r>
    </w:p>
    <w:p>
      <w:pPr>
        <w:pStyle w:val="Compact"/>
        <w:numPr>
          <w:ilvl w:val="0"/>
          <w:numId w:val="1013"/>
        </w:numPr>
      </w:pPr>
      <w:r>
        <w:rPr>
          <w:b/>
          <w:bCs/>
        </w:rPr>
        <w:t xml:space="preserve">Secondary/Polishing Treatment:</w:t>
      </w:r>
      <w:r>
        <w:t xml:space="preserve"> </w:t>
      </w:r>
      <w:r>
        <w:t xml:space="preserve">An Ion Exchange system using boron-selective resins to meet the stringent boron limits and remove any residual trace metals.</w:t>
      </w:r>
    </w:p>
    <w:p>
      <w:pPr>
        <w:pStyle w:val="FirstParagraph"/>
      </w:pPr>
      <w:r>
        <w:t xml:space="preserve">Microalgae biosorption, in its current state (TRL 3-5), is not a viable standalone solution for achieving regulatory compliance for complex NdFeB leachates. Its low scores in compliance, complexity, and TRL make it a high-risk option. However, if the challenges of iron interference and co-contaminant toxicity can be overcome through the proposed research, it could potentially serve as a lower-cost, greener polishing step to replace or augment ion exchange in the future, particularly if metal recovery from the biomass becomes economically viable.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2026-02-12T16:44:00Z</dcterms:created>
  <dcterms:modified xsi:type="dcterms:W3CDTF">2026-02-12T16:44:00Z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