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c93c617aaa2f2b202e91804683068c1b509288b"/>
    <w:p>
      <w:pPr>
        <w:pStyle w:val="Heading1"/>
      </w:pPr>
      <w:r>
        <w:t xml:space="preserve">Data Analysis Pipeline: ICP-MS to Compliance Dashboard for NdFeB Magnet Leachate Microalgae Treatment</w:t>
      </w:r>
    </w:p>
    <w:bookmarkStart w:id="20" w:name="summary"/>
    <w:p>
      <w:pPr>
        <w:pStyle w:val="Heading2"/>
      </w:pPr>
      <w:r>
        <w:t xml:space="preserve">Summary</w:t>
      </w:r>
    </w:p>
    <w:p>
      <w:pPr>
        <w:pStyle w:val="FirstParagraph"/>
      </w:pPr>
      <w:r>
        <w:t xml:space="preserve">This deliverable specifies a reproducible, audit-friendly data workflow that starts with instrument exports from ICP‑MS software (e.g., Agilent MassHunter and Thermo Qtegra ISDS) and ends with (i) statistically defensible screening/optimization models (DSD then RSM) and (ii) a jurisdiction-selectable compliance dashboard that compares final treated effluent concentrations against discharge limits. The architecture is grounded in sources describing MassHunter CSV export behavior, QC sequencing (blanks/standards/QC/sample ordering), CCV frequency expectations (every 10 samples), and the availability of DOE/RSM and desirability tooling in JMP and R’s</w:t>
      </w:r>
      <w:r>
        <w:t xml:space="preserve"> </w:t>
      </w:r>
      <w:r>
        <w:rPr>
          <w:b/>
          <w:bCs/>
        </w:rPr>
        <w:t xml:space="preserve">rsm</w:t>
      </w:r>
      <w:r>
        <w:t xml:space="preserve"> </w:t>
      </w:r>
      <w:r>
        <w:t xml:space="preserve">ecosystem.</w:t>
      </w:r>
    </w:p>
    <w:bookmarkEnd w:id="20"/>
    <w:bookmarkStart w:id="21" w:name="pipeline-overview"/>
    <w:p>
      <w:pPr>
        <w:pStyle w:val="Heading2"/>
      </w:pPr>
      <w:r>
        <w:t xml:space="preserve">Pipeline overview</w:t>
      </w:r>
    </w:p>
    <w:p>
      <w:pPr>
        <w:pStyle w:val="FirstParagraph"/>
      </w:pPr>
      <w:r>
        <w:t xml:space="preserve">The end-to-end workflow is organized as a linear “data product” chain where each stage outputs a versioned table that the next stage consumes. This linearity is important because regulatory-style data validation distinguishes raw instrument outputs from validated deliverables that are recalculable and traceable.</w:t>
      </w:r>
    </w:p>
    <w:p>
      <w:pPr>
        <w:pStyle w:val="BodyText"/>
      </w:pPr>
      <w:r>
        <w:t xml:space="preserve">Raw ICP-MS export (CSV/XML/PDF) → Python QC screening → validated, analysis-ready dataset → DSD screening analysis (JMP or R) → RSM modeling (JMP or R or Python) → multi-response desirability optimization → compliance dashboard (R Shiny or Python Dash alternative) → automated report outputs (interactive HTML / model summaries / exported CSV).</w:t>
      </w:r>
    </w:p>
    <w:bookmarkEnd w:id="21"/>
    <w:bookmarkStart w:id="25" w:name="stage-1"/>
    <w:p>
      <w:pPr>
        <w:pStyle w:val="Heading2"/>
      </w:pPr>
      <w:r>
        <w:t xml:space="preserve">Stage 1</w:t>
      </w:r>
    </w:p>
    <w:bookmarkStart w:id="22" w:name="stage-1-data-ingestion-and-normalization"/>
    <w:p>
      <w:pPr>
        <w:pStyle w:val="Heading3"/>
      </w:pPr>
      <w:r>
        <w:t xml:space="preserve">Stage 1 data ingestion and normalization</w:t>
      </w:r>
    </w:p>
    <w:p>
      <w:pPr>
        <w:pStyle w:val="FirstParagraph"/>
      </w:pPr>
      <w:r>
        <w:t xml:space="preserve">Agilent MassHunter can produce per-sample CSV exports, including “CPS Data to CSV” outputs that contain counts-per-second data (e.g., “5000 count/sec”).</w:t>
      </w:r>
    </w:p>
    <w:p>
      <w:pPr>
        <w:pStyle w:val="BodyText"/>
      </w:pPr>
      <w:r>
        <w:t xml:space="preserve">MassHunter export automation can be configured by selecting “Tabulate Chart after Sample Acquisition” and setting file format to .csv with CPS data format, which supports a consistent batch export pattern for downstream scripts.</w:t>
      </w:r>
    </w:p>
    <w:p>
      <w:pPr>
        <w:pStyle w:val="BodyText"/>
      </w:pPr>
      <w:r>
        <w:t xml:space="preserve">For troubleshooting and reproducibility, downstream importers may require strict consistency in exported formatting (e.g., timestamp/format alignment), and import errors should be addressed by ensuring the export format matches tool expectations.</w:t>
      </w:r>
    </w:p>
    <w:p>
      <w:pPr>
        <w:pStyle w:val="BodyText"/>
      </w:pPr>
      <w:r>
        <w:t xml:space="preserve">Thermo’s Qtegra ISDS software is described as being used to control the ICP‑MS instrument and to “generate, process, and report analytical data,” and it includes “flags and limits” features to highlight values outside acceptable concentration ranges for easier review.</w:t>
      </w:r>
    </w:p>
    <w:p>
      <w:pPr>
        <w:pStyle w:val="BodyText"/>
      </w:pPr>
      <w:r>
        <w:t xml:space="preserve">MassHunter performance-report exports are explicitly supported as PDF and XML (for technical support and troubleshooting), which provides an additional machine-readable artifact even when the primary quantitative export is a CSV table.</w:t>
      </w:r>
    </w:p>
    <w:p>
      <w:pPr>
        <w:pStyle w:val="BodyText"/>
      </w:pPr>
      <w:r>
        <w:t xml:space="preserve">If vendor software does not support a desired batch export in a directly accessible format, community guidance notes that MSConvert from ProteoWizard can be used for conversion workflows.</w:t>
      </w:r>
    </w:p>
    <w:bookmarkEnd w:id="22"/>
    <w:bookmarkStart w:id="23" w:name="stage-1-tabular-schema"/>
    <w:p>
      <w:pPr>
        <w:pStyle w:val="Heading3"/>
      </w:pPr>
      <w:r>
        <w:t xml:space="preserve">Stage 1 tabular schema</w:t>
      </w:r>
    </w:p>
    <w:p>
      <w:pPr>
        <w:pStyle w:val="FirstParagraph"/>
      </w:pPr>
      <w:r>
        <w:t xml:space="preserve">To enable automated QC, model fitting, and compliance checking, the pipeline uses a “long” table schema (one analyte per row per sample) that can be reshaped to a wide matrix for modeling as needed. This mirrors the general goal in mass-spectrometry pipelines of turning a complicated table into a usable matrix object for downstream analysis.</w:t>
      </w:r>
    </w:p>
    <w:p>
      <w:pPr>
        <w:pStyle w:val="BodyText"/>
      </w:pPr>
      <w:r>
        <w:t xml:space="preserve">A practical column set is consistent with the project’s instrument-export requirement that CSV includes at least: Sample ID, Analyte, Isotope, Concentration, Units, Internal Standard Recovery, Dilution Factor, and Analysis Date/Time.</w:t>
      </w:r>
    </w:p>
    <w:p>
      <w:pPr>
        <w:pStyle w:val="BodyText"/>
      </w:pPr>
      <w:r>
        <w:t xml:space="preserve">The ingestion layer should also capture batch/run metadata needed for validation such as batch ID and QC sample type, which can be inferred from file names in some tooling.</w:t>
      </w:r>
    </w:p>
    <w:p>
      <w:pPr>
        <w:pStyle w:val="BodyText"/>
      </w:pPr>
      <w:r>
        <w:t xml:space="preserve">One automation-ready schema is therefore: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Purpose</w:t>
            </w:r>
          </w:p>
        </w:tc>
      </w:tr>
      <w:tr>
        <w:tc>
          <w:tcPr/>
          <w:p>
            <w:pPr>
              <w:pStyle w:val="Compact"/>
            </w:pPr>
            <w:r>
              <w:t xml:space="preserve">Sample_ID</w:t>
            </w:r>
          </w:p>
        </w:tc>
        <w:tc>
          <w:tcPr/>
          <w:p>
            <w:pPr>
              <w:pStyle w:val="Compact"/>
            </w:pPr>
            <w:r>
              <w:t xml:space="preserve">Primary key for joining to lab notebook/run logs</w:t>
            </w:r>
          </w:p>
        </w:tc>
      </w:tr>
      <w:tr>
        <w:tc>
          <w:tcPr/>
          <w:p>
            <w:pPr>
              <w:pStyle w:val="Compact"/>
            </w:pPr>
            <w:r>
              <w:t xml:space="preserve">Batch_ID</w:t>
            </w:r>
          </w:p>
        </w:tc>
        <w:tc>
          <w:tcPr/>
          <w:p>
            <w:pPr>
              <w:pStyle w:val="Compact"/>
            </w:pPr>
            <w:r>
              <w:t xml:space="preserve">Links results to a specific acquisition/QC sequence</w:t>
            </w:r>
          </w:p>
        </w:tc>
      </w:tr>
      <w:tr>
        <w:tc>
          <w:tcPr/>
          <w:p>
            <w:pPr>
              <w:pStyle w:val="Compact"/>
            </w:pPr>
            <w:r>
              <w:t xml:space="preserve">Analysis_DateTime</w:t>
            </w:r>
          </w:p>
        </w:tc>
        <w:tc>
          <w:tcPr/>
          <w:p>
            <w:pPr>
              <w:pStyle w:val="Compact"/>
            </w:pPr>
            <w:r>
              <w:t xml:space="preserve">Enables drift visualization and run-order effects</w:t>
            </w:r>
          </w:p>
        </w:tc>
      </w:tr>
      <w:tr>
        <w:tc>
          <w:tcPr/>
          <w:p>
            <w:pPr>
              <w:pStyle w:val="Compact"/>
            </w:pPr>
            <w:r>
              <w:t xml:space="preserve">Analyte</w:t>
            </w:r>
          </w:p>
        </w:tc>
        <w:tc>
          <w:tcPr/>
          <w:p>
            <w:pPr>
              <w:pStyle w:val="Compact"/>
            </w:pPr>
            <w:r>
              <w:t xml:space="preserve">Metal/element name for compliance mapping</w:t>
            </w:r>
          </w:p>
        </w:tc>
      </w:tr>
      <w:tr>
        <w:tc>
          <w:tcPr/>
          <w:p>
            <w:pPr>
              <w:pStyle w:val="Compact"/>
            </w:pPr>
            <w:r>
              <w:t xml:space="preserve">Isotope</w:t>
            </w:r>
          </w:p>
        </w:tc>
        <w:tc>
          <w:tcPr/>
          <w:p>
            <w:pPr>
              <w:pStyle w:val="Compact"/>
            </w:pPr>
            <w:r>
              <w:t xml:space="preserve">Supports interference-aware QA and isotope selection</w:t>
            </w:r>
          </w:p>
        </w:tc>
      </w:tr>
      <w:tr>
        <w:tc>
          <w:tcPr/>
          <w:p>
            <w:pPr>
              <w:pStyle w:val="Compact"/>
            </w:pPr>
            <w:r>
              <w:t xml:space="preserve">Concentration</w:t>
            </w:r>
          </w:p>
        </w:tc>
        <w:tc>
          <w:tcPr/>
          <w:p>
            <w:pPr>
              <w:pStyle w:val="Compact"/>
            </w:pPr>
            <w:r>
              <w:t xml:space="preserve">Core quantitative result for modeling and compliance</w:t>
            </w:r>
          </w:p>
        </w:tc>
      </w:tr>
      <w:tr>
        <w:tc>
          <w:tcPr/>
          <w:p>
            <w:pPr>
              <w:pStyle w:val="Compact"/>
            </w:pPr>
            <w:r>
              <w:t xml:space="preserve">Units</w:t>
            </w:r>
          </w:p>
        </w:tc>
        <w:tc>
          <w:tcPr/>
          <w:p>
            <w:pPr>
              <w:pStyle w:val="Compact"/>
            </w:pPr>
            <w:r>
              <w:t xml:space="preserve">Prevents silent unit errors (µg/L vs mg/L)</w:t>
            </w:r>
          </w:p>
        </w:tc>
      </w:tr>
      <w:tr>
        <w:tc>
          <w:tcPr/>
          <w:p>
            <w:pPr>
              <w:pStyle w:val="Compact"/>
            </w:pPr>
            <w:r>
              <w:t xml:space="preserve">Dilution_Factor</w:t>
            </w:r>
          </w:p>
        </w:tc>
        <w:tc>
          <w:tcPr/>
          <w:p>
            <w:pPr>
              <w:pStyle w:val="Compact"/>
            </w:pPr>
            <w:r>
              <w:t xml:space="preserve">Enables dilution correction for high-Fe matrix handling</w:t>
            </w:r>
          </w:p>
        </w:tc>
      </w:tr>
      <w:tr>
        <w:tc>
          <w:tcPr/>
          <w:p>
            <w:pPr>
              <w:pStyle w:val="Compact"/>
            </w:pPr>
            <w:r>
              <w:t xml:space="preserve">Internal_Std_Recovery_pct</w:t>
            </w:r>
          </w:p>
        </w:tc>
        <w:tc>
          <w:tcPr/>
          <w:p>
            <w:pPr>
              <w:pStyle w:val="Compact"/>
            </w:pPr>
            <w:r>
              <w:t xml:space="preserve">Supports internal-standard QC rules</w:t>
            </w:r>
          </w:p>
        </w:tc>
      </w:tr>
      <w:tr>
        <w:tc>
          <w:tcPr/>
          <w:p>
            <w:pPr>
              <w:pStyle w:val="Compact"/>
            </w:pPr>
            <w:r>
              <w:t xml:space="preserve">Sample_Type</w:t>
            </w:r>
          </w:p>
        </w:tc>
        <w:tc>
          <w:tcPr/>
          <w:p>
            <w:pPr>
              <w:pStyle w:val="Compact"/>
            </w:pPr>
            <w:r>
              <w:t xml:space="preserve">Sample/QC/blank classification for QC stratification</w:t>
            </w:r>
          </w:p>
        </w:tc>
      </w:tr>
    </w:tbl>
    <w:bookmarkEnd w:id="23"/>
    <w:bookmarkStart w:id="24" w:name="stage-1-parsing-options"/>
    <w:p>
      <w:pPr>
        <w:pStyle w:val="Heading3"/>
      </w:pPr>
      <w:r>
        <w:t xml:space="preserve">Stage 1 parsing options</w:t>
      </w:r>
    </w:p>
    <w:p>
      <w:pPr>
        <w:pStyle w:val="FirstParagraph"/>
      </w:pPr>
      <w:r>
        <w:t xml:space="preserve">If MassHunter exports are available as CSV tables, they can be parsed into analysis-friendly data frames in R using dedicated parsers that explicitly target MassHunter CSV outputs.</w:t>
      </w:r>
    </w:p>
    <w:p>
      <w:pPr>
        <w:pStyle w:val="BodyText"/>
      </w:pPr>
      <w:r>
        <w:t xml:space="preserve">For example,</w:t>
      </w:r>
      <w:r>
        <w:t xml:space="preserve"> </w:t>
      </w:r>
      <w:r>
        <w:rPr>
          <w:b/>
          <w:bCs/>
        </w:rPr>
        <w:t xml:space="preserve">parse_agilent</w:t>
      </w:r>
      <w:r>
        <w:t xml:space="preserve"> </w:t>
      </w:r>
      <w:r>
        <w:t xml:space="preserve">describes itself as providing R functions to parse MassHunter CSV outputs and return results as a data frame, with requirements that include R, tidyverse, and data.table.</w:t>
      </w:r>
    </w:p>
    <w:p>
      <w:pPr>
        <w:pStyle w:val="BodyText"/>
      </w:pPr>
      <w:r>
        <w:t xml:space="preserve">Similarly,</w:t>
      </w:r>
      <w:r>
        <w:t xml:space="preserve"> </w:t>
      </w:r>
      <w:r>
        <w:rPr>
          <w:b/>
          <w:bCs/>
        </w:rPr>
        <w:t xml:space="preserve">MasshunteR</w:t>
      </w:r>
      <w:r>
        <w:t xml:space="preserve"> </w:t>
      </w:r>
      <w:r>
        <w:t xml:space="preserve">imports the MassHunter Quant CSV output table, can import a compound–ISTD mapping CSV, normalizes by internal standards, calculates concentrations, auto-classifies samples by file name, and produces QC charts.</w:t>
      </w:r>
    </w:p>
    <w:p>
      <w:pPr>
        <w:pStyle w:val="BodyText"/>
      </w:pPr>
      <w:r>
        <w:t xml:space="preserve">For broader vendor-format parsing and export to standard formats,</w:t>
      </w:r>
      <w:r>
        <w:t xml:space="preserve"> </w:t>
      </w:r>
      <w:r>
        <w:rPr>
          <w:b/>
          <w:bCs/>
        </w:rPr>
        <w:t xml:space="preserve">chromConverter</w:t>
      </w:r>
      <w:r>
        <w:t xml:space="preserve"> </w:t>
      </w:r>
      <w:r>
        <w:t xml:space="preserve">provides a unified interface to parsers and can export chromatogram-derived data to csv/mzml/cdf when an export format is specified, returning data as matrix/data.frame objects.</w:t>
      </w:r>
    </w:p>
    <w:bookmarkEnd w:id="24"/>
    <w:bookmarkEnd w:id="25"/>
    <w:bookmarkStart w:id="29" w:name="stage-2"/>
    <w:p>
      <w:pPr>
        <w:pStyle w:val="Heading2"/>
      </w:pPr>
      <w:r>
        <w:t xml:space="preserve">Stage 2</w:t>
      </w:r>
    </w:p>
    <w:bookmarkStart w:id="26" w:name="stage-2-qc-screening-and-data-validation"/>
    <w:p>
      <w:pPr>
        <w:pStyle w:val="Heading3"/>
      </w:pPr>
      <w:r>
        <w:t xml:space="preserve">Stage 2 QC screening and data validation</w:t>
      </w:r>
    </w:p>
    <w:p>
      <w:pPr>
        <w:pStyle w:val="FirstParagraph"/>
      </w:pPr>
      <w:r>
        <w:t xml:space="preserve">The QC layer is designed to support “Stage 3 validation” style requirements, where selected samples may need recalculation/re-quantification from raw outputs and QC review.</w:t>
      </w:r>
    </w:p>
    <w:p>
      <w:pPr>
        <w:pStyle w:val="BodyText"/>
      </w:pPr>
      <w:r>
        <w:t xml:space="preserve">For metals-by-ICP‑MS validation workflows, guidance emphasizes that instruments should be calibrated for all target analytes plus any required for interference correction, and that internal standards should be added to all calibration standards, blanks, instrument QC checks, samples, and batch QC.</w:t>
      </w:r>
    </w:p>
    <w:p>
      <w:pPr>
        <w:pStyle w:val="BodyText"/>
      </w:pPr>
      <w:r>
        <w:t xml:space="preserve">A core QC scheduling expectation is that continuing calibration verification (CCV) standards must be analyzed after every 10 field samples and at the end of the analytical run, which enables drift monitoring and correction triggers.</w:t>
      </w:r>
    </w:p>
    <w:p>
      <w:pPr>
        <w:pStyle w:val="BodyText"/>
      </w:pPr>
      <w:r>
        <w:t xml:space="preserve">Complementary guidance also describes CCV frequency (every 10 samples) and notes that acceptance criteria are commonly set (e.g., ±10% of the true value) for CCV checks, which supports implementing a deterministic rule engine in code.</w:t>
      </w:r>
    </w:p>
    <w:p>
      <w:pPr>
        <w:pStyle w:val="BodyText"/>
      </w:pPr>
      <w:r>
        <w:t xml:space="preserve">Validation workflows include review of sequence logs to confirm that all QC samples were analyzed in the correct order within a batch, which is why Batch_ID and run order should be preserved in the data model.</w:t>
      </w:r>
    </w:p>
    <w:p>
      <w:pPr>
        <w:pStyle w:val="BodyText"/>
      </w:pPr>
      <w:r>
        <w:t xml:space="preserve">Field blank detections require context-sensitive qualification rules that depend on relative blank vs sample concentrations, reinforcing that the QC layer must include blank association logic.</w:t>
      </w:r>
    </w:p>
    <w:p>
      <w:pPr>
        <w:pStyle w:val="BodyText"/>
      </w:pPr>
      <w:r>
        <w:t xml:space="preserve">Finally, guidance on modern ICP‑MS workflows explicitly emphasizes “automated screening and blank drift correction” to maintain data integrity, which supports implementing automated blank/drift checks prior to any DOE/RSM modeling.</w:t>
      </w:r>
    </w:p>
    <w:bookmarkEnd w:id="26"/>
    <w:bookmarkStart w:id="27" w:name="Xd4d02af97b6cd2d3a9ad3097ff9ad5255cc6b33"/>
    <w:p>
      <w:pPr>
        <w:pStyle w:val="Heading3"/>
      </w:pPr>
      <w:r>
        <w:t xml:space="preserve">Stage 2 blank subtraction and drift correction</w:t>
      </w:r>
    </w:p>
    <w:p>
      <w:pPr>
        <w:pStyle w:val="FirstParagraph"/>
      </w:pPr>
      <w:r>
        <w:t xml:space="preserve">Drift and blank effects can be monitored and corrected using periodic check standards and blank measurements embedded in the run. This is supported by descriptions of drift checks that compare results for a standard measured before and after sample analysis, and by sequences where a standard is repeated periodically throughout a mixed sample-type run.</w:t>
      </w:r>
    </w:p>
    <w:p>
      <w:pPr>
        <w:pStyle w:val="BodyText"/>
      </w:pPr>
      <w:r>
        <w:t xml:space="preserve">A conservative, implementation-ready approach is to compute (i) blank-corrected concentrations, (ii) drift factors inferred from periodic CCV/QC standard recoveries, and (iii) corrected concentrations, then to qualify or reject results when QC checks fail beyond acceptance windows defined by the project’s QAPP/method.</w:t>
      </w:r>
    </w:p>
    <w:bookmarkEnd w:id="27"/>
    <w:bookmarkStart w:id="28" w:name="stage-2-qc-automation-pseudocode"/>
    <w:p>
      <w:pPr>
        <w:pStyle w:val="Heading3"/>
      </w:pPr>
      <w:r>
        <w:t xml:space="preserve">Stage 2 QC automation pseudocode</w:t>
      </w:r>
    </w:p>
    <w:p>
      <w:pPr>
        <w:pStyle w:val="FirstParagraph"/>
      </w:pPr>
      <w:r>
        <w:t xml:space="preserve">The following Python pseudocode illustrates how a rule-based validator can be implemented on exported CSV tables, using configurable thresholds and method/QAPP-defined acceptance windows for internal standards and calibrations.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 Config (set these in a QAPP / method config file) ----</w:t>
      </w:r>
      <w:r>
        <w:br/>
      </w:r>
      <w:r>
        <w:rPr>
          <w:rStyle w:val="NormalTok"/>
        </w:rPr>
        <w:t xml:space="preserve">IS_LOW, IS_HIGH </w:t>
      </w:r>
      <w:r>
        <w:rPr>
          <w:rStyle w:val="OperatorTok"/>
        </w:rPr>
        <w:t xml:space="preserve">=</w:t>
      </w:r>
      <w:r>
        <w:rPr>
          <w:rStyle w:val="NormalTok"/>
        </w:rPr>
        <w:t xml:space="preserve"> </w:t>
      </w:r>
      <w:r>
        <w:rPr>
          <w:rStyle w:val="DecValTok"/>
        </w:rPr>
        <w:t xml:space="preserve">70</w:t>
      </w:r>
      <w:r>
        <w:rPr>
          <w:rStyle w:val="NormalTok"/>
        </w:rPr>
        <w:t xml:space="preserve">, </w:t>
      </w:r>
      <w:r>
        <w:rPr>
          <w:rStyle w:val="DecValTok"/>
        </w:rPr>
        <w:t xml:space="preserve">130</w:t>
      </w:r>
      <w:r>
        <w:rPr>
          <w:rStyle w:val="NormalTok"/>
        </w:rPr>
        <w:t xml:space="preserve">            </w:t>
      </w:r>
      <w:r>
        <w:rPr>
          <w:rStyle w:val="CommentTok"/>
        </w:rPr>
        <w:t xml:space="preserve"># example window for Internal_Std_Recovery_pct</w:t>
      </w:r>
      <w:r>
        <w:br/>
      </w:r>
      <w:r>
        <w:rPr>
          <w:rStyle w:val="NormalTok"/>
        </w:rPr>
        <w:t xml:space="preserve">CCV_LOW, CCV_HIGH </w:t>
      </w:r>
      <w:r>
        <w:rPr>
          <w:rStyle w:val="OperatorTok"/>
        </w:rPr>
        <w:t xml:space="preserve">=</w:t>
      </w:r>
      <w:r>
        <w:rPr>
          <w:rStyle w:val="NormalTok"/>
        </w:rPr>
        <w:t xml:space="preserve"> </w:t>
      </w:r>
      <w:r>
        <w:rPr>
          <w:rStyle w:val="DecValTok"/>
        </w:rPr>
        <w:t xml:space="preserve">90</w:t>
      </w:r>
      <w:r>
        <w:rPr>
          <w:rStyle w:val="NormalTok"/>
        </w:rPr>
        <w:t xml:space="preserve">, </w:t>
      </w:r>
      <w:r>
        <w:rPr>
          <w:rStyle w:val="DecValTok"/>
        </w:rPr>
        <w:t xml:space="preserve">110</w:t>
      </w:r>
      <w:r>
        <w:rPr>
          <w:rStyle w:val="NormalTok"/>
        </w:rPr>
        <w:t xml:space="preserve">          </w:t>
      </w:r>
      <w:r>
        <w:rPr>
          <w:rStyle w:val="CommentTok"/>
        </w:rPr>
        <w:t xml:space="preserve"># example window for CCV % recovery</w:t>
      </w:r>
      <w:r>
        <w:br/>
      </w:r>
      <w:r>
        <w:rPr>
          <w:rStyle w:val="NormalTok"/>
        </w:rPr>
        <w:t xml:space="preserve">RPD_MAX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example duplicate precision threshold</w:t>
      </w:r>
      <w:r>
        <w:br/>
      </w:r>
      <w:r>
        <w:rPr>
          <w:rStyle w:val="NormalTok"/>
        </w:rPr>
        <w:t xml:space="preserve">BLANK_MULTIPLIER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example: flag if blank &gt; 2x MDL</w:t>
      </w:r>
      <w:r>
        <w:br/>
      </w:r>
      <w:r>
        <w:br/>
      </w:r>
      <w:r>
        <w:rPr>
          <w:rStyle w:val="CommentTok"/>
        </w:rPr>
        <w:t xml:space="preserve"># ---- Load ----</w:t>
      </w:r>
      <w:r>
        <w:br/>
      </w:r>
      <w:r>
        <w:rPr>
          <w:rStyle w:val="NormalTok"/>
        </w:rPr>
        <w:t xml:space="preserve">df </w:t>
      </w:r>
      <w:r>
        <w:rPr>
          <w:rStyle w:val="OperatorTok"/>
        </w:rPr>
        <w:t xml:space="preserve">=</w:t>
      </w:r>
      <w:r>
        <w:rPr>
          <w:rStyle w:val="NormalTok"/>
        </w:rPr>
        <w:t xml:space="preserve"> pd.read_csv(</w:t>
      </w:r>
      <w:r>
        <w:rPr>
          <w:rStyle w:val="StringTok"/>
        </w:rPr>
        <w:t xml:space="preserve">'icpms_long.csv'</w:t>
      </w:r>
      <w:r>
        <w:rPr>
          <w:rStyle w:val="NormalTok"/>
        </w:rPr>
        <w:t xml:space="preserve">)</w:t>
      </w:r>
      <w:r>
        <w:br/>
      </w:r>
      <w:r>
        <w:br/>
      </w:r>
      <w:r>
        <w:rPr>
          <w:rStyle w:val="CommentTok"/>
        </w:rPr>
        <w:t xml:space="preserve"># Required columns per pipeline spec</w:t>
      </w:r>
      <w:r>
        <w:br/>
      </w:r>
      <w:r>
        <w:rPr>
          <w:rStyle w:val="NormalTok"/>
        </w:rPr>
        <w:t xml:space="preserve">required </w:t>
      </w:r>
      <w:r>
        <w:rPr>
          <w:rStyle w:val="OperatorTok"/>
        </w:rPr>
        <w:t xml:space="preserve">=</w:t>
      </w:r>
      <w:r>
        <w:rPr>
          <w:rStyle w:val="NormalTok"/>
        </w:rPr>
        <w:t xml:space="preserve"> {</w:t>
      </w:r>
      <w:r>
        <w:br/>
      </w:r>
      <w:r>
        <w:rPr>
          <w:rStyle w:val="NormalTok"/>
        </w:rPr>
        <w:t xml:space="preserve">  </w:t>
      </w:r>
      <w:r>
        <w:rPr>
          <w:rStyle w:val="StringTok"/>
        </w:rPr>
        <w:t xml:space="preserve">'Sample_ID'</w:t>
      </w:r>
      <w:r>
        <w:rPr>
          <w:rStyle w:val="NormalTok"/>
        </w:rPr>
        <w:t xml:space="preserve">,</w:t>
      </w:r>
      <w:r>
        <w:rPr>
          <w:rStyle w:val="StringTok"/>
        </w:rPr>
        <w:t xml:space="preserve">'Batch_ID'</w:t>
      </w:r>
      <w:r>
        <w:rPr>
          <w:rStyle w:val="NormalTok"/>
        </w:rPr>
        <w:t xml:space="preserve">,</w:t>
      </w:r>
      <w:r>
        <w:rPr>
          <w:rStyle w:val="StringTok"/>
        </w:rPr>
        <w:t xml:space="preserve">'Analysis_DateTime'</w:t>
      </w:r>
      <w:r>
        <w:rPr>
          <w:rStyle w:val="NormalTok"/>
        </w:rPr>
        <w:t xml:space="preserve">,</w:t>
      </w:r>
      <w:r>
        <w:rPr>
          <w:rStyle w:val="StringTok"/>
        </w:rPr>
        <w:t xml:space="preserve">'Analyte'</w:t>
      </w:r>
      <w:r>
        <w:rPr>
          <w:rStyle w:val="NormalTok"/>
        </w:rPr>
        <w:t xml:space="preserve">,</w:t>
      </w:r>
      <w:r>
        <w:rPr>
          <w:rStyle w:val="StringTok"/>
        </w:rPr>
        <w:t xml:space="preserve">'Isotope'</w:t>
      </w:r>
      <w:r>
        <w:rPr>
          <w:rStyle w:val="NormalTok"/>
        </w:rPr>
        <w:t xml:space="preserve">,</w:t>
      </w:r>
      <w:r>
        <w:br/>
      </w:r>
      <w:r>
        <w:rPr>
          <w:rStyle w:val="NormalTok"/>
        </w:rPr>
        <w:t xml:space="preserve">  </w:t>
      </w:r>
      <w:r>
        <w:rPr>
          <w:rStyle w:val="StringTok"/>
        </w:rPr>
        <w:t xml:space="preserve">'Concentration'</w:t>
      </w:r>
      <w:r>
        <w:rPr>
          <w:rStyle w:val="NormalTok"/>
        </w:rPr>
        <w:t xml:space="preserve">,</w:t>
      </w:r>
      <w:r>
        <w:rPr>
          <w:rStyle w:val="StringTok"/>
        </w:rPr>
        <w:t xml:space="preserve">'Units'</w:t>
      </w:r>
      <w:r>
        <w:rPr>
          <w:rStyle w:val="NormalTok"/>
        </w:rPr>
        <w:t xml:space="preserve">,</w:t>
      </w:r>
      <w:r>
        <w:rPr>
          <w:rStyle w:val="StringTok"/>
        </w:rPr>
        <w:t xml:space="preserve">'Dilution_Factor'</w:t>
      </w:r>
      <w:r>
        <w:rPr>
          <w:rStyle w:val="NormalTok"/>
        </w:rPr>
        <w:t xml:space="preserve">,</w:t>
      </w:r>
      <w:r>
        <w:rPr>
          <w:rStyle w:val="StringTok"/>
        </w:rPr>
        <w:t xml:space="preserve">'Internal_Std_Recovery_pct'</w:t>
      </w:r>
      <w:r>
        <w:rPr>
          <w:rStyle w:val="NormalTok"/>
        </w:rPr>
        <w:t xml:space="preserve">,</w:t>
      </w:r>
      <w:r>
        <w:rPr>
          <w:rStyle w:val="StringTok"/>
        </w:rPr>
        <w:t xml:space="preserve">'Sample_Type'</w:t>
      </w:r>
      <w:r>
        <w:br/>
      </w:r>
      <w:r>
        <w:rPr>
          <w:rStyle w:val="NormalTok"/>
        </w:rPr>
        <w:t xml:space="preserve">}</w:t>
      </w:r>
      <w:r>
        <w:br/>
      </w:r>
      <w:r>
        <w:rPr>
          <w:rStyle w:val="NormalTok"/>
        </w:rPr>
        <w:t xml:space="preserve">missing </w:t>
      </w:r>
      <w:r>
        <w:rPr>
          <w:rStyle w:val="OperatorTok"/>
        </w:rPr>
        <w:t xml:space="preserve">=</w:t>
      </w:r>
      <w:r>
        <w:rPr>
          <w:rStyle w:val="NormalTok"/>
        </w:rPr>
        <w:t xml:space="preserve"> required </w:t>
      </w:r>
      <w:r>
        <w:rPr>
          <w:rStyle w:val="OperatorTok"/>
        </w:rPr>
        <w:t xml:space="preserve">-</w:t>
      </w:r>
      <w:r>
        <w:rPr>
          <w:rStyle w:val="NormalTok"/>
        </w:rPr>
        <w:t xml:space="preserve"> </w:t>
      </w:r>
      <w:r>
        <w:rPr>
          <w:rStyle w:val="BuiltInTok"/>
        </w:rPr>
        <w:t xml:space="preserve">set</w:t>
      </w:r>
      <w:r>
        <w:rPr>
          <w:rStyle w:val="NormalTok"/>
        </w:rPr>
        <w:t xml:space="preserve">(df.columns)</w:t>
      </w:r>
      <w:r>
        <w:br/>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columns: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br/>
      </w:r>
      <w:r>
        <w:rPr>
          <w:rStyle w:val="CommentTok"/>
        </w:rPr>
        <w:t xml:space="preserve"># Apply dilution correction</w:t>
      </w:r>
      <w:r>
        <w:br/>
      </w:r>
      <w:r>
        <w:rPr>
          <w:rStyle w:val="NormalTok"/>
        </w:rPr>
        <w:t xml:space="preserve">df[</w:t>
      </w:r>
      <w:r>
        <w:rPr>
          <w:rStyle w:val="StringTok"/>
        </w:rPr>
        <w:t xml:space="preserve">'Conc_corr'</w:t>
      </w:r>
      <w:r>
        <w:rPr>
          <w:rStyle w:val="NormalTok"/>
        </w:rPr>
        <w:t xml:space="preserve">] </w:t>
      </w:r>
      <w:r>
        <w:rPr>
          <w:rStyle w:val="OperatorTok"/>
        </w:rPr>
        <w:t xml:space="preserve">=</w:t>
      </w:r>
      <w:r>
        <w:rPr>
          <w:rStyle w:val="NormalTok"/>
        </w:rPr>
        <w:t xml:space="preserve"> df[</w:t>
      </w:r>
      <w:r>
        <w:rPr>
          <w:rStyle w:val="StringTok"/>
        </w:rPr>
        <w:t xml:space="preserve">'Concentration'</w:t>
      </w:r>
      <w:r>
        <w:rPr>
          <w:rStyle w:val="NormalTok"/>
        </w:rPr>
        <w:t xml:space="preserve">] </w:t>
      </w:r>
      <w:r>
        <w:rPr>
          <w:rStyle w:val="OperatorTok"/>
        </w:rPr>
        <w:t xml:space="preserve">*</w:t>
      </w:r>
      <w:r>
        <w:rPr>
          <w:rStyle w:val="NormalTok"/>
        </w:rPr>
        <w:t xml:space="preserve"> df[</w:t>
      </w:r>
      <w:r>
        <w:rPr>
          <w:rStyle w:val="StringTok"/>
        </w:rPr>
        <w:t xml:space="preserve">'Dilution_Factor'</w:t>
      </w:r>
      <w:r>
        <w:rPr>
          <w:rStyle w:val="NormalTok"/>
        </w:rPr>
        <w:t xml:space="preserve">]</w:t>
      </w:r>
      <w:r>
        <w:br/>
      </w:r>
      <w:r>
        <w:br/>
      </w:r>
      <w:r>
        <w:rPr>
          <w:rStyle w:val="CommentTok"/>
        </w:rPr>
        <w:t xml:space="preserve"># Flag internal standard recovery out of window</w:t>
      </w:r>
      <w:r>
        <w:br/>
      </w:r>
      <w:r>
        <w:rPr>
          <w:rStyle w:val="NormalTok"/>
        </w:rPr>
        <w:t xml:space="preserve">df[</w:t>
      </w:r>
      <w:r>
        <w:rPr>
          <w:rStyle w:val="StringTok"/>
        </w:rPr>
        <w:t xml:space="preserve">'FLAG_IS'</w:t>
      </w:r>
      <w:r>
        <w:rPr>
          <w:rStyle w:val="NormalTok"/>
        </w:rPr>
        <w:t xml:space="preserve">] </w:t>
      </w:r>
      <w:r>
        <w:rPr>
          <w:rStyle w:val="OperatorTok"/>
        </w:rPr>
        <w:t xml:space="preserve">=</w:t>
      </w:r>
      <w:r>
        <w:rPr>
          <w:rStyle w:val="NormalTok"/>
        </w:rPr>
        <w:t xml:space="preserve"> (df[</w:t>
      </w:r>
      <w:r>
        <w:rPr>
          <w:rStyle w:val="StringTok"/>
        </w:rPr>
        <w:t xml:space="preserve">'Internal_Std_Recovery_pct'</w:t>
      </w:r>
      <w:r>
        <w:rPr>
          <w:rStyle w:val="NormalTok"/>
        </w:rPr>
        <w:t xml:space="preserve">] </w:t>
      </w:r>
      <w:r>
        <w:rPr>
          <w:rStyle w:val="OperatorTok"/>
        </w:rPr>
        <w:t xml:space="preserve">&lt;</w:t>
      </w:r>
      <w:r>
        <w:rPr>
          <w:rStyle w:val="NormalTok"/>
        </w:rPr>
        <w:t xml:space="preserve"> IS_LOW) </w:t>
      </w:r>
      <w:r>
        <w:rPr>
          <w:rStyle w:val="OperatorTok"/>
        </w:rPr>
        <w:t xml:space="preserve">|</w:t>
      </w:r>
      <w:r>
        <w:rPr>
          <w:rStyle w:val="NormalTok"/>
        </w:rPr>
        <w:t xml:space="preserve"> (df[</w:t>
      </w:r>
      <w:r>
        <w:rPr>
          <w:rStyle w:val="StringTok"/>
        </w:rPr>
        <w:t xml:space="preserve">'Internal_Std_Recovery_pct'</w:t>
      </w:r>
      <w:r>
        <w:rPr>
          <w:rStyle w:val="NormalTok"/>
        </w:rPr>
        <w:t xml:space="preserve">] </w:t>
      </w:r>
      <w:r>
        <w:rPr>
          <w:rStyle w:val="OperatorTok"/>
        </w:rPr>
        <w:t xml:space="preserve">&gt;</w:t>
      </w:r>
      <w:r>
        <w:rPr>
          <w:rStyle w:val="NormalTok"/>
        </w:rPr>
        <w:t xml:space="preserve"> IS_HIGH)</w:t>
      </w:r>
      <w:r>
        <w:br/>
      </w:r>
      <w:r>
        <w:br/>
      </w:r>
      <w:r>
        <w:rPr>
          <w:rStyle w:val="CommentTok"/>
        </w:rPr>
        <w:t xml:space="preserve"># Flag CCV / CCB failures (requires QC rows tagged as Sample_Type)</w:t>
      </w:r>
      <w:r>
        <w:br/>
      </w:r>
      <w:r>
        <w:rPr>
          <w:rStyle w:val="NormalTok"/>
        </w:rPr>
        <w:t xml:space="preserve">ccv </w:t>
      </w:r>
      <w:r>
        <w:rPr>
          <w:rStyle w:val="OperatorTok"/>
        </w:rPr>
        <w:t xml:space="preserve">=</w:t>
      </w:r>
      <w:r>
        <w:rPr>
          <w:rStyle w:val="NormalTok"/>
        </w:rPr>
        <w:t xml:space="preserve"> df[df[</w:t>
      </w:r>
      <w:r>
        <w:rPr>
          <w:rStyle w:val="StringTok"/>
        </w:rPr>
        <w:t xml:space="preserve">'Sample_Type'</w:t>
      </w:r>
      <w:r>
        <w:rPr>
          <w:rStyle w:val="NormalTok"/>
        </w:rPr>
        <w:t xml:space="preserve">].eq(</w:t>
      </w:r>
      <w:r>
        <w:rPr>
          <w:rStyle w:val="StringTok"/>
        </w:rPr>
        <w:t xml:space="preserve">'CCV'</w:t>
      </w:r>
      <w:r>
        <w:rPr>
          <w:rStyle w:val="NormalTok"/>
        </w:rPr>
        <w:t xml:space="preserve">)].copy()</w:t>
      </w:r>
      <w:r>
        <w:br/>
      </w:r>
      <w:r>
        <w:rPr>
          <w:rStyle w:val="NormalTok"/>
        </w:rPr>
        <w:t xml:space="preserve">ccv[</w:t>
      </w:r>
      <w:r>
        <w:rPr>
          <w:rStyle w:val="StringTok"/>
        </w:rPr>
        <w:t xml:space="preserve">'FLAG_CCV'</w:t>
      </w:r>
      <w:r>
        <w:rPr>
          <w:rStyle w:val="NormalTok"/>
        </w:rPr>
        <w:t xml:space="preserve">] </w:t>
      </w:r>
      <w:r>
        <w:rPr>
          <w:rStyle w:val="OperatorTok"/>
        </w:rPr>
        <w:t xml:space="preserve">=</w:t>
      </w:r>
      <w:r>
        <w:rPr>
          <w:rStyle w:val="NormalTok"/>
        </w:rPr>
        <w:t xml:space="preserve"> (ccv[</w:t>
      </w:r>
      <w:r>
        <w:rPr>
          <w:rStyle w:val="StringTok"/>
        </w:rPr>
        <w:t xml:space="preserve">'Conc_corr'</w:t>
      </w:r>
      <w:r>
        <w:rPr>
          <w:rStyle w:val="NormalTok"/>
        </w:rPr>
        <w:t xml:space="preserve">] </w:t>
      </w:r>
      <w:r>
        <w:rPr>
          <w:rStyle w:val="OperatorTok"/>
        </w:rPr>
        <w:t xml:space="preserve">&lt;</w:t>
      </w:r>
      <w:r>
        <w:rPr>
          <w:rStyle w:val="NormalTok"/>
        </w:rPr>
        <w:t xml:space="preserve"> CCV_LOW) </w:t>
      </w:r>
      <w:r>
        <w:rPr>
          <w:rStyle w:val="OperatorTok"/>
        </w:rPr>
        <w:t xml:space="preserve">|</w:t>
      </w:r>
      <w:r>
        <w:rPr>
          <w:rStyle w:val="NormalTok"/>
        </w:rPr>
        <w:t xml:space="preserve"> (ccv[</w:t>
      </w:r>
      <w:r>
        <w:rPr>
          <w:rStyle w:val="StringTok"/>
        </w:rPr>
        <w:t xml:space="preserve">'Conc_corr'</w:t>
      </w:r>
      <w:r>
        <w:rPr>
          <w:rStyle w:val="NormalTok"/>
        </w:rPr>
        <w:t xml:space="preserve">] </w:t>
      </w:r>
      <w:r>
        <w:rPr>
          <w:rStyle w:val="OperatorTok"/>
        </w:rPr>
        <w:t xml:space="preserve">&gt;</w:t>
      </w:r>
      <w:r>
        <w:rPr>
          <w:rStyle w:val="NormalTok"/>
        </w:rPr>
        <w:t xml:space="preserve"> CCV_HIGH)</w:t>
      </w:r>
      <w:r>
        <w:br/>
      </w:r>
      <w:r>
        <w:br/>
      </w:r>
      <w:r>
        <w:rPr>
          <w:rStyle w:val="CommentTok"/>
        </w:rPr>
        <w:t xml:space="preserve"># Example duplicate RPD calculation (requires duplicates tagged with a common ID)</w:t>
      </w:r>
      <w:r>
        <w:br/>
      </w:r>
      <w:r>
        <w:rPr>
          <w:rStyle w:val="CommentTok"/>
        </w:rPr>
        <w:t xml:space="preserve"># df['RPD'] = ...</w:t>
      </w:r>
      <w:r>
        <w:br/>
      </w:r>
      <w:r>
        <w:rPr>
          <w:rStyle w:val="CommentTok"/>
        </w:rPr>
        <w:t xml:space="preserve"># df['FLAG_RPD'] = df['RPD'] &gt; RPD_MAX</w:t>
      </w:r>
      <w:r>
        <w:br/>
      </w:r>
      <w:r>
        <w:br/>
      </w:r>
      <w:r>
        <w:rPr>
          <w:rStyle w:val="CommentTok"/>
        </w:rPr>
        <w:t xml:space="preserve"># Example blank rule (requires MDL column or analyte-specific MDL table)</w:t>
      </w:r>
      <w:r>
        <w:br/>
      </w:r>
      <w:r>
        <w:rPr>
          <w:rStyle w:val="CommentTok"/>
        </w:rPr>
        <w:t xml:space="preserve"># blank = df[df['Sample_Type'].eq('Blank')]</w:t>
      </w:r>
      <w:r>
        <w:br/>
      </w:r>
      <w:r>
        <w:rPr>
          <w:rStyle w:val="CommentTok"/>
        </w:rPr>
        <w:t xml:space="preserve"># df = df.merge(blank[['Batch_ID','Analyte','Conc_corr']].rename(columns={'Conc_corr':'BlankConc'}),</w:t>
      </w:r>
      <w:r>
        <w:br/>
      </w:r>
      <w:r>
        <w:rPr>
          <w:rStyle w:val="CommentTok"/>
        </w:rPr>
        <w:t xml:space="preserve">#               on=['Batch_ID','Analyte'], how='left')</w:t>
      </w:r>
      <w:r>
        <w:br/>
      </w:r>
      <w:r>
        <w:rPr>
          <w:rStyle w:val="CommentTok"/>
        </w:rPr>
        <w:t xml:space="preserve"># df['FLAG_BLANK'] = df['BlankConc'] &gt; (BLANK_MULTIPLIER * df['MDL'])</w:t>
      </w:r>
      <w:r>
        <w:br/>
      </w:r>
      <w:r>
        <w:br/>
      </w:r>
      <w:r>
        <w:rPr>
          <w:rStyle w:val="CommentTok"/>
        </w:rPr>
        <w:t xml:space="preserve"># Output flagged dataset</w:t>
      </w:r>
      <w:r>
        <w:br/>
      </w:r>
      <w:r>
        <w:rPr>
          <w:rStyle w:val="NormalTok"/>
        </w:rPr>
        <w:t xml:space="preserve">qc_cols </w:t>
      </w:r>
      <w:r>
        <w:rPr>
          <w:rStyle w:val="OperatorTok"/>
        </w:rPr>
        <w:t xml:space="preserve">=</w:t>
      </w:r>
      <w:r>
        <w:rPr>
          <w:rStyle w:val="NormalTok"/>
        </w:rPr>
        <w:t xml:space="preserve"> [</w:t>
      </w:r>
      <w:r>
        <w:rPr>
          <w:rStyle w:val="StringTok"/>
        </w:rPr>
        <w:t xml:space="preserve">'FLAG_IS'</w:t>
      </w:r>
      <w:r>
        <w:rPr>
          <w:rStyle w:val="NormalTok"/>
        </w:rPr>
        <w:t xml:space="preserve">]</w:t>
      </w:r>
      <w:r>
        <w:br/>
      </w:r>
      <w:r>
        <w:rPr>
          <w:rStyle w:val="NormalTok"/>
        </w:rPr>
        <w:t xml:space="preserve">out </w:t>
      </w:r>
      <w:r>
        <w:rPr>
          <w:rStyle w:val="OperatorTok"/>
        </w:rPr>
        <w:t xml:space="preserve">=</w:t>
      </w:r>
      <w:r>
        <w:rPr>
          <w:rStyle w:val="NormalTok"/>
        </w:rPr>
        <w:t xml:space="preserve"> df.assign(QC_FAIL</w:t>
      </w:r>
      <w:r>
        <w:rPr>
          <w:rStyle w:val="OperatorTok"/>
        </w:rPr>
        <w:t xml:space="preserve">=</w:t>
      </w:r>
      <w:r>
        <w:rPr>
          <w:rStyle w:val="KeywordTok"/>
        </w:rPr>
        <w:t xml:space="preserve">lambda</w:t>
      </w:r>
      <w:r>
        <w:rPr>
          <w:rStyle w:val="NormalTok"/>
        </w:rPr>
        <w:t xml:space="preserve"> x: x[qc_cols].</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out.to_csv(</w:t>
      </w:r>
      <w:r>
        <w:rPr>
          <w:rStyle w:val="StringTok"/>
        </w:rPr>
        <w:t xml:space="preserve">'icpms_validated_long.csv'</w:t>
      </w:r>
      <w:r>
        <w:rPr>
          <w:rStyle w:val="NormalTok"/>
        </w:rPr>
        <w:t xml:space="preserve">, index</w:t>
      </w:r>
      <w:r>
        <w:rPr>
          <w:rStyle w:val="OperatorTok"/>
        </w:rPr>
        <w:t xml:space="preserve">=</w:t>
      </w:r>
      <w:r>
        <w:rPr>
          <w:rStyle w:val="VariableTok"/>
        </w:rPr>
        <w:t xml:space="preserve">False</w:t>
      </w:r>
      <w:r>
        <w:rPr>
          <w:rStyle w:val="NormalTok"/>
        </w:rPr>
        <w:t xml:space="preserve">)</w:t>
      </w:r>
    </w:p>
    <w:p>
      <w:pPr>
        <w:pStyle w:val="FirstParagraph"/>
      </w:pPr>
      <w:r>
        <w:t xml:space="preserve">This script reflects the documented need to (i) preserve batch sequencing (because QC samples occur in a defined order), (ii) incorporate internal standards into all samples/QC/blanks, and (iii) check CCV frequency (every 10 samples) and qualify data when QC acceptance windows are violated.</w:t>
      </w:r>
    </w:p>
    <w:bookmarkEnd w:id="28"/>
    <w:bookmarkEnd w:id="29"/>
    <w:bookmarkStart w:id="33" w:name="stage-3"/>
    <w:p>
      <w:pPr>
        <w:pStyle w:val="Heading2"/>
      </w:pPr>
      <w:r>
        <w:t xml:space="preserve">Stage 3</w:t>
      </w:r>
    </w:p>
    <w:bookmarkStart w:id="30" w:name="stage-3-dsd-screening-analysis"/>
    <w:p>
      <w:pPr>
        <w:pStyle w:val="Heading3"/>
      </w:pPr>
      <w:r>
        <w:t xml:space="preserve">Stage 3 DSD screening analysis</w:t>
      </w:r>
    </w:p>
    <w:p>
      <w:pPr>
        <w:pStyle w:val="FirstParagraph"/>
      </w:pPr>
      <w:r>
        <w:t xml:space="preserve">Definitive screening designs (DSDs) are used to screen many factors efficiently when a full quadratic model would require too many runs, and they require careful analysis because they are not “automatic” in the way simpler designs can be.</w:t>
      </w:r>
    </w:p>
    <w:p>
      <w:pPr>
        <w:pStyle w:val="BodyText"/>
      </w:pPr>
      <w:r>
        <w:t xml:space="preserve">DSDs can be interpreted in JMP Pro (e.g., a DSD created and interpreted using JMP Pro 15.0.0), which supports an integrated DoE-to-modeling workflow.</w:t>
      </w:r>
    </w:p>
    <w:p>
      <w:pPr>
        <w:pStyle w:val="BodyText"/>
      </w:pPr>
      <w:r>
        <w:t xml:space="preserve">A DSD can also include additional runs to estimate quadratic effects and can be randomized in blocks to reduce bias, which is relevant when species or biomass-form is treated as a block factor in the biosorption program.</w:t>
      </w:r>
    </w:p>
    <w:p>
      <w:pPr>
        <w:pStyle w:val="BodyText"/>
      </w:pPr>
      <w:r>
        <w:t xml:space="preserve">In R, DSD and subsequent model fitting can be implemented in complementary tooling; for example, DSDs have a known relationship between run count and number of variables in some descriptions (e.g., N = 2k + 1 or 2k + 3 for k factors).</w:t>
      </w:r>
    </w:p>
    <w:bookmarkEnd w:id="30"/>
    <w:bookmarkStart w:id="31" w:name="stage-3-jmp-workflow"/>
    <w:p>
      <w:pPr>
        <w:pStyle w:val="Heading3"/>
      </w:pPr>
      <w:r>
        <w:t xml:space="preserve">Stage 3 JMP workflow</w:t>
      </w:r>
    </w:p>
    <w:p>
      <w:pPr>
        <w:pStyle w:val="FirstParagraph"/>
      </w:pPr>
      <w:r>
        <w:t xml:space="preserve">JMP is documented as providing response-surface design and modeling workflows, including importing/exporting CSV, executing Python/R via JSL, and automatically updating analyses/graphs, which are capabilities that support “re-run the entire workflow when new ICP‑MS batches arrive.”</w:t>
      </w:r>
    </w:p>
    <w:p>
      <w:pPr>
        <w:pStyle w:val="BodyText"/>
      </w:pPr>
      <w:r>
        <w:t xml:space="preserve">Within JMP’s response-surface modeling, a documented fitting approach is “Fit Model &gt; Standard Least Squares &gt; add quadratic and 2FI terms,” which aligns with second-order RSM practice following screening.</w:t>
      </w:r>
    </w:p>
    <w:p>
      <w:pPr>
        <w:pStyle w:val="BodyText"/>
      </w:pPr>
      <w:r>
        <w:t xml:space="preserve">JMP also supports dashboard creation and can be used to package QC and modeling outputs into interactive deliverables.</w:t>
      </w:r>
    </w:p>
    <w:bookmarkEnd w:id="31"/>
    <w:bookmarkStart w:id="32" w:name="stage-3-r-workflow"/>
    <w:p>
      <w:pPr>
        <w:pStyle w:val="Heading3"/>
      </w:pPr>
      <w:r>
        <w:t xml:space="preserve">Stage 3 R workflow</w:t>
      </w:r>
    </w:p>
    <w:p>
      <w:pPr>
        <w:pStyle w:val="FirstParagraph"/>
      </w:pPr>
      <w:r>
        <w:t xml:space="preserve">In R, the</w:t>
      </w:r>
      <w:r>
        <w:t xml:space="preserve"> </w:t>
      </w:r>
      <w:r>
        <w:rPr>
          <w:b/>
          <w:bCs/>
        </w:rPr>
        <w:t xml:space="preserve">rsm</w:t>
      </w:r>
      <w:r>
        <w:t xml:space="preserve"> </w:t>
      </w:r>
      <w:r>
        <w:t xml:space="preserve">package provides functions for designing and analyzing sequential experiments, including Box‑Behnken design generation (bbd), CCD generation (ccd), and fitted response-surface model objects with ANOVA including lack-of-fit tests.</w:t>
      </w:r>
    </w:p>
    <w:p>
      <w:pPr>
        <w:pStyle w:val="BodyText"/>
      </w:pPr>
      <w:r>
        <w:t xml:space="preserve">The</w:t>
      </w:r>
      <w:r>
        <w:t xml:space="preserve"> </w:t>
      </w:r>
      <w:r>
        <w:rPr>
          <w:b/>
          <w:bCs/>
        </w:rPr>
        <w:t xml:space="preserve">rsm</w:t>
      </w:r>
      <w:r>
        <w:t xml:space="preserve"> </w:t>
      </w:r>
      <w:r>
        <w:t xml:space="preserve">ecosystem supports converting variables to coded units with coded.data for numerical stability and proper scaling, which is important when mixing variables like pH, biomass dosage, and contact time.</w:t>
      </w:r>
    </w:p>
    <w:bookmarkEnd w:id="32"/>
    <w:bookmarkEnd w:id="33"/>
    <w:bookmarkStart w:id="35" w:name="stage-4"/>
    <w:p>
      <w:pPr>
        <w:pStyle w:val="Heading2"/>
      </w:pPr>
      <w:r>
        <w:t xml:space="preserve">Stage 4</w:t>
      </w:r>
    </w:p>
    <w:bookmarkStart w:id="34" w:name="stage-4-rsm-modeling"/>
    <w:p>
      <w:pPr>
        <w:pStyle w:val="Heading3"/>
      </w:pPr>
      <w:r>
        <w:t xml:space="preserve">Stage 4 RSM modeling</w:t>
      </w:r>
    </w:p>
    <w:p>
      <w:pPr>
        <w:pStyle w:val="FirstParagraph"/>
      </w:pPr>
      <w:r>
        <w:t xml:space="preserve">RSM for biosorption optimization typically fits second-order (quadratic) models using structured designs such as Box‑Behnken or central composite designs, and these designs are documented in JMP and R tooling.</w:t>
      </w:r>
    </w:p>
    <w:p>
      <w:pPr>
        <w:pStyle w:val="BodyText"/>
      </w:pPr>
      <w:r>
        <w:t xml:space="preserve">Box‑Behnken designs in JMP are described as classical RSM designs that avoid extreme points and test each continuous factor at low, middle, and high values to fit a second-order model with quadratic and interaction terms.</w:t>
      </w:r>
    </w:p>
    <w:p>
      <w:pPr>
        <w:pStyle w:val="BodyText"/>
      </w:pPr>
      <w:r>
        <w:t xml:space="preserve">In R,</w:t>
      </w:r>
      <w:r>
        <w:t xml:space="preserve"> </w:t>
      </w:r>
      <w:r>
        <w:rPr>
          <w:b/>
          <w:bCs/>
        </w:rPr>
        <w:t xml:space="preserve">rsm</w:t>
      </w:r>
      <w:r>
        <w:t xml:space="preserve"> </w:t>
      </w:r>
      <w:r>
        <w:t xml:space="preserve">provides visualization tools (contour.lm, persp.lm, image.lm) to visualize fitted surfaces, which supports interpretation of factor interactions.</w:t>
      </w:r>
    </w:p>
    <w:p>
      <w:pPr>
        <w:pStyle w:val="BodyText"/>
      </w:pPr>
      <w:r>
        <w:t xml:space="preserve">For Python-based modeling/optimization, SciPy and statsmodels can be used to fit quadratic regression and run numerical optimization (e.g., scipy.optimize.minimize), providing an alternative path when custom constraint handling is needed.</w:t>
      </w:r>
    </w:p>
    <w:bookmarkEnd w:id="34"/>
    <w:bookmarkEnd w:id="35"/>
    <w:bookmarkStart w:id="37" w:name="stage-5"/>
    <w:p>
      <w:pPr>
        <w:pStyle w:val="Heading2"/>
      </w:pPr>
      <w:r>
        <w:t xml:space="preserve">Stage 5</w:t>
      </w:r>
    </w:p>
    <w:bookmarkStart w:id="36" w:name="X3e77c9f870f5e40a0db23413d6d0f942eec34e5"/>
    <w:p>
      <w:pPr>
        <w:pStyle w:val="Heading3"/>
      </w:pPr>
      <w:r>
        <w:t xml:space="preserve">Stage 5 multi-response desirability optimization</w:t>
      </w:r>
    </w:p>
    <w:p>
      <w:pPr>
        <w:pStyle w:val="FirstParagraph"/>
      </w:pPr>
      <w:r>
        <w:t xml:space="preserve">Because the objective is wastewater discharge compliance across multiple regulated contaminants, the optimization target is inherently multi-response, and desirability approaches provide a way to combine multiple response goals into a single objective.</w:t>
      </w:r>
    </w:p>
    <w:p>
      <w:pPr>
        <w:pStyle w:val="BodyText"/>
      </w:pPr>
      <w:r>
        <w:t xml:space="preserve">JMP explicitly supports integrating a desirability profiler into the workflow to optimize multiple responses simultaneously, and JMP’s Prediction Profiler supports “Optimization and Desirability &gt; Maximize Desirability.”</w:t>
      </w:r>
    </w:p>
    <w:p>
      <w:pPr>
        <w:pStyle w:val="BodyText"/>
      </w:pPr>
      <w:r>
        <w:t xml:space="preserve">A standard formulation for overall desirability combines individual desirabilities using the geometric mean, D=(d1 d2 … dm)^(1/m), which supports multi-response trade-offs (e.g., meeting Cu, Ni, Zn simultaneously).</w:t>
      </w:r>
    </w:p>
    <w:p>
      <w:pPr>
        <w:pStyle w:val="BodyText"/>
      </w:pPr>
      <w:r>
        <w:t xml:space="preserve">The</w:t>
      </w:r>
      <w:r>
        <w:t xml:space="preserve"> </w:t>
      </w:r>
      <w:r>
        <w:rPr>
          <w:b/>
          <w:bCs/>
        </w:rPr>
        <w:t xml:space="preserve">rsm</w:t>
      </w:r>
      <w:r>
        <w:t xml:space="preserve"> </w:t>
      </w:r>
      <w:r>
        <w:t xml:space="preserve">package documentation also explicitly frames desirability as the mechanism for simultaneous optimization, including setting targets to discharge limits for each metal, while noting that multiple-response optimization is not built into</w:t>
      </w:r>
      <w:r>
        <w:t xml:space="preserve"> </w:t>
      </w:r>
      <w:r>
        <w:rPr>
          <w:b/>
          <w:bCs/>
        </w:rPr>
        <w:t xml:space="preserve">rsm</w:t>
      </w:r>
      <w:r>
        <w:t xml:space="preserve"> </w:t>
      </w:r>
      <w:r>
        <w:t xml:space="preserve">itself and may require a companion “desirability” package.</w:t>
      </w:r>
    </w:p>
    <w:bookmarkEnd w:id="36"/>
    <w:bookmarkEnd w:id="37"/>
    <w:bookmarkStart w:id="40" w:name="stage-6"/>
    <w:p>
      <w:pPr>
        <w:pStyle w:val="Heading2"/>
      </w:pPr>
      <w:r>
        <w:t xml:space="preserve">Stage 6</w:t>
      </w:r>
    </w:p>
    <w:bookmarkStart w:id="38" w:name="stage-6-compliance-dashboard"/>
    <w:p>
      <w:pPr>
        <w:pStyle w:val="Heading3"/>
      </w:pPr>
      <w:r>
        <w:t xml:space="preserve">Stage 6 compliance dashboard</w:t>
      </w:r>
    </w:p>
    <w:p>
      <w:pPr>
        <w:pStyle w:val="FirstParagraph"/>
      </w:pPr>
      <w:r>
        <w:t xml:space="preserve">A compliance dashboard should accept validated, tabular outputs (CSV) and compute exceedance indicators by comparing each analyte concentration to jurisdiction-specific limits, which aligns with tools designed to visualize discharge limits and wastewater monitoring data.</w:t>
      </w:r>
    </w:p>
    <w:p>
      <w:pPr>
        <w:pStyle w:val="BodyText"/>
      </w:pPr>
      <w:r>
        <w:t xml:space="preserve">EPA’s TADA ecosystem is explicitly described as an R package and a set of R Shiny applications; it provides tools that help visualize wastewater monitoring data and discharge limits and can be run as a Shiny web app.</w:t>
      </w:r>
    </w:p>
    <w:p>
      <w:pPr>
        <w:pStyle w:val="BodyText"/>
      </w:pPr>
      <w:r>
        <w:t xml:space="preserve">TADAShiny’s “Module 1: Data Discovery and Cleaning” retrieves data and applies QC/wrangling/cleaning steps, including flagging suspect results using validation reference tables, harmonization of synonyms, unit conversions, censored data substitutions, filtering, and data visualizations, which maps well to an effluent-monitoring dashboard workflow.</w:t>
      </w:r>
    </w:p>
    <w:p>
      <w:pPr>
        <w:pStyle w:val="BodyText"/>
      </w:pPr>
      <w:r>
        <w:t xml:space="preserve">For a light-weight project-specific dashboard, Shiny is described as a free and open source tool for building highly customizable interactive web-based applications in R, and it supports CSV/tabular inputs as a standard data type.</w:t>
      </w:r>
    </w:p>
    <w:p>
      <w:pPr>
        <w:pStyle w:val="BodyText"/>
      </w:pPr>
      <w:r>
        <w:t xml:space="preserve">A practical dashboard requirement for this program is consistent with the project’s specification of a Shiny app that uploads a CSV of treated effluent results and displays analyte-versus-limit comparisons with traffic-light indicators by jurisdiction.</w:t>
      </w:r>
    </w:p>
    <w:bookmarkEnd w:id="38"/>
    <w:bookmarkStart w:id="39" w:name="stage-6-dashboard-minimum-feature-set"/>
    <w:p>
      <w:pPr>
        <w:pStyle w:val="Heading3"/>
      </w:pPr>
      <w:r>
        <w:t xml:space="preserve">Stage 6 dashboard minimum feature set</w:t>
      </w:r>
    </w:p>
    <w:p>
      <w:pPr>
        <w:pStyle w:val="FirstParagraph"/>
      </w:pPr>
      <w:r>
        <w:t xml:space="preserve">A minimum viable compliance dashboard includes (i) file upload, (ii) jurisdiction selection (EU/US/China), (iii) traffic-light compliance table, and (iv) time series plots with discharge limit lines, which are common in monitoring dashboards that emphasize visualization for compliance use.</w:t>
      </w:r>
    </w:p>
    <w:p>
      <w:pPr>
        <w:pStyle w:val="BodyText"/>
      </w:pPr>
      <w:r>
        <w:t xml:space="preserve">To support automated data refresh, an ingestion approach can be modeled on systems that consume delimited (CSV) testing results and synchronize them into a database for dashboards, which demonstrates how scheduled uploads can enable near-real-time and historic visualization.</w:t>
      </w:r>
    </w:p>
    <w:bookmarkEnd w:id="39"/>
    <w:bookmarkEnd w:id="40"/>
    <w:bookmarkStart w:id="42" w:name="stage-7"/>
    <w:p>
      <w:pPr>
        <w:pStyle w:val="Heading2"/>
      </w:pPr>
      <w:r>
        <w:t xml:space="preserve">Stage 7</w:t>
      </w:r>
    </w:p>
    <w:bookmarkStart w:id="41" w:name="stage-7-reporting-and-archiving"/>
    <w:p>
      <w:pPr>
        <w:pStyle w:val="Heading3"/>
      </w:pPr>
      <w:r>
        <w:t xml:space="preserve">Stage 7 reporting and archiving</w:t>
      </w:r>
    </w:p>
    <w:p>
      <w:pPr>
        <w:pStyle w:val="FirstParagraph"/>
      </w:pPr>
      <w:r>
        <w:t xml:space="preserve">Regulatory-style metals workflows often require packaging deliverables that include raw data artifacts plus structured electronic deliverables, and the EPA SOP explicitly describes a completed data package containing an Executive Narrative, Sample Summary Report, and an Electronic Data Deliverable (EDD) template with defined column headers.</w:t>
      </w:r>
    </w:p>
    <w:p>
      <w:pPr>
        <w:pStyle w:val="BodyText"/>
      </w:pPr>
      <w:r>
        <w:t xml:space="preserve">DoD/EDQW guidance further emphasizes that electronic data output should comply with the EDD data structure defined in the QAPP and that automated validation outputs should be documented (including identification of automated review software and its output report), which supports writing automated QC summary reports as artifacts alongside the validated CSV.</w:t>
      </w:r>
    </w:p>
    <w:p>
      <w:pPr>
        <w:pStyle w:val="BodyText"/>
      </w:pPr>
      <w:r>
        <w:t xml:space="preserve">For model and visualization outputs, R-based workflows explicitly demonstrate exporting designs to CSV, reading analysis CSV files, and exporting model summaries and contour plots to text and image files, which supports automated report generation from scripts.</w:t>
      </w:r>
    </w:p>
    <w:p>
      <w:pPr>
        <w:pStyle w:val="BodyText"/>
      </w:pPr>
      <w:r>
        <w:t xml:space="preserve">JMP supports saving reports as interactive HTML, which can serve as a reproducible and shareable reporting artifact for QC summaries, DSD screening results, and RSM/desirability outputs.</w:t>
      </w:r>
    </w:p>
    <w:bookmarkEnd w:id="41"/>
    <w:bookmarkEnd w:id="42"/>
    <w:bookmarkStart w:id="43" w:name="software-stack"/>
    <w:p>
      <w:pPr>
        <w:pStyle w:val="Heading2"/>
      </w:pPr>
      <w:r>
        <w:t xml:space="preserve">Software stack</w:t>
      </w:r>
    </w:p>
    <w:p>
      <w:pPr>
        <w:pStyle w:val="FirstParagraph"/>
      </w:pPr>
      <w:r>
        <w:t xml:space="preserve">The recommended stack is explicitly grounded in sources that describe (i) vendor export + QC requirements, (ii) JMP/RSM/desirability tooling, and (iii) dashboard tooling.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Role in pipeline</w:t>
            </w:r>
          </w:p>
        </w:tc>
        <w:tc>
          <w:tcPr/>
          <w:p>
            <w:pPr>
              <w:pStyle w:val="Compact"/>
            </w:pPr>
            <w:r>
              <w:t xml:space="preserve">Evidence</w:t>
            </w:r>
          </w:p>
        </w:tc>
      </w:tr>
      <w:tr>
        <w:tc>
          <w:tcPr/>
          <w:p>
            <w:pPr>
              <w:pStyle w:val="Compact"/>
            </w:pPr>
            <w:r>
              <w:t xml:space="preserve">Agilent MassHunter</w:t>
            </w:r>
          </w:p>
        </w:tc>
        <w:tc>
          <w:tcPr/>
          <w:p>
            <w:pPr>
              <w:pStyle w:val="Compact"/>
            </w:pPr>
            <w:r>
              <w:t xml:space="preserve">Export per-sample CSV and/or XML/PDF artifacts for downstream analysis</w:t>
            </w:r>
          </w:p>
        </w:tc>
        <w:tc>
          <w:tcPr/>
          <w:p>
            <w:pPr>
              <w:pStyle w:val="Compact"/>
            </w:pPr>
          </w:p>
        </w:tc>
      </w:tr>
      <w:tr>
        <w:tc>
          <w:tcPr/>
          <w:p>
            <w:pPr>
              <w:pStyle w:val="Compact"/>
            </w:pPr>
            <w:r>
              <w:t xml:space="preserve">Thermo Qtegra ISDS</w:t>
            </w:r>
          </w:p>
        </w:tc>
        <w:tc>
          <w:tcPr/>
          <w:p>
            <w:pPr>
              <w:pStyle w:val="Compact"/>
            </w:pPr>
            <w:r>
              <w:t xml:space="preserve">Generate/process/report data; flag out-of-range results via flags/limits</w:t>
            </w:r>
          </w:p>
        </w:tc>
        <w:tc>
          <w:tcPr/>
          <w:p>
            <w:pPr>
              <w:pStyle w:val="Compact"/>
            </w:pPr>
          </w:p>
        </w:tc>
      </w:tr>
      <w:tr>
        <w:tc>
          <w:tcPr/>
          <w:p>
            <w:pPr>
              <w:pStyle w:val="Compact"/>
            </w:pPr>
            <w:r>
              <w:t xml:space="preserve">Python + pandas</w:t>
            </w:r>
          </w:p>
        </w:tc>
        <w:tc>
          <w:tcPr/>
          <w:p>
            <w:pPr>
              <w:pStyle w:val="Compact"/>
            </w:pPr>
            <w:r>
              <w:t xml:space="preserve">Automated QC screening on tabular exports; scheduling/integration patterns exist in automated ICP workflows</w:t>
            </w:r>
          </w:p>
        </w:tc>
        <w:tc>
          <w:tcPr/>
          <w:p>
            <w:pPr>
              <w:pStyle w:val="Compact"/>
            </w:pPr>
          </w:p>
        </w:tc>
      </w:tr>
      <w:tr>
        <w:tc>
          <w:tcPr/>
          <w:p>
            <w:pPr>
              <w:pStyle w:val="Compact"/>
            </w:pPr>
            <w:r>
              <w:t xml:space="preserve">JMP</w:t>
            </w:r>
          </w:p>
        </w:tc>
        <w:tc>
          <w:tcPr/>
          <w:p>
            <w:pPr>
              <w:pStyle w:val="Compact"/>
            </w:pPr>
            <w:r>
              <w:t xml:space="preserve">DoE/RSM modeling, desirability optimization, automation hooks (JSL Python/R), dashboards, interactive HTML export</w:t>
            </w:r>
          </w:p>
        </w:tc>
        <w:tc>
          <w:tcPr/>
          <w:p>
            <w:pPr>
              <w:pStyle w:val="Compact"/>
            </w:pPr>
          </w:p>
        </w:tc>
      </w:tr>
      <w:tr>
        <w:tc>
          <w:tcPr/>
          <w:p>
            <w:pPr>
              <w:pStyle w:val="Compact"/>
            </w:pPr>
            <w:r>
              <w:t xml:space="preserve">R rsm</w:t>
            </w:r>
          </w:p>
        </w:tc>
        <w:tc>
          <w:tcPr/>
          <w:p>
            <w:pPr>
              <w:pStyle w:val="Compact"/>
            </w:pPr>
            <w:r>
              <w:t xml:space="preserve">Generate BBD/CCD; fit response-surface models; provide ANOVA and lack-of-fit; provide contour/3D visualization</w:t>
            </w:r>
          </w:p>
        </w:tc>
        <w:tc>
          <w:tcPr/>
          <w:p>
            <w:pPr>
              <w:pStyle w:val="Compact"/>
            </w:pPr>
          </w:p>
        </w:tc>
      </w:tr>
      <w:tr>
        <w:tc>
          <w:tcPr/>
          <w:p>
            <w:pPr>
              <w:pStyle w:val="Compact"/>
            </w:pPr>
            <w:r>
              <w:t xml:space="preserve">R Shiny</w:t>
            </w:r>
          </w:p>
        </w:tc>
        <w:tc>
          <w:tcPr/>
          <w:p>
            <w:pPr>
              <w:pStyle w:val="Compact"/>
            </w:pPr>
            <w:r>
              <w:t xml:space="preserve">Interactive compliance dashboards with tabular inputs; supports highly customizable web apps</w:t>
            </w:r>
          </w:p>
        </w:tc>
        <w:tc>
          <w:tcPr/>
          <w:p>
            <w:pPr>
              <w:pStyle w:val="Compact"/>
            </w:pPr>
          </w:p>
        </w:tc>
      </w:tr>
      <w:tr>
        <w:tc>
          <w:tcPr/>
          <w:p>
            <w:pPr>
              <w:pStyle w:val="Compact"/>
            </w:pPr>
            <w:r>
              <w:t xml:space="preserve">EPA TADA</w:t>
            </w:r>
          </w:p>
        </w:tc>
        <w:tc>
          <w:tcPr/>
          <w:p>
            <w:pPr>
              <w:pStyle w:val="Compact"/>
            </w:pPr>
            <w:r>
              <w:t xml:space="preserve">Existing R Shiny + R package pattern for QC/cleaning and discharge-limit visualization</w:t>
            </w:r>
          </w:p>
        </w:tc>
        <w:tc>
          <w:tcPr/>
          <w:p>
            <w:pPr>
              <w:pStyle w:val="Compact"/>
            </w:pPr>
          </w:p>
        </w:tc>
      </w:tr>
    </w:tbl>
    <w:bookmarkEnd w:id="43"/>
    <w:bookmarkStart w:id="44" w:name="implementation-notes"/>
    <w:p>
      <w:pPr>
        <w:pStyle w:val="Heading2"/>
      </w:pPr>
      <w:r>
        <w:t xml:space="preserve">Implementation notes</w:t>
      </w:r>
    </w:p>
    <w:p>
      <w:pPr>
        <w:pStyle w:val="FirstParagraph"/>
      </w:pPr>
      <w:r>
        <w:t xml:space="preserve">The pipeline should be implemented so that QC and compliance checking occur before any DSD/RSM modeling, because screening/optimization conclusions are only defensible if the underlying concentrations are qualified and traceable to a validated data package.</w:t>
      </w:r>
    </w:p>
    <w:p>
      <w:pPr>
        <w:pStyle w:val="BodyText"/>
      </w:pPr>
      <w:r>
        <w:t xml:space="preserve">When integrating compliance limits, the dashboard can embed limit tables for key jurisdictions from authoritative sources, such as 40 CFR Part 433 numeric limits for Cu, Ni, Zn, total Cr, TSS, oil &amp; grease, and pH range, which enables automated exceedance checks on the validated dataset.</w:t>
      </w:r>
    </w:p>
    <w:p>
      <w:pPr>
        <w:pStyle w:val="BodyText"/>
      </w:pPr>
      <w:r>
        <w:t xml:space="preserve">Similarly, EU BREF-derived values (where applicable) can be encoded as targets for desirability optimization and compliance visualization (e.g., STM BREF ranges for Fe, B, Cu, Ni, Al, Cr, Zn, COD, total hydrocarbons, and suspended solids), with the important caveat that BREF tables provide ranges and installation-specific contexts rather than a single universal permit number.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2026-02-12T17:53:44Z</dcterms:created>
  <dcterms:modified xsi:type="dcterms:W3CDTF">2026-02-12T17:53:44Z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