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e30df562fa17b1fd6f8555c2af5cb86aa7057d7"/>
    <w:p>
      <w:pPr>
        <w:pStyle w:val="Heading1"/>
      </w:pPr>
      <w:r>
        <w:t xml:space="preserve">Technical Report: Experimental Design and Cost Analysis for Microalgae-Based Treatment of NdFeB Leachate</w:t>
      </w:r>
    </w:p>
    <w:bookmarkStart w:id="26" w:name="Xa8d5989f500d3b663156a8b6f891118b4008456"/>
    <w:p>
      <w:pPr>
        <w:pStyle w:val="Heading2"/>
      </w:pPr>
      <w:r>
        <w:t xml:space="preserve">PART 1: Reduced Fractional Factorial Screening Design</w:t>
      </w:r>
    </w:p>
    <w:bookmarkStart w:id="20" w:name="X41ad7fc8a746bda86114d030125fc2e5ce5456c"/>
    <w:p>
      <w:pPr>
        <w:pStyle w:val="Heading3"/>
      </w:pPr>
      <w:r>
        <w:t xml:space="preserve">1.1 Full Factorial Problem Statement</w:t>
      </w:r>
    </w:p>
    <w:p>
      <w:pPr>
        <w:pStyle w:val="FirstParagraph"/>
      </w:pPr>
      <w:r>
        <w:t xml:space="preserve">A full factorial experimental design to screen all potential variables for microalgae biosorption of NdFeB leachate is infeasible due to the excessive number of required experiments. The original proposed design includes seven key factors: Species (6 levels), Biomass Form (3 levels: living, dried, immobilized), Leachate Dilution (4 levels), pH (6 levels), Iron (Fe) Pre-removal (2 levels), Coolant concentration (3 levels), and EDTA concentration (3 levels). A full exploration of this parameter space would require 6 × 3 × 4 × 6 × 2 × 3 × 3 = 7,776 unique experimental conditions. With a minimum of three replicates for statistical validity, this totals 23,328 individual runs, a number that is prohibitive in terms of time, cost, and resources for a laboratory screening program.</w:t>
      </w:r>
    </w:p>
    <w:bookmarkEnd w:id="20"/>
    <w:bookmarkStart w:id="21" w:name="Xa1aaade90bf31a3fa4bfa99ae5abb49a1a70fc7"/>
    <w:p>
      <w:pPr>
        <w:pStyle w:val="Heading3"/>
      </w:pPr>
      <w:r>
        <w:t xml:space="preserve">1.2 Recommended Design: Two-Stage Approach</w:t>
      </w:r>
    </w:p>
    <w:p>
      <w:pPr>
        <w:pStyle w:val="FirstParagraph"/>
      </w:pPr>
      <w:r>
        <w:t xml:space="preserve">To overcome the limitations of a full factorial design, a two-stage approach is recommended, leveraging modern Design of Experiments (DoE) methodologies for efficiency.</w:t>
      </w:r>
    </w:p>
    <w:p>
      <w:pPr>
        <w:pStyle w:val="BodyText"/>
      </w:pPr>
      <w:r>
        <w:rPr>
          <w:b/>
          <w:bCs/>
        </w:rPr>
        <w:t xml:space="preserve">Stage 1: Definitive Screening Design (DSD)</w:t>
      </w:r>
      <w:r>
        <w:t xml:space="preserve"> </w:t>
      </w:r>
      <w:r>
        <w:t xml:space="preserve">The initial screening phase should employ a Definitive Screening Design (DSD). DSDs are highly efficient three-level designs that can estimate main effects, two-factor interactions, and quadratic effects with the lowest possible number of experiments. For the seven continuous or discrete three-level factors identified, a DSD requires only 2k + 1 = 2(7) + 1 = 15 experimental runs per species. By testing all six candidate species, this stage would consist of 6 species × 15 runs/species = 90 unique conditions. With triplicates, the total run count is a manageable 270 experiments. This represents a &gt;98% reduction in experimental effort compared to the full factorial design while preserving the ability to identify significant linear effects and key second-order effects.</w:t>
      </w:r>
    </w:p>
    <w:p>
      <w:pPr>
        <w:pStyle w:val="BodyText"/>
      </w:pPr>
      <w:r>
        <w:rPr>
          <w:b/>
          <w:bCs/>
        </w:rPr>
        <w:t xml:space="preserve">Stage 2: Response Surface Methodology (RSM) Optimization</w:t>
      </w:r>
      <w:r>
        <w:t xml:space="preserve"> </w:t>
      </w:r>
      <w:r>
        <w:t xml:space="preserve">Following the DSD screening, the top 3-4 most influential factors identified will be further optimized using a Response Surface Methodology (RSM) such as a Central Composite Design (CCD) or Box-Behnken Design (BBD). These designs are specifically suited for fitting second-order polynomial equations to map the response surface and find optimal conditions. For example, optimizing four factors using a CCD would require approximately 30 runs per species. Focusing on the 2-3 best-performing species from Stage 1, this optimization phase would involve an additional 180-270 runs (including triplicates), allowing for a detailed understanding of process optima with high precision.</w:t>
      </w:r>
    </w:p>
    <w:bookmarkEnd w:id="21"/>
    <w:bookmarkStart w:id="22" w:name="X733621314aa5bd6f3bb0f1710cd87b59aeef711"/>
    <w:p>
      <w:pPr>
        <w:pStyle w:val="Heading3"/>
      </w:pPr>
      <w:r>
        <w:t xml:space="preserve">1.3 Detailed Run Matrix for Stage 1</w:t>
      </w:r>
    </w:p>
    <w:p>
      <w:pPr>
        <w:pStyle w:val="FirstParagraph"/>
      </w:pPr>
      <w:r>
        <w:t xml:space="preserve">The seven factors and their three levels (+1, 0, -1) for the DSD are defined as follows:</w:t>
      </w:r>
    </w:p>
    <w:p>
      <w:pPr>
        <w:pStyle w:val="Compact"/>
        <w:numPr>
          <w:ilvl w:val="0"/>
          <w:numId w:val="1001"/>
        </w:numPr>
      </w:pPr>
      <w:r>
        <w:rPr>
          <w:b/>
          <w:bCs/>
        </w:rPr>
        <w:t xml:space="preserve">A (pH):</w:t>
      </w:r>
      <w:r>
        <w:t xml:space="preserve"> </w:t>
      </w:r>
      <w:r>
        <w:t xml:space="preserve">2 (-1), 4 (0), 6 (+1)</w:t>
      </w:r>
    </w:p>
    <w:p>
      <w:pPr>
        <w:pStyle w:val="Compact"/>
        <w:numPr>
          <w:ilvl w:val="0"/>
          <w:numId w:val="1001"/>
        </w:numPr>
      </w:pPr>
      <w:r>
        <w:rPr>
          <w:b/>
          <w:bCs/>
        </w:rPr>
        <w:t xml:space="preserve">B (Leachate Dilution):</w:t>
      </w:r>
      <w:r>
        <w:t xml:space="preserve"> </w:t>
      </w:r>
      <w:r>
        <w:t xml:space="preserve">10% (-1), 50% (0), 100% (+1)</w:t>
      </w:r>
    </w:p>
    <w:p>
      <w:pPr>
        <w:pStyle w:val="Compact"/>
        <w:numPr>
          <w:ilvl w:val="0"/>
          <w:numId w:val="1001"/>
        </w:numPr>
      </w:pPr>
      <w:r>
        <w:rPr>
          <w:b/>
          <w:bCs/>
        </w:rPr>
        <w:t xml:space="preserve">C (Fe Pre-removal):</w:t>
      </w:r>
      <w:r>
        <w:t xml:space="preserve"> </w:t>
      </w:r>
      <w:r>
        <w:t xml:space="preserve">No (-1), Partial (0), Full (+1)</w:t>
      </w:r>
    </w:p>
    <w:p>
      <w:pPr>
        <w:pStyle w:val="Compact"/>
        <w:numPr>
          <w:ilvl w:val="0"/>
          <w:numId w:val="1001"/>
        </w:numPr>
      </w:pPr>
      <w:r>
        <w:rPr>
          <w:b/>
          <w:bCs/>
        </w:rPr>
        <w:t xml:space="preserve">D (Coolant Conc.):</w:t>
      </w:r>
      <w:r>
        <w:t xml:space="preserve"> </w:t>
      </w:r>
      <w:r>
        <w:t xml:space="preserve">0% (-1), 1% (0), 5% (+1)</w:t>
      </w:r>
    </w:p>
    <w:p>
      <w:pPr>
        <w:pStyle w:val="Compact"/>
        <w:numPr>
          <w:ilvl w:val="0"/>
          <w:numId w:val="1001"/>
        </w:numPr>
      </w:pPr>
      <w:r>
        <w:rPr>
          <w:b/>
          <w:bCs/>
        </w:rPr>
        <w:t xml:space="preserve">E (EDTA Conc.):</w:t>
      </w:r>
      <w:r>
        <w:t xml:space="preserve"> </w:t>
      </w:r>
      <w:r>
        <w:t xml:space="preserve">0 mM (-1), 0.1 mM (0), 1.0 mM (+1)</w:t>
      </w:r>
    </w:p>
    <w:p>
      <w:pPr>
        <w:pStyle w:val="Compact"/>
        <w:numPr>
          <w:ilvl w:val="0"/>
          <w:numId w:val="1001"/>
        </w:numPr>
      </w:pPr>
      <w:r>
        <w:rPr>
          <w:b/>
          <w:bCs/>
        </w:rPr>
        <w:t xml:space="preserve">F (Biomass Dosage):</w:t>
      </w:r>
      <w:r>
        <w:t xml:space="preserve"> </w:t>
      </w:r>
      <w:r>
        <w:t xml:space="preserve">0.5 g/L (-1), 3 g/L (0), 10 g/L (+1)</w:t>
      </w:r>
    </w:p>
    <w:p>
      <w:pPr>
        <w:pStyle w:val="Compact"/>
        <w:numPr>
          <w:ilvl w:val="0"/>
          <w:numId w:val="1001"/>
        </w:numPr>
      </w:pPr>
      <w:r>
        <w:rPr>
          <w:b/>
          <w:bCs/>
        </w:rPr>
        <w:t xml:space="preserve">G (Contact Time):</w:t>
      </w:r>
      <w:r>
        <w:t xml:space="preserve"> </w:t>
      </w:r>
      <w:r>
        <w:t xml:space="preserve">30 min (-1), 4 h (0), 24 h (+1)</w:t>
      </w:r>
    </w:p>
    <w:p>
      <w:pPr>
        <w:pStyle w:val="FirstParagraph"/>
      </w:pPr>
      <w:r>
        <w:t xml:space="preserve">The 15-run DSD matrix for these seven factors is shown below. This matrix would be executed for each of the six selected microalgae species.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Run</w:t>
            </w:r>
          </w:p>
        </w:tc>
        <w:tc>
          <w:tcPr/>
          <w:p>
            <w:pPr>
              <w:pStyle w:val="Compact"/>
              <w:jc w:val="center"/>
            </w:pPr>
            <w:r>
              <w:t xml:space="preserve">A (pH)</w:t>
            </w:r>
          </w:p>
        </w:tc>
        <w:tc>
          <w:tcPr/>
          <w:p>
            <w:pPr>
              <w:pStyle w:val="Compact"/>
              <w:jc w:val="center"/>
            </w:pPr>
            <w:r>
              <w:t xml:space="preserve">B (Dilution)</w:t>
            </w:r>
          </w:p>
        </w:tc>
        <w:tc>
          <w:tcPr/>
          <w:p>
            <w:pPr>
              <w:pStyle w:val="Compact"/>
              <w:jc w:val="center"/>
            </w:pPr>
            <w:r>
              <w:t xml:space="preserve">C (Fe Pre-removal)</w:t>
            </w:r>
          </w:p>
        </w:tc>
        <w:tc>
          <w:tcPr/>
          <w:p>
            <w:pPr>
              <w:pStyle w:val="Compact"/>
              <w:jc w:val="center"/>
            </w:pPr>
            <w:r>
              <w:t xml:space="preserve">D (Coolant)</w:t>
            </w:r>
          </w:p>
        </w:tc>
        <w:tc>
          <w:tcPr/>
          <w:p>
            <w:pPr>
              <w:pStyle w:val="Compact"/>
              <w:jc w:val="center"/>
            </w:pPr>
            <w:r>
              <w:t xml:space="preserve">E (EDTA)</w:t>
            </w:r>
          </w:p>
        </w:tc>
        <w:tc>
          <w:tcPr/>
          <w:p>
            <w:pPr>
              <w:pStyle w:val="Compact"/>
              <w:jc w:val="center"/>
            </w:pPr>
            <w:r>
              <w:t xml:space="preserve">F (Dosage)</w:t>
            </w:r>
          </w:p>
        </w:tc>
        <w:tc>
          <w:tcPr/>
          <w:p>
            <w:pPr>
              <w:pStyle w:val="Compact"/>
              <w:jc w:val="center"/>
            </w:pPr>
            <w:r>
              <w:t xml:space="preserve">G (Time)</w:t>
            </w:r>
          </w:p>
        </w:tc>
      </w:tr>
      <w:tr>
        <w:tc>
          <w:tcPr/>
          <w:p>
            <w:pPr>
              <w:pStyle w:val="Compact"/>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3</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4</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5</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6</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7</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8</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9</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10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11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12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pPr>
            <w:r>
              <w:t xml:space="preserve">13</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pPr>
            <w:r>
              <w:t xml:space="preserve">14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22"/>
    <w:bookmarkStart w:id="23" w:name="X2348408e42ce8bf687fb151ca94ee89f89a066d"/>
    <w:p>
      <w:pPr>
        <w:pStyle w:val="Heading3"/>
      </w:pPr>
      <w:r>
        <w:t xml:space="preserve">1.4 Sample Count Budget</w:t>
      </w:r>
    </w:p>
    <w:p>
      <w:pPr>
        <w:pStyle w:val="FirstParagraph"/>
      </w:pPr>
      <w:r>
        <w:t xml:space="preserve">The reduced experimental design leads to a practical sample budget for the 24-month program. The total number of Inductively Coupled Plasma Mass Spectrometry (ICP-MS) samples is estimated to be around 1,200.</w:t>
      </w:r>
    </w:p>
    <w:p>
      <w:pPr>
        <w:pStyle w:val="Compact"/>
        <w:numPr>
          <w:ilvl w:val="0"/>
          <w:numId w:val="1002"/>
        </w:numPr>
      </w:pPr>
      <w:r>
        <w:rPr>
          <w:b/>
          <w:bCs/>
        </w:rPr>
        <w:t xml:space="preserve">Phase 1 (Characterization):</w:t>
      </w:r>
      <w:r>
        <w:t xml:space="preserve"> </w:t>
      </w:r>
      <w:r>
        <w:t xml:space="preserve">50 samples</w:t>
      </w:r>
    </w:p>
    <w:p>
      <w:pPr>
        <w:pStyle w:val="Compact"/>
        <w:numPr>
          <w:ilvl w:val="0"/>
          <w:numId w:val="1002"/>
        </w:numPr>
      </w:pPr>
      <w:r>
        <w:rPr>
          <w:b/>
          <w:bCs/>
        </w:rPr>
        <w:t xml:space="preserve">Phase 2 (Screening):</w:t>
      </w:r>
    </w:p>
    <w:p>
      <w:pPr>
        <w:pStyle w:val="Compact"/>
        <w:numPr>
          <w:ilvl w:val="1"/>
          <w:numId w:val="1003"/>
        </w:numPr>
      </w:pPr>
      <w:r>
        <w:t xml:space="preserve">Stage 1 (DSD): 270 runs (90 conditions × 3 replicates) + 30 blanks = 300 samples</w:t>
      </w:r>
    </w:p>
    <w:p>
      <w:pPr>
        <w:pStyle w:val="Compact"/>
        <w:numPr>
          <w:ilvl w:val="1"/>
          <w:numId w:val="1003"/>
        </w:numPr>
      </w:pPr>
      <w:r>
        <w:t xml:space="preserve">Stage 2 (RSM): ~270 runs (90 conditions × 3 replicates) + 30 blanks = ~300 samples</w:t>
      </w:r>
    </w:p>
    <w:p>
      <w:pPr>
        <w:pStyle w:val="Compact"/>
        <w:numPr>
          <w:ilvl w:val="1"/>
          <w:numId w:val="1003"/>
        </w:numPr>
      </w:pPr>
      <w:r>
        <w:t xml:space="preserve">Confirmatory Runs: 50 samples</w:t>
      </w:r>
    </w:p>
    <w:p>
      <w:pPr>
        <w:pStyle w:val="Compact"/>
        <w:numPr>
          <w:ilvl w:val="0"/>
          <w:numId w:val="1003"/>
        </w:numPr>
      </w:pPr>
      <w:r>
        <w:rPr>
          <w:b/>
          <w:bCs/>
        </w:rPr>
        <w:t xml:space="preserve">Phase 4 (Pilot Validation):</w:t>
      </w:r>
      <w:r>
        <w:t xml:space="preserve"> </w:t>
      </w:r>
      <w:r>
        <w:t xml:space="preserve">~500 samples (e.g., daily sampling over 30 days with triplicates and process points)</w:t>
      </w:r>
    </w:p>
    <w:p>
      <w:pPr>
        <w:pStyle w:val="FirstParagraph"/>
      </w:pPr>
      <w:r>
        <w:t xml:space="preserve">Given external academic rates for ICP-MS analysis can be $40-$120 per sample, plus digestion fees of $25-$45, this budget emphasizes the need for an efficient experimental plan.</w:t>
      </w:r>
    </w:p>
    <w:bookmarkEnd w:id="23"/>
    <w:bookmarkStart w:id="24" w:name="X70452dd6280979bcddeaeb776cd37243f6fec11"/>
    <w:p>
      <w:pPr>
        <w:pStyle w:val="Heading3"/>
      </w:pPr>
      <w:r>
        <w:t xml:space="preserve">1.5 Statistical Power</w:t>
      </w:r>
    </w:p>
    <w:p>
      <w:pPr>
        <w:pStyle w:val="FirstParagraph"/>
      </w:pPr>
      <w:r>
        <w:t xml:space="preserve">The DSD approach provides excellent statistical power for its run size. It is specifically designed to resolve all main effects independently of any two-factor interactions (2FI) or quadratic effects, a property not shared by traditional fractional factorial designs. This ensures that the primary drivers of biosorption performance can be identified without confounding. For key interactions, such as those involving Fe, pH, and species, the DSD allows for the estimation of these effects if they are large. With triplicates and an alpha of 0.05, the statistical power to detect a factor with an effect size of 20% is expected to be greater than 0.80.</w:t>
      </w:r>
    </w:p>
    <w:bookmarkEnd w:id="24"/>
    <w:bookmarkStart w:id="25" w:name="X20200ce9933d23ec269242b8a70615f6c3fa3be"/>
    <w:p>
      <w:pPr>
        <w:pStyle w:val="Heading3"/>
      </w:pPr>
      <w:r>
        <w:t xml:space="preserve">1.6 Species Strategy</w:t>
      </w:r>
    </w:p>
    <w:p>
      <w:pPr>
        <w:pStyle w:val="FirstParagraph"/>
      </w:pPr>
      <w:r>
        <w:t xml:space="preserve">Based on the evidence from the literature review, the following six species are recommended for the screening phase, justified by their documented performance:</w:t>
      </w:r>
    </w:p>
    <w:p>
      <w:pPr>
        <w:pStyle w:val="Compact"/>
        <w:numPr>
          <w:ilvl w:val="0"/>
          <w:numId w:val="1004"/>
        </w:numPr>
      </w:pPr>
      <w:r>
        <w:rPr>
          <w:b/>
          <w:bCs/>
          <w:i/>
          <w:iCs/>
        </w:rPr>
        <w:t xml:space="preserve">Chlorella vulgaris</w:t>
      </w:r>
      <w:r>
        <w:t xml:space="preserve">: This species has been tested on actual NdFeB magnet leachate and demonstrated a high maximum uptake capacity for Nd (qmax of 188.68 mg/g). It also shows high removal for other metals like Mn (99.4%) and Co (100% from real wastewater).</w:t>
      </w:r>
    </w:p>
    <w:p>
      <w:pPr>
        <w:pStyle w:val="Compact"/>
        <w:numPr>
          <w:ilvl w:val="0"/>
          <w:numId w:val="1004"/>
        </w:numPr>
      </w:pPr>
      <w:r>
        <w:rPr>
          <w:b/>
          <w:bCs/>
          <w:i/>
          <w:iCs/>
        </w:rPr>
        <w:t xml:space="preserve">Galdieria sulphuraria</w:t>
      </w:r>
      <w:r>
        <w:t xml:space="preserve">: As an extremophile, this species is highly tolerant of the low pH and high metal concentrations characteristic of NdFeB leachates. Its ability to grow in acidic conditions (pH 1.5-2.5) makes it a strong candidate for treating raw, unadjusted leachate.</w:t>
      </w:r>
    </w:p>
    <w:p>
      <w:pPr>
        <w:pStyle w:val="Compact"/>
        <w:numPr>
          <w:ilvl w:val="0"/>
          <w:numId w:val="1004"/>
        </w:numPr>
      </w:pPr>
      <w:r>
        <w:rPr>
          <w:b/>
          <w:bCs/>
          <w:i/>
          <w:iCs/>
        </w:rPr>
        <w:t xml:space="preserve">Desmodesmus sp. / Scenedesmus sp.</w:t>
      </w:r>
      <w:r>
        <w:t xml:space="preserve">: Species from this genus, such as</w:t>
      </w:r>
      <w:r>
        <w:t xml:space="preserve"> </w:t>
      </w:r>
      <w:r>
        <w:rPr>
          <w:i/>
          <w:iCs/>
        </w:rPr>
        <w:t xml:space="preserve">Scenedesmus almeriensis</w:t>
      </w:r>
      <w:r>
        <w:t xml:space="preserve">, have been tested for boron and arsenic removal, showing tolerance and moderate uptake (up to 38.6% for B). They are robust and commonly studied in wastewater treatment.</w:t>
      </w:r>
    </w:p>
    <w:p>
      <w:pPr>
        <w:pStyle w:val="Compact"/>
        <w:numPr>
          <w:ilvl w:val="0"/>
          <w:numId w:val="1004"/>
        </w:numPr>
      </w:pPr>
      <w:r>
        <w:rPr>
          <w:b/>
          <w:bCs/>
          <w:i/>
          <w:iCs/>
        </w:rPr>
        <w:t xml:space="preserve">Arthrospira platensis (Spirulina)</w:t>
      </w:r>
      <w:r>
        <w:t xml:space="preserve">: This cyanobacterium has demonstrated rapid biosorption kinetics for rare earth elements like Dysprosium (38% removal in 5 minutes) and a maximum uptake capacity of 3.24 mg/g.</w:t>
      </w:r>
    </w:p>
    <w:p>
      <w:pPr>
        <w:pStyle w:val="Compact"/>
        <w:numPr>
          <w:ilvl w:val="0"/>
          <w:numId w:val="1004"/>
        </w:numPr>
      </w:pPr>
      <w:r>
        <w:rPr>
          <w:b/>
          <w:bCs/>
          <w:i/>
          <w:iCs/>
        </w:rPr>
        <w:t xml:space="preserve">Nostoc sp.</w:t>
      </w:r>
      <w:r>
        <w:t xml:space="preserve">: This cyanobacterium showed the highest adsorption capacity for a range of REEs (Ce, Nd, Tb, La) in screening studies, reaching 84.2–91.5 mg/g.</w:t>
      </w:r>
    </w:p>
    <w:p>
      <w:pPr>
        <w:pStyle w:val="Compact"/>
        <w:numPr>
          <w:ilvl w:val="0"/>
          <w:numId w:val="1004"/>
        </w:numPr>
      </w:pPr>
      <w:r>
        <w:rPr>
          <w:b/>
          <w:bCs/>
          <w:i/>
          <w:iCs/>
        </w:rPr>
        <w:t xml:space="preserve">Coccomyxa sp.</w:t>
      </w:r>
      <w:r>
        <w:t xml:space="preserve">: Strains of this genus isolated from extreme environments have shown high stress tolerance and the ability to remove &gt;90% of REEs from water within a few hours, making them promising for harsh industrial effluents.</w:t>
      </w:r>
    </w:p>
    <w:bookmarkEnd w:id="25"/>
    <w:bookmarkEnd w:id="26"/>
    <w:bookmarkStart w:id="33" w:name="part-2-month-9-gono-go-decision-tree"/>
    <w:p>
      <w:pPr>
        <w:pStyle w:val="Heading2"/>
      </w:pPr>
      <w:r>
        <w:t xml:space="preserve">PART 2: Month-9 Go/No-Go Decision Tree</w:t>
      </w:r>
    </w:p>
    <w:bookmarkStart w:id="27" w:name="X61ccc028a8253bb195fe17ff76ce4191cbccf9e"/>
    <w:p>
      <w:pPr>
        <w:pStyle w:val="Heading3"/>
      </w:pPr>
      <w:r>
        <w:t xml:space="preserve">2.1 Decision Framework</w:t>
      </w:r>
    </w:p>
    <w:p>
      <w:pPr>
        <w:pStyle w:val="FirstParagraph"/>
      </w:pPr>
      <w:r>
        <w:t xml:space="preserve">A quantitative, stage-gate decision framework based on Technology Readiness Level (TRL) and Best Available Techniques (BAT) assessment principles will guide the project's progression. Go/No-Go decisions at each gate will be based on achieving predefined, numeric performance criteria directly linked to the final goal of regulatory compliance for NdFeB leachate.</w:t>
      </w:r>
    </w:p>
    <w:bookmarkEnd w:id="27"/>
    <w:bookmarkStart w:id="28" w:name="Xd4ffc73f0c9b05e7650b2c15d152147a2dc60fa"/>
    <w:p>
      <w:pPr>
        <w:pStyle w:val="Heading3"/>
      </w:pPr>
      <w:r>
        <w:t xml:space="preserve">2.2 Gate 1: Biological Viability (Month 4)</w:t>
      </w:r>
    </w:p>
    <w:p>
      <w:pPr>
        <w:pStyle w:val="FirstParagraph"/>
      </w:pPr>
      <w:r>
        <w:t xml:space="preserve">This initial gate assesses the fundamental ability of the selected microalgae to survive in the toxic leachate environment.</w:t>
      </w:r>
    </w:p>
    <w:p>
      <w:pPr>
        <w:pStyle w:val="Compact"/>
        <w:numPr>
          <w:ilvl w:val="0"/>
          <w:numId w:val="1005"/>
        </w:numPr>
      </w:pPr>
      <w:r>
        <w:rPr>
          <w:b/>
          <w:bCs/>
        </w:rPr>
        <w:t xml:space="preserve">PASS CRITERION:</w:t>
      </w:r>
      <w:r>
        <w:t xml:space="preserve"> </w:t>
      </w:r>
      <w:r>
        <w:t xml:space="preserve">At least two of the six tested species demonstrate greater than 50% viability when exposed to 25% (v/v) real NdFeB leachate for 48 hours. Viability is measured by chlorophyll fluorescence (Fv/Fm &gt; 0.3) or cell counts (&gt;50% of control).</w:t>
      </w:r>
    </w:p>
    <w:p>
      <w:pPr>
        <w:pStyle w:val="Compact"/>
        <w:numPr>
          <w:ilvl w:val="0"/>
          <w:numId w:val="1005"/>
        </w:numPr>
      </w:pPr>
      <w:r>
        <w:rPr>
          <w:b/>
          <w:bCs/>
        </w:rPr>
        <w:t xml:space="preserve">ACTION (PASS):</w:t>
      </w:r>
      <w:r>
        <w:t xml:space="preserve"> </w:t>
      </w:r>
      <w:r>
        <w:t xml:space="preserve">Proceed to Gate 2 with the viable species.</w:t>
      </w:r>
    </w:p>
    <w:p>
      <w:pPr>
        <w:pStyle w:val="Compact"/>
        <w:numPr>
          <w:ilvl w:val="0"/>
          <w:numId w:val="1005"/>
        </w:numPr>
      </w:pPr>
      <w:r>
        <w:rPr>
          <w:b/>
          <w:bCs/>
        </w:rPr>
        <w:t xml:space="preserve">FAIL CRITERION:</w:t>
      </w:r>
      <w:r>
        <w:t xml:space="preserve"> </w:t>
      </w:r>
      <w:r>
        <w:t xml:space="preserve">Fewer than two species meet the viability threshold.</w:t>
      </w:r>
    </w:p>
    <w:p>
      <w:pPr>
        <w:pStyle w:val="Compact"/>
        <w:numPr>
          <w:ilvl w:val="0"/>
          <w:numId w:val="1005"/>
        </w:numPr>
      </w:pPr>
      <w:r>
        <w:rPr>
          <w:b/>
          <w:bCs/>
        </w:rPr>
        <w:t xml:space="preserve">CONTINGENCY (FAIL):</w:t>
      </w:r>
      <w:r>
        <w:t xml:space="preserve"> </w:t>
      </w:r>
      <w:r>
        <w:t xml:space="preserve">The project pivots to focus exclusively on non-living (dried, pre-treated) biomass for all subsequent experiments, as non-living biomass has also shown significant potential as a biosorbent.</w:t>
      </w:r>
    </w:p>
    <w:bookmarkEnd w:id="28"/>
    <w:bookmarkStart w:id="29" w:name="X099817af0af8ac45e747786b54a1d23d71e74b3"/>
    <w:p>
      <w:pPr>
        <w:pStyle w:val="Heading3"/>
      </w:pPr>
      <w:r>
        <w:t xml:space="preserve">2.3 Gate 2: Single-Metal Removal (Month 6)</w:t>
      </w:r>
    </w:p>
    <w:p>
      <w:pPr>
        <w:pStyle w:val="FirstParagraph"/>
      </w:pPr>
      <w:r>
        <w:t xml:space="preserve">This gate evaluates the performance of the most promising configurations (species/biomass form) from Stage 1 screening against individual, key contaminants at representative concentrations. Thresholds are set to demonstrate a meaningful step towards regulatory compliance.</w:t>
      </w:r>
    </w:p>
    <w:p>
      <w:pPr>
        <w:pStyle w:val="Compact"/>
        <w:numPr>
          <w:ilvl w:val="0"/>
          <w:numId w:val="1006"/>
        </w:numPr>
      </w:pPr>
      <w:r>
        <w:rPr>
          <w:b/>
          <w:bCs/>
        </w:rPr>
        <w:t xml:space="preserve">PASS CRITERION:</w:t>
      </w:r>
      <w:r>
        <w:t xml:space="preserve"> </w:t>
      </w:r>
      <w:r>
        <w:t xml:space="preserve">For a synthetic multi-metal solution simulating the leachate, at least one experimental condition (for one or more species) achieves removal for ≥4 of the 6 target contaminants below their specified thresholds:</w:t>
      </w:r>
    </w:p>
    <w:p>
      <w:pPr>
        <w:pStyle w:val="Compact"/>
        <w:numPr>
          <w:ilvl w:val="1"/>
          <w:numId w:val="1007"/>
        </w:numPr>
      </w:pPr>
      <w:r>
        <w:rPr>
          <w:b/>
          <w:bCs/>
        </w:rPr>
        <w:t xml:space="preserve">Fe:</w:t>
      </w:r>
      <w:r>
        <w:t xml:space="preserve"> </w:t>
      </w:r>
      <w:r>
        <w:t xml:space="preserve">&lt; 5 mg/L (from an initial ~500 mg/L)</w:t>
      </w:r>
    </w:p>
    <w:p>
      <w:pPr>
        <w:pStyle w:val="Compact"/>
        <w:numPr>
          <w:ilvl w:val="1"/>
          <w:numId w:val="1007"/>
        </w:numPr>
      </w:pPr>
      <w:r>
        <w:rPr>
          <w:b/>
          <w:bCs/>
        </w:rPr>
        <w:t xml:space="preserve">B:</w:t>
      </w:r>
      <w:r>
        <w:t xml:space="preserve"> </w:t>
      </w:r>
      <w:r>
        <w:t xml:space="preserve">&lt; 10 mg/L (from an initial ~50 mg/L)</w:t>
      </w:r>
    </w:p>
    <w:p>
      <w:pPr>
        <w:pStyle w:val="Compact"/>
        <w:numPr>
          <w:ilvl w:val="1"/>
          <w:numId w:val="1007"/>
        </w:numPr>
      </w:pPr>
      <w:r>
        <w:rPr>
          <w:b/>
          <w:bCs/>
        </w:rPr>
        <w:t xml:space="preserve">Co:</w:t>
      </w:r>
      <w:r>
        <w:t xml:space="preserve"> </w:t>
      </w:r>
      <w:r>
        <w:t xml:space="preserve">&lt; 0.5 mg/L (from an initial ~10 mg/L)</w:t>
      </w:r>
    </w:p>
    <w:p>
      <w:pPr>
        <w:pStyle w:val="Compact"/>
        <w:numPr>
          <w:ilvl w:val="1"/>
          <w:numId w:val="1007"/>
        </w:numPr>
      </w:pPr>
      <w:r>
        <w:rPr>
          <w:b/>
          <w:bCs/>
        </w:rPr>
        <w:t xml:space="preserve">Cu:</w:t>
      </w:r>
      <w:r>
        <w:t xml:space="preserve"> </w:t>
      </w:r>
      <w:r>
        <w:t xml:space="preserve">&lt; 0.5 mg/L (from an initial ~50 mg/L)</w:t>
      </w:r>
    </w:p>
    <w:p>
      <w:pPr>
        <w:pStyle w:val="Compact"/>
        <w:numPr>
          <w:ilvl w:val="1"/>
          <w:numId w:val="1007"/>
        </w:numPr>
      </w:pPr>
      <w:r>
        <w:rPr>
          <w:b/>
          <w:bCs/>
        </w:rPr>
        <w:t xml:space="preserve">Ni:</w:t>
      </w:r>
      <w:r>
        <w:t xml:space="preserve"> </w:t>
      </w:r>
      <w:r>
        <w:t xml:space="preserve">&lt; 0.5 mg/L (from an initial ~50 mg/L)</w:t>
      </w:r>
    </w:p>
    <w:p>
      <w:pPr>
        <w:pStyle w:val="Compact"/>
        <w:numPr>
          <w:ilvl w:val="1"/>
          <w:numId w:val="1007"/>
        </w:numPr>
      </w:pPr>
      <w:r>
        <w:rPr>
          <w:b/>
          <w:bCs/>
        </w:rPr>
        <w:t xml:space="preserve">COD:</w:t>
      </w:r>
      <w:r>
        <w:t xml:space="preserve"> </w:t>
      </w:r>
      <w:r>
        <w:t xml:space="preserve">No net increase &gt; 500 mg/L (to control for organic leaching from biomass)</w:t>
      </w:r>
    </w:p>
    <w:p>
      <w:pPr>
        <w:pStyle w:val="Compact"/>
        <w:numPr>
          <w:ilvl w:val="0"/>
          <w:numId w:val="1007"/>
        </w:numPr>
      </w:pPr>
      <w:r>
        <w:rPr>
          <w:b/>
          <w:bCs/>
        </w:rPr>
        <w:t xml:space="preserve">ACTION (PASS):</w:t>
      </w:r>
      <w:r>
        <w:t xml:space="preserve"> </w:t>
      </w:r>
      <w:r>
        <w:t xml:space="preserve">Proceed to Gate 3 with the best-performing conditions for full multi-metal compliance testing.</w:t>
      </w:r>
    </w:p>
    <w:p>
      <w:pPr>
        <w:pStyle w:val="Compact"/>
        <w:numPr>
          <w:ilvl w:val="0"/>
          <w:numId w:val="1007"/>
        </w:numPr>
      </w:pPr>
      <w:r>
        <w:rPr>
          <w:b/>
          <w:bCs/>
        </w:rPr>
        <w:t xml:space="preserve">FAIL CRITERION:</w:t>
      </w:r>
      <w:r>
        <w:t xml:space="preserve"> </w:t>
      </w:r>
      <w:r>
        <w:t xml:space="preserve">No condition achieves the threshold for at least four contaminants.</w:t>
      </w:r>
    </w:p>
    <w:p>
      <w:pPr>
        <w:pStyle w:val="Compact"/>
        <w:numPr>
          <w:ilvl w:val="0"/>
          <w:numId w:val="1007"/>
        </w:numPr>
      </w:pPr>
      <w:r>
        <w:rPr>
          <w:b/>
          <w:bCs/>
        </w:rPr>
        <w:t xml:space="preserve">CONTINGENCY (FAIL):</w:t>
      </w:r>
      <w:r>
        <w:t xml:space="preserve"> </w:t>
      </w:r>
      <w:r>
        <w:t xml:space="preserve">Re-evaluate the experimental matrix. If failure is due to a single recalcitrant metal (e.g., Boron), the project scope may be narrowed to focus on a hybrid system where microalgae are used as a polishing step after conventional treatment removes the difficult contaminant.</w:t>
      </w:r>
    </w:p>
    <w:bookmarkEnd w:id="29"/>
    <w:bookmarkStart w:id="30" w:name="X131ee4e23b6e6ce3e9bf534a5451e407b3eadca"/>
    <w:p>
      <w:pPr>
        <w:pStyle w:val="Heading3"/>
      </w:pPr>
      <w:r>
        <w:t xml:space="preserve">2.4 Gate 3: Multi-Metal Simultaneous Compliance (Month 9)</w:t>
      </w:r>
    </w:p>
    <w:p>
      <w:pPr>
        <w:pStyle w:val="FirstParagraph"/>
      </w:pPr>
      <w:r>
        <w:t xml:space="preserve">This is the critical Go/No-Go decision point for the project, assessing the technology's potential to achieve simultaneous compliance for all key contaminants in a real, complex leachate matrix.</w:t>
      </w:r>
    </w:p>
    <w:p>
      <w:pPr>
        <w:pStyle w:val="Compact"/>
        <w:numPr>
          <w:ilvl w:val="0"/>
          <w:numId w:val="1008"/>
        </w:numPr>
      </w:pPr>
      <w:r>
        <w:rPr>
          <w:b/>
          <w:bCs/>
        </w:rPr>
        <w:t xml:space="preserve">GREEN (GO):</w:t>
      </w:r>
      <w:r>
        <w:t xml:space="preserve"> </w:t>
      </w:r>
      <w:r>
        <w:t xml:space="preserve">At least one optimized condition simultaneously reduces all 6 target contaminants (Fe, B, Co, Cu, Ni, COD) below their respective regulatory discharge limits (e.g., EU BAT-AEL or US EPA 40 CFR 433).</w:t>
      </w:r>
    </w:p>
    <w:p>
      <w:pPr>
        <w:pStyle w:val="Compact"/>
        <w:numPr>
          <w:ilvl w:val="0"/>
          <w:numId w:val="1008"/>
        </w:numPr>
      </w:pPr>
      <w:r>
        <w:rPr>
          <w:b/>
          <w:bCs/>
        </w:rPr>
        <w:t xml:space="preserve">YELLOW (PROCEED WITH CAUTION):</w:t>
      </w:r>
      <w:r>
        <w:t xml:space="preserve"> </w:t>
      </w:r>
      <w:r>
        <w:t xml:space="preserve">At least one condition reduces 4-5 of the 6 contaminants to below their limits, and the remaining contaminant(s) are within 2x of their limit. This triggers a focused effort on a hybrid system or polishing step for the non-compliant metal(s).</w:t>
      </w:r>
    </w:p>
    <w:p>
      <w:pPr>
        <w:pStyle w:val="Compact"/>
        <w:numPr>
          <w:ilvl w:val="0"/>
          <w:numId w:val="1008"/>
        </w:numPr>
      </w:pPr>
      <w:r>
        <w:rPr>
          <w:b/>
          <w:bCs/>
        </w:rPr>
        <w:t xml:space="preserve">RED (NO-GO):</w:t>
      </w:r>
      <w:r>
        <w:t xml:space="preserve"> </w:t>
      </w:r>
      <w:r>
        <w:t xml:space="preserve">Fewer than 4 contaminants are brought into compliance, or any single contaminant remains more than 10x above its discharge limit. The microalgae-only approach is deemed technically infeasible.</w:t>
      </w:r>
    </w:p>
    <w:p>
      <w:pPr>
        <w:pStyle w:val="Compact"/>
        <w:numPr>
          <w:ilvl w:val="0"/>
          <w:numId w:val="1008"/>
        </w:numPr>
      </w:pPr>
      <w:r>
        <w:rPr>
          <w:b/>
          <w:bCs/>
        </w:rPr>
        <w:t xml:space="preserve">BLACK (ABORT):</w:t>
      </w:r>
      <w:r>
        <w:t xml:space="preserve"> </w:t>
      </w:r>
      <w:r>
        <w:t xml:space="preserve">No measurable removal is observed for key contaminants, or total biomass death occurs in all tested conditions with real leachate. The project is terminated.</w:t>
      </w:r>
    </w:p>
    <w:bookmarkEnd w:id="30"/>
    <w:bookmarkStart w:id="31" w:name="X7ef2ada5ae3b777506a5b969a72b4c4a3ea7830"/>
    <w:p>
      <w:pPr>
        <w:pStyle w:val="Heading3"/>
      </w:pPr>
      <w:r>
        <w:t xml:space="preserve">2.5 Decision Tree Flowchart</w:t>
      </w:r>
    </w:p>
    <w:p>
      <w:pPr>
        <w:pStyle w:val="SourceCode"/>
      </w:pPr>
      <w:r>
        <w:rPr>
          <w:rStyle w:val="VerbatimChar"/>
        </w:rPr>
        <w:t xml:space="preserve">[Start Program]</w:t>
      </w:r>
      <w:r>
        <w:br/>
      </w:r>
      <w:r>
        <w:rPr>
          <w:rStyle w:val="VerbatimChar"/>
        </w:rPr>
        <w:t xml:space="preserve">    |</w:t>
      </w:r>
      <w:r>
        <w:br/>
      </w:r>
      <w:r>
        <w:rPr>
          <w:rStyle w:val="VerbatimChar"/>
        </w:rPr>
        <w:t xml:space="preserve">    |--&gt; [Gate 1: Biological Viability (Month 4)]</w:t>
      </w:r>
      <w:r>
        <w:br/>
      </w:r>
      <w:r>
        <w:rPr>
          <w:rStyle w:val="VerbatimChar"/>
        </w:rPr>
        <w:t xml:space="preserve">    |    - Test: &gt;=2 species &gt;50% viability in 25% leachate?</w:t>
      </w:r>
      <w:r>
        <w:br/>
      </w:r>
      <w:r>
        <w:rPr>
          <w:rStyle w:val="VerbatimChar"/>
        </w:rPr>
        <w:t xml:space="preserve">    |    |</w:t>
      </w:r>
      <w:r>
        <w:br/>
      </w:r>
      <w:r>
        <w:rPr>
          <w:rStyle w:val="VerbatimChar"/>
        </w:rPr>
        <w:t xml:space="preserve">    |    |-- (PASS) --&gt; [Proceed to Gate 2 with viable species]</w:t>
      </w:r>
      <w:r>
        <w:br/>
      </w:r>
      <w:r>
        <w:rPr>
          <w:rStyle w:val="VerbatimChar"/>
        </w:rPr>
        <w:t xml:space="preserve">    |    |</w:t>
      </w:r>
      <w:r>
        <w:br/>
      </w:r>
      <w:r>
        <w:rPr>
          <w:rStyle w:val="VerbatimChar"/>
        </w:rPr>
        <w:t xml:space="preserve">    |    '-- (FAIL) --&gt; [PIVOT: Focus exclusively on non-living biomass] --&gt; [Proceed to Gate 2]</w:t>
      </w:r>
      <w:r>
        <w:br/>
      </w:r>
      <w:r>
        <w:rPr>
          <w:rStyle w:val="VerbatimChar"/>
        </w:rPr>
        <w:t xml:space="preserve">    |</w:t>
      </w:r>
      <w:r>
        <w:br/>
      </w:r>
      <w:r>
        <w:rPr>
          <w:rStyle w:val="VerbatimChar"/>
        </w:rPr>
        <w:t xml:space="preserve">    |--&gt; [Gate 2: Single-Metal Removal (Month 6)]</w:t>
      </w:r>
      <w:r>
        <w:br/>
      </w:r>
      <w:r>
        <w:rPr>
          <w:rStyle w:val="VerbatimChar"/>
        </w:rPr>
        <w:t xml:space="preserve">    |    - Test: &gt;=4 of 6 target contaminants below threshold in synthetic leachate?</w:t>
      </w:r>
      <w:r>
        <w:br/>
      </w:r>
      <w:r>
        <w:rPr>
          <w:rStyle w:val="VerbatimChar"/>
        </w:rPr>
        <w:t xml:space="preserve">    |    |</w:t>
      </w:r>
      <w:r>
        <w:br/>
      </w:r>
      <w:r>
        <w:rPr>
          <w:rStyle w:val="VerbatimChar"/>
        </w:rPr>
        <w:t xml:space="preserve">    |    |-- (PASS) --&gt; [Proceed to Gate 3 with optimized conditions]</w:t>
      </w:r>
      <w:r>
        <w:br/>
      </w:r>
      <w:r>
        <w:rPr>
          <w:rStyle w:val="VerbatimChar"/>
        </w:rPr>
        <w:t xml:space="preserve">    |    |</w:t>
      </w:r>
      <w:r>
        <w:br/>
      </w:r>
      <w:r>
        <w:rPr>
          <w:rStyle w:val="VerbatimChar"/>
        </w:rPr>
        <w:t xml:space="preserve">    |    '-- (FAIL) --&gt; [CONTINGENCY: Re-scope to Hybrid System (e.g., chemical pre-treatment + microalgae polishing)] --&gt; [Re-evaluate at Gate 3]</w:t>
      </w:r>
      <w:r>
        <w:br/>
      </w:r>
      <w:r>
        <w:rPr>
          <w:rStyle w:val="VerbatimChar"/>
        </w:rPr>
        <w:t xml:space="preserve">    |</w:t>
      </w:r>
      <w:r>
        <w:br/>
      </w:r>
      <w:r>
        <w:rPr>
          <w:rStyle w:val="VerbatimChar"/>
        </w:rPr>
        <w:t xml:space="preserve">    |--&gt; [Gate 3: Multi-Metal Compliance (Month 9)]</w:t>
      </w:r>
      <w:r>
        <w:br/>
      </w:r>
      <w:r>
        <w:rPr>
          <w:rStyle w:val="VerbatimChar"/>
        </w:rPr>
        <w:t xml:space="preserve">    |    - Test: Simultaneous removal in real leachate vs. regulatory limits.</w:t>
      </w:r>
      <w:r>
        <w:br/>
      </w:r>
      <w:r>
        <w:rPr>
          <w:rStyle w:val="VerbatimChar"/>
        </w:rPr>
        <w:t xml:space="preserve">    |    |</w:t>
      </w:r>
      <w:r>
        <w:br/>
      </w:r>
      <w:r>
        <w:rPr>
          <w:rStyle w:val="VerbatimChar"/>
        </w:rPr>
        <w:t xml:space="preserve">    |    |-- (GREEN - GO) --&gt; [Proceed to Phase 4 Pilot Validation]</w:t>
      </w:r>
      <w:r>
        <w:br/>
      </w:r>
      <w:r>
        <w:rPr>
          <w:rStyle w:val="VerbatimChar"/>
        </w:rPr>
        <w:t xml:space="preserve">    |    |</w:t>
      </w:r>
      <w:r>
        <w:br/>
      </w:r>
      <w:r>
        <w:rPr>
          <w:rStyle w:val="VerbatimChar"/>
        </w:rPr>
        <w:t xml:space="preserve">    |    |-- (YELLOW - CAUTION) --&gt; [PROCEED: Focus on Hybrid System/Polishing Step for non-compliant metals]</w:t>
      </w:r>
      <w:r>
        <w:br/>
      </w:r>
      <w:r>
        <w:rPr>
          <w:rStyle w:val="VerbatimChar"/>
        </w:rPr>
        <w:t xml:space="preserve">    |    |</w:t>
      </w:r>
      <w:r>
        <w:br/>
      </w:r>
      <w:r>
        <w:rPr>
          <w:rStyle w:val="VerbatimChar"/>
        </w:rPr>
        <w:t xml:space="preserve">    |    |-- (RED - NO-GO) --&gt; [CONCLUSION: Microalgae-only treatment is infeasible. Evaluate hybrid options.]</w:t>
      </w:r>
      <w:r>
        <w:br/>
      </w:r>
      <w:r>
        <w:rPr>
          <w:rStyle w:val="VerbatimChar"/>
        </w:rPr>
        <w:t xml:space="preserve">    |    |</w:t>
      </w:r>
      <w:r>
        <w:br/>
      </w:r>
      <w:r>
        <w:rPr>
          <w:rStyle w:val="VerbatimChar"/>
        </w:rPr>
        <w:t xml:space="preserve">    |    '-- (BLACK - ABORT) --&gt; [TERMINATE PROJECT]</w:t>
      </w:r>
    </w:p>
    <w:bookmarkEnd w:id="31"/>
    <w:bookmarkStart w:id="32" w:name="X4e8ef6f467c90d5e6877fca05a2d042200fc140"/>
    <w:p>
      <w:pPr>
        <w:pStyle w:val="Heading3"/>
      </w:pPr>
      <w:r>
        <w:t xml:space="preserve">2.6 Contingency Actions</w:t>
      </w:r>
    </w:p>
    <w:p>
      <w:pPr>
        <w:pStyle w:val="Compact"/>
        <w:numPr>
          <w:ilvl w:val="0"/>
          <w:numId w:val="1009"/>
        </w:numPr>
      </w:pPr>
      <w:r>
        <w:rPr>
          <w:b/>
          <w:bCs/>
        </w:rPr>
        <w:t xml:space="preserve">Gate 1 Fail:</w:t>
      </w:r>
      <w:r>
        <w:t xml:space="preserve"> </w:t>
      </w:r>
      <w:r>
        <w:t xml:space="preserve">Shift all resources from culturing living cells to procuring and preparing dried/immobilized biomass. This mitigates risks associated with leachate toxicity to living organisms.</w:t>
      </w:r>
    </w:p>
    <w:p>
      <w:pPr>
        <w:pStyle w:val="Compact"/>
        <w:numPr>
          <w:ilvl w:val="0"/>
          <w:numId w:val="1009"/>
        </w:numPr>
      </w:pPr>
      <w:r>
        <w:rPr>
          <w:b/>
          <w:bCs/>
        </w:rPr>
        <w:t xml:space="preserve">Gate 2 Fail:</w:t>
      </w:r>
      <w:r>
        <w:t xml:space="preserve"> </w:t>
      </w:r>
      <w:r>
        <w:t xml:space="preserve">Immediately initiate a parallel study on conventional pre-treatment (e.g., chemical precipitation) for the most recalcitrant contaminant(s). The microalgae project timeline is adjusted to focus on its role as a polishing step for the remaining metals.</w:t>
      </w:r>
    </w:p>
    <w:p>
      <w:pPr>
        <w:pStyle w:val="Compact"/>
        <w:numPr>
          <w:ilvl w:val="0"/>
          <w:numId w:val="1009"/>
        </w:numPr>
      </w:pPr>
      <w:r>
        <w:rPr>
          <w:b/>
          <w:bCs/>
        </w:rPr>
        <w:t xml:space="preserve">Gate 3 Fail (RED/BLACK):</w:t>
      </w:r>
      <w:r>
        <w:t xml:space="preserve"> </w:t>
      </w:r>
      <w:r>
        <w:t xml:space="preserve">A final report is generated concluding that microalgae treatment is not a viable standalone or primary treatment technology for this waste stream. Resources are reallocated to evaluating alternative technologies like ion exchange or advanced oxidation, which have high efficiency but are often more expensive.</w:t>
      </w:r>
    </w:p>
    <w:bookmarkEnd w:id="32"/>
    <w:bookmarkEnd w:id="33"/>
    <w:bookmarkStart w:id="42" w:name="X5df5a475a5ee371f1f12e3588ae4b56c81f8aee"/>
    <w:p>
      <w:pPr>
        <w:pStyle w:val="Heading2"/>
      </w:pPr>
      <w:r>
        <w:t xml:space="preserve">PART 3: Comparative Cost-Effectiveness Analysis</w:t>
      </w:r>
    </w:p>
    <w:bookmarkStart w:id="34" w:name="X2f65837aa3b44c689a31c0f5954a25641ae2643"/>
    <w:p>
      <w:pPr>
        <w:pStyle w:val="Heading3"/>
      </w:pPr>
      <w:r>
        <w:t xml:space="preserve">3.1 Scenario: 10 m³/day Grinding Sludge Leachate</w:t>
      </w:r>
    </w:p>
    <w:p>
      <w:pPr>
        <w:pStyle w:val="FirstParagraph"/>
      </w:pPr>
      <w:r>
        <w:t xml:space="preserve">A comparative cost analysis is performed for a hypothetical scenario involving the treatment of 10 m³/day (2,642 gal/day) of highly concentrated NdFeB grinding sludge leachate. The influent is characterized by:</w:t>
      </w:r>
    </w:p>
    <w:p>
      <w:pPr>
        <w:pStyle w:val="Compact"/>
        <w:numPr>
          <w:ilvl w:val="0"/>
          <w:numId w:val="1010"/>
        </w:numPr>
      </w:pPr>
      <w:r>
        <w:rPr>
          <w:b/>
          <w:bCs/>
        </w:rPr>
        <w:t xml:space="preserve">Fe:</w:t>
      </w:r>
      <w:r>
        <w:t xml:space="preserve"> </w:t>
      </w:r>
      <w:r>
        <w:t xml:space="preserve">5,000 mg/L</w:t>
      </w:r>
    </w:p>
    <w:p>
      <w:pPr>
        <w:pStyle w:val="Compact"/>
        <w:numPr>
          <w:ilvl w:val="0"/>
          <w:numId w:val="1010"/>
        </w:numPr>
      </w:pPr>
      <w:r>
        <w:rPr>
          <w:b/>
          <w:bCs/>
        </w:rPr>
        <w:t xml:space="preserve">Total REE:</w:t>
      </w:r>
      <w:r>
        <w:t xml:space="preserve"> </w:t>
      </w:r>
      <w:r>
        <w:t xml:space="preserve">1,920 mg/L (Nd, Dy, Pr)</w:t>
      </w:r>
    </w:p>
    <w:p>
      <w:pPr>
        <w:pStyle w:val="Compact"/>
        <w:numPr>
          <w:ilvl w:val="0"/>
          <w:numId w:val="1010"/>
        </w:numPr>
      </w:pPr>
      <w:r>
        <w:rPr>
          <w:b/>
          <w:bCs/>
        </w:rPr>
        <w:t xml:space="preserve">B:</w:t>
      </w:r>
      <w:r>
        <w:t xml:space="preserve"> </w:t>
      </w:r>
      <w:r>
        <w:t xml:space="preserve">500 mg/L</w:t>
      </w:r>
    </w:p>
    <w:p>
      <w:pPr>
        <w:pStyle w:val="Compact"/>
        <w:numPr>
          <w:ilvl w:val="0"/>
          <w:numId w:val="1010"/>
        </w:numPr>
      </w:pPr>
      <w:r>
        <w:rPr>
          <w:b/>
          <w:bCs/>
        </w:rPr>
        <w:t xml:space="preserve">Co:</w:t>
      </w:r>
      <w:r>
        <w:t xml:space="preserve"> </w:t>
      </w:r>
      <w:r>
        <w:t xml:space="preserve">100 mg/L</w:t>
      </w:r>
    </w:p>
    <w:p>
      <w:pPr>
        <w:pStyle w:val="Compact"/>
        <w:numPr>
          <w:ilvl w:val="0"/>
          <w:numId w:val="1010"/>
        </w:numPr>
      </w:pPr>
      <w:r>
        <w:rPr>
          <w:b/>
          <w:bCs/>
        </w:rPr>
        <w:t xml:space="preserve">Cu:</w:t>
      </w:r>
      <w:r>
        <w:t xml:space="preserve"> </w:t>
      </w:r>
      <w:r>
        <w:t xml:space="preserve">50 mg/L</w:t>
      </w:r>
    </w:p>
    <w:p>
      <w:pPr>
        <w:pStyle w:val="Compact"/>
        <w:numPr>
          <w:ilvl w:val="0"/>
          <w:numId w:val="1010"/>
        </w:numPr>
      </w:pPr>
      <w:r>
        <w:rPr>
          <w:b/>
          <w:bCs/>
        </w:rPr>
        <w:t xml:space="preserve">Ni:</w:t>
      </w:r>
      <w:r>
        <w:t xml:space="preserve"> </w:t>
      </w:r>
      <w:r>
        <w:t xml:space="preserve">50 mg/L</w:t>
      </w:r>
    </w:p>
    <w:p>
      <w:pPr>
        <w:pStyle w:val="Compact"/>
        <w:numPr>
          <w:ilvl w:val="0"/>
          <w:numId w:val="1010"/>
        </w:numPr>
      </w:pPr>
      <w:r>
        <w:rPr>
          <w:b/>
          <w:bCs/>
        </w:rPr>
        <w:t xml:space="preserve">pH:</w:t>
      </w:r>
      <w:r>
        <w:t xml:space="preserve"> </w:t>
      </w:r>
      <w:r>
        <w:t xml:space="preserve">2.0</w:t>
      </w:r>
    </w:p>
    <w:p>
      <w:pPr>
        <w:pStyle w:val="FirstParagraph"/>
      </w:pPr>
      <w:r>
        <w:t xml:space="preserve">This composition is representative of acidic leachates from magnet manufacturing waste, which are dominated by iron and present significant treatment challenges.</w:t>
      </w:r>
    </w:p>
    <w:bookmarkEnd w:id="34"/>
    <w:bookmarkStart w:id="35" w:name="X5955f65c6f917c0a3d8fd34319d17eb45ed640a"/>
    <w:p>
      <w:pPr>
        <w:pStyle w:val="Heading3"/>
      </w:pPr>
      <w:r>
        <w:t xml:space="preserve">3.2 Technology 1: Chemical Precipitation + Clarification</w:t>
      </w:r>
    </w:p>
    <w:p>
      <w:pPr>
        <w:pStyle w:val="FirstParagraph"/>
      </w:pPr>
      <w:r>
        <w:t xml:space="preserve">This conventional approach involves raising the pH to 9-10 with lime (Ca(OH)₂) or caustic soda (NaOH) to precipitate metal hydroxides. It is a simple, low-cost, and robust method for bulk heavy metal removal.</w:t>
      </w:r>
    </w:p>
    <w:p>
      <w:pPr>
        <w:pStyle w:val="Compact"/>
        <w:numPr>
          <w:ilvl w:val="0"/>
          <w:numId w:val="1011"/>
        </w:numPr>
      </w:pPr>
      <w:r>
        <w:rPr>
          <w:b/>
          <w:bCs/>
        </w:rPr>
        <w:t xml:space="preserve">Capital Cost:</w:t>
      </w:r>
      <w:r>
        <w:t xml:space="preserve"> </w:t>
      </w:r>
      <w:r>
        <w:t xml:space="preserve">Low to moderate. A basic system for this flow rate, including tanks, pumps, pH control, and a clarifier, would likely be in the range of $50,000 - $150,000.</w:t>
      </w:r>
    </w:p>
    <w:p>
      <w:pPr>
        <w:pStyle w:val="Compact"/>
        <w:numPr>
          <w:ilvl w:val="0"/>
          <w:numId w:val="1011"/>
        </w:numPr>
      </w:pPr>
      <w:r>
        <w:rPr>
          <w:b/>
          <w:bCs/>
        </w:rPr>
        <w:t xml:space="preserve">Operating Cost:</w:t>
      </w:r>
      <w:r>
        <w:t xml:space="preserve"> </w:t>
      </w:r>
      <w:r>
        <w:t xml:space="preserve">Moderate. Dominated by chemical consumption (lime/NaOH) and sludge disposal. Estimated OpEx: $5 - $15 per m³.</w:t>
      </w:r>
    </w:p>
    <w:p>
      <w:pPr>
        <w:pStyle w:val="Compact"/>
        <w:numPr>
          <w:ilvl w:val="0"/>
          <w:numId w:val="1011"/>
        </w:numPr>
      </w:pPr>
      <w:r>
        <w:rPr>
          <w:b/>
          <w:bCs/>
        </w:rPr>
        <w:t xml:space="preserve">Performance:</w:t>
      </w:r>
      <w:r>
        <w:t xml:space="preserve"> </w:t>
      </w:r>
      <w:r>
        <w:t xml:space="preserve">Highly effective for Fe, Cu, Ni, and Co, achieving &gt;95-99% removal to meet typical discharge limits.</w:t>
      </w:r>
    </w:p>
    <w:p>
      <w:pPr>
        <w:pStyle w:val="Compact"/>
        <w:numPr>
          <w:ilvl w:val="0"/>
          <w:numId w:val="1011"/>
        </w:numPr>
      </w:pPr>
      <w:r>
        <w:rPr>
          <w:b/>
          <w:bCs/>
        </w:rPr>
        <w:t xml:space="preserve">Limitations:</w:t>
      </w:r>
      <w:r>
        <w:t xml:space="preserve"> </w:t>
      </w:r>
      <w:r>
        <w:t xml:space="preserve">Ineffective for Boron and does not selectively separate REEs, which co-precipitate with iron hydroxides. Generates large volumes of hazardous sludge, with disposal costs ranging from $160/drum to over $1,000/ton if classified as hazardous.</w:t>
      </w:r>
    </w:p>
    <w:bookmarkEnd w:id="35"/>
    <w:bookmarkStart w:id="36" w:name="Xf0a5db0482a8baf868e602e3d376c829e9084d8"/>
    <w:p>
      <w:pPr>
        <w:pStyle w:val="Heading3"/>
      </w:pPr>
      <w:r>
        <w:t xml:space="preserve">3.3 Technology 2: Precipitation + Ion Exchange</w:t>
      </w:r>
    </w:p>
    <w:p>
      <w:pPr>
        <w:pStyle w:val="FirstParagraph"/>
      </w:pPr>
      <w:r>
        <w:t xml:space="preserve">This two-stage process uses chemical precipitation to remove the bulk of Fe and other base metals, followed by a polishing step with selective ion exchange (IX) resins to remove residual metals and target specific contaminants like boron and REEs.</w:t>
      </w:r>
    </w:p>
    <w:p>
      <w:pPr>
        <w:pStyle w:val="Compact"/>
        <w:numPr>
          <w:ilvl w:val="0"/>
          <w:numId w:val="1012"/>
        </w:numPr>
      </w:pPr>
      <w:r>
        <w:rPr>
          <w:b/>
          <w:bCs/>
        </w:rPr>
        <w:t xml:space="preserve">Capital Cost:</w:t>
      </w:r>
      <w:r>
        <w:t xml:space="preserve"> </w:t>
      </w:r>
      <w:r>
        <w:t xml:space="preserve">High. Includes the precipitation system plus the IX system (vessels, resin, regeneration equipment), likely totaling $200,000 - $400,000 for this scale. Specialty boron or REE-selective resins can cost $500 - $2,000 per cubic foot.</w:t>
      </w:r>
    </w:p>
    <w:p>
      <w:pPr>
        <w:pStyle w:val="Compact"/>
        <w:numPr>
          <w:ilvl w:val="0"/>
          <w:numId w:val="1012"/>
        </w:numPr>
      </w:pPr>
      <w:r>
        <w:rPr>
          <w:b/>
          <w:bCs/>
        </w:rPr>
        <w:t xml:space="preserve">Operating Cost:</w:t>
      </w:r>
      <w:r>
        <w:t xml:space="preserve"> </w:t>
      </w:r>
      <w:r>
        <w:t xml:space="preserve">High. Includes chemicals for precipitation, IX resin regeneration (acids, bases), and disposal of both sludge and spent regenerant brine. Estimated OpEx: $15 - $40 per m³.</w:t>
      </w:r>
    </w:p>
    <w:p>
      <w:pPr>
        <w:pStyle w:val="Compact"/>
        <w:numPr>
          <w:ilvl w:val="0"/>
          <w:numId w:val="1012"/>
        </w:numPr>
      </w:pPr>
      <w:r>
        <w:rPr>
          <w:b/>
          <w:bCs/>
        </w:rPr>
        <w:t xml:space="preserve">Performance:</w:t>
      </w:r>
      <w:r>
        <w:t xml:space="preserve"> </w:t>
      </w:r>
      <w:r>
        <w:t xml:space="preserve">Very high removal efficiency (&gt;99%) for most metals. Can achieve very low discharge limits, including for boron (to &lt;2 mg/L) and can selectively capture REEs if the correct resin is used.</w:t>
      </w:r>
    </w:p>
    <w:p>
      <w:pPr>
        <w:pStyle w:val="Compact"/>
        <w:numPr>
          <w:ilvl w:val="0"/>
          <w:numId w:val="1012"/>
        </w:numPr>
      </w:pPr>
      <w:r>
        <w:rPr>
          <w:b/>
          <w:bCs/>
        </w:rPr>
        <w:t xml:space="preserve">Limitations:</w:t>
      </w:r>
      <w:r>
        <w:t xml:space="preserve"> </w:t>
      </w:r>
      <w:r>
        <w:t xml:space="preserve">High operational complexity and cost. Resin fouling is a significant concern, and the regeneration process creates a concentrated, hazardous liquid waste stream that requires further management.</w:t>
      </w:r>
    </w:p>
    <w:bookmarkEnd w:id="36"/>
    <w:bookmarkStart w:id="37" w:name="X6fadc6d69352aad04662473c4eb5a897a29e71d"/>
    <w:p>
      <w:pPr>
        <w:pStyle w:val="Heading3"/>
      </w:pPr>
      <w:r>
        <w:t xml:space="preserve">3.4 Technology 3: Microalgae Biosorption (Standalone)</w:t>
      </w:r>
    </w:p>
    <w:p>
      <w:pPr>
        <w:pStyle w:val="FirstParagraph"/>
      </w:pPr>
      <w:r>
        <w:t xml:space="preserve">This scenario evaluates using only microalgae biosorption to treat the raw leachate.</w:t>
      </w:r>
    </w:p>
    <w:p>
      <w:pPr>
        <w:pStyle w:val="Compact"/>
        <w:numPr>
          <w:ilvl w:val="0"/>
          <w:numId w:val="1013"/>
        </w:numPr>
      </w:pPr>
      <w:r>
        <w:rPr>
          <w:b/>
          <w:bCs/>
        </w:rPr>
        <w:t xml:space="preserve">Capital Cost:</w:t>
      </w:r>
      <w:r>
        <w:t xml:space="preserve"> </w:t>
      </w:r>
      <w:r>
        <w:t xml:space="preserve">Moderate. Requires photobioreactors or ponds, harvesting equipment (centrifuge/filter press), and biomass handling systems. A pilot-scale (50-100L) continuous reactor alone can cost $50,000-$100,000.</w:t>
      </w:r>
    </w:p>
    <w:p>
      <w:pPr>
        <w:pStyle w:val="Compact"/>
        <w:numPr>
          <w:ilvl w:val="0"/>
          <w:numId w:val="1013"/>
        </w:numPr>
      </w:pPr>
      <w:r>
        <w:rPr>
          <w:b/>
          <w:bCs/>
        </w:rPr>
        <w:t xml:space="preserve">Operating Cost:</w:t>
      </w:r>
      <w:r>
        <w:t xml:space="preserve"> </w:t>
      </w:r>
      <w:r>
        <w:t xml:space="preserve">Varies widely. Biomass production is a key cost driver, with estimates ranging from $43 to over $1,100 per ton. Energy for mixing/pumping and harvesting is also significant. Estimated OpEx: Potentially $5 - $25 per m³ if low-cost biomass is available.</w:t>
      </w:r>
    </w:p>
    <w:p>
      <w:pPr>
        <w:pStyle w:val="Compact"/>
        <w:numPr>
          <w:ilvl w:val="0"/>
          <w:numId w:val="1013"/>
        </w:numPr>
      </w:pPr>
      <w:r>
        <w:rPr>
          <w:b/>
          <w:bCs/>
        </w:rPr>
        <w:t xml:space="preserve">Performance:</w:t>
      </w:r>
      <w:r>
        <w:t xml:space="preserve"> </w:t>
      </w:r>
      <w:r>
        <w:t xml:space="preserve">Highly unlikely to be effective as a standalone process. The extremely high iron (5,000 mg/L) and low pH (2.0) would likely be toxic to most species and cause severe competitive inhibition, preventing the removal of other target metals. Boron removal by microalgae is generally low, especially in competitive environments.</w:t>
      </w:r>
    </w:p>
    <w:p>
      <w:pPr>
        <w:pStyle w:val="Compact"/>
        <w:numPr>
          <w:ilvl w:val="0"/>
          <w:numId w:val="1013"/>
        </w:numPr>
      </w:pPr>
      <w:r>
        <w:rPr>
          <w:b/>
          <w:bCs/>
        </w:rPr>
        <w:t xml:space="preserve">Limitations:</w:t>
      </w:r>
      <w:r>
        <w:t xml:space="preserve"> </w:t>
      </w:r>
      <w:r>
        <w:t xml:space="preserve">Not robust for this high-strength, complex waste stream. Performance is highly sensitive to pH, metal toxicity, and competition. The resulting metal-laden biomass would be classified as hazardous waste, incurring high disposal costs.</w:t>
      </w:r>
    </w:p>
    <w:bookmarkEnd w:id="37"/>
    <w:bookmarkStart w:id="38" w:name="X26e3ed87057990bbcb459568b26ef4c2aec318a"/>
    <w:p>
      <w:pPr>
        <w:pStyle w:val="Heading3"/>
      </w:pPr>
      <w:r>
        <w:t xml:space="preserve">3.5 Technology 4: Hybrid Precipitation + Microalgae Polishing</w:t>
      </w:r>
    </w:p>
    <w:p>
      <w:pPr>
        <w:pStyle w:val="FirstParagraph"/>
      </w:pPr>
      <w:r>
        <w:t xml:space="preserve">This is the most plausible scenario involving a biological component. Bulk iron (&gt;99%) is first removed via chemical precipitation by raising the pH to ~3.5-4.0. The decanted, iron-depleted supernatant is then treated with microalgae biomass to remove (polish) remaining Co, Ni, Cu, and potentially some REEs.</w:t>
      </w:r>
    </w:p>
    <w:p>
      <w:pPr>
        <w:pStyle w:val="Compact"/>
        <w:numPr>
          <w:ilvl w:val="0"/>
          <w:numId w:val="1014"/>
        </w:numPr>
      </w:pPr>
      <w:r>
        <w:rPr>
          <w:b/>
          <w:bCs/>
        </w:rPr>
        <w:t xml:space="preserve">Capital Cost:</w:t>
      </w:r>
      <w:r>
        <w:t xml:space="preserve"> </w:t>
      </w:r>
      <w:r>
        <w:t xml:space="preserve">Moderate to high. Combines a simplified precipitation system (targeting only iron) with a smaller-scale biosorption system. Estimated total CAPEX: $100,000 - $250,000.</w:t>
      </w:r>
    </w:p>
    <w:p>
      <w:pPr>
        <w:pStyle w:val="Compact"/>
        <w:numPr>
          <w:ilvl w:val="0"/>
          <w:numId w:val="1014"/>
        </w:numPr>
      </w:pPr>
      <w:r>
        <w:rPr>
          <w:b/>
          <w:bCs/>
        </w:rPr>
        <w:t xml:space="preserve">Operating Cost:</w:t>
      </w:r>
      <w:r>
        <w:t xml:space="preserve"> </w:t>
      </w:r>
      <w:r>
        <w:t xml:space="preserve">Moderate. Chemical costs are lower than full precipitation, as pH adjustment is less extreme. Biosorption OpEx is for polishing a lower-volume, less toxic stream. Estimated combined OpEx: $8 - $20 per m³.</w:t>
      </w:r>
    </w:p>
    <w:p>
      <w:pPr>
        <w:pStyle w:val="Compact"/>
        <w:numPr>
          <w:ilvl w:val="0"/>
          <w:numId w:val="1014"/>
        </w:numPr>
      </w:pPr>
      <w:r>
        <w:rPr>
          <w:b/>
          <w:bCs/>
        </w:rPr>
        <w:t xml:space="preserve">Performance:</w:t>
      </w:r>
      <w:r>
        <w:t xml:space="preserve"> </w:t>
      </w:r>
      <w:r>
        <w:t xml:space="preserve">Potentially high. The pre-treatment step removes the main interferent (Fe), allowing the microalgae to effectively target the remaining metals like Co and Ni, for which high removal efficiencies have been demonstrated. Boron removal would remain a challenge.</w:t>
      </w:r>
    </w:p>
    <w:p>
      <w:pPr>
        <w:pStyle w:val="Compact"/>
        <w:numPr>
          <w:ilvl w:val="0"/>
          <w:numId w:val="1014"/>
        </w:numPr>
      </w:pPr>
      <w:r>
        <w:rPr>
          <w:b/>
          <w:bCs/>
        </w:rPr>
        <w:t xml:space="preserve">Limitations:</w:t>
      </w:r>
      <w:r>
        <w:t xml:space="preserve"> </w:t>
      </w:r>
      <w:r>
        <w:t xml:space="preserve">Still generates two waste streams: a large volume of iron sludge and a smaller volume of metal-laden biomass. The process is more complex than precipitation alone. Boron compliance would likely require an additional dedicated unit (e.g., boron-selective IX resin).</w:t>
      </w:r>
    </w:p>
    <w:bookmarkEnd w:id="38"/>
    <w:bookmarkStart w:id="39" w:name="X7dd31d740ab6f3126fcdc9e4f978370deba6526"/>
    <w:p>
      <w:pPr>
        <w:pStyle w:val="Heading3"/>
      </w:pPr>
      <w:r>
        <w:t xml:space="preserve">3.6 Comparative Cost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Technology</w:t>
            </w:r>
          </w:p>
        </w:tc>
        <w:tc>
          <w:tcPr/>
          <w:p>
            <w:pPr>
              <w:pStyle w:val="Compact"/>
            </w:pPr>
            <w:r>
              <w:t xml:space="preserve">Capital Cost (Est.)</w:t>
            </w:r>
          </w:p>
        </w:tc>
        <w:tc>
          <w:tcPr/>
          <w:p>
            <w:pPr>
              <w:pStyle w:val="Compact"/>
            </w:pPr>
            <w:r>
              <w:t xml:space="preserve">OpEx (Est. $/m³)</w:t>
            </w:r>
          </w:p>
        </w:tc>
        <w:tc>
          <w:tcPr/>
          <w:p>
            <w:pPr>
              <w:pStyle w:val="Compact"/>
            </w:pPr>
            <w:r>
              <w:t xml:space="preserve">Sludge Generation</w:t>
            </w:r>
          </w:p>
        </w:tc>
        <w:tc>
          <w:tcPr/>
          <w:p>
            <w:pPr>
              <w:pStyle w:val="Compact"/>
            </w:pPr>
            <w:r>
              <w:t xml:space="preserve">Total Cost/m³ (Est.)</w:t>
            </w:r>
          </w:p>
        </w:tc>
        <w:tc>
          <w:tcPr/>
          <w:p>
            <w:pPr>
              <w:pStyle w:val="Compact"/>
            </w:pPr>
            <w:r>
              <w:t xml:space="preserve">Key Metals Compliant?</w:t>
            </w:r>
          </w:p>
        </w:tc>
      </w:tr>
      <w:tr>
        <w:tc>
          <w:tcPr/>
          <w:p>
            <w:pPr>
              <w:pStyle w:val="Compact"/>
            </w:pPr>
            <w:r>
              <w:t xml:space="preserve">1. Chemical Precipitation</w:t>
            </w:r>
          </w:p>
        </w:tc>
        <w:tc>
          <w:tcPr/>
          <w:p>
            <w:pPr>
              <w:pStyle w:val="Compact"/>
            </w:pPr>
            <w:r>
              <w:t xml:space="preserve">Low-Moderate</w:t>
            </w:r>
          </w:p>
        </w:tc>
        <w:tc>
          <w:tcPr/>
          <w:p>
            <w:pPr>
              <w:pStyle w:val="Compact"/>
            </w:pPr>
            <w:r>
              <w:t xml:space="preserve">$5 - $15</w:t>
            </w:r>
          </w:p>
        </w:tc>
        <w:tc>
          <w:tcPr/>
          <w:p>
            <w:pPr>
              <w:pStyle w:val="Compact"/>
            </w:pPr>
            <w:r>
              <w:t xml:space="preserve">High (Hazardous Sludge)</w:t>
            </w:r>
          </w:p>
        </w:tc>
        <w:tc>
          <w:tcPr/>
          <w:p>
            <w:pPr>
              <w:pStyle w:val="Compact"/>
            </w:pPr>
            <w:r>
              <w:t xml:space="preserve">$10 - $25</w:t>
            </w:r>
          </w:p>
        </w:tc>
        <w:tc>
          <w:tcPr/>
          <w:p>
            <w:pPr>
              <w:pStyle w:val="Compact"/>
            </w:pPr>
            <w:r>
              <w:rPr>
                <w:b/>
                <w:bCs/>
              </w:rPr>
              <w:t xml:space="preserve">Yes:</w:t>
            </w:r>
            <w:r>
              <w:t xml:space="preserve"> </w:t>
            </w:r>
            <w:r>
              <w:t xml:space="preserve">Fe, Co, Cu, Ni.</w:t>
            </w:r>
            <w:r>
              <w:t xml:space="preserve"> </w:t>
            </w:r>
            <w:r>
              <w:rPr>
                <w:b/>
                <w:bCs/>
              </w:rPr>
              <w:t xml:space="preserve">No:</w:t>
            </w:r>
            <w:r>
              <w:t xml:space="preserve"> </w:t>
            </w:r>
            <w:r>
              <w:t xml:space="preserve">B, REEs.</w:t>
            </w:r>
          </w:p>
        </w:tc>
      </w:tr>
      <w:tr>
        <w:tc>
          <w:tcPr/>
          <w:p>
            <w:pPr>
              <w:pStyle w:val="Compact"/>
            </w:pPr>
            <w:r>
              <w:t xml:space="preserve">2. Precipitation + Ion Exchange</w:t>
            </w:r>
          </w:p>
        </w:tc>
        <w:tc>
          <w:tcPr/>
          <w:p>
            <w:pPr>
              <w:pStyle w:val="Compact"/>
            </w:pPr>
            <w:r>
              <w:t xml:space="preserve">High</w:t>
            </w:r>
          </w:p>
        </w:tc>
        <w:tc>
          <w:tcPr/>
          <w:p>
            <w:pPr>
              <w:pStyle w:val="Compact"/>
            </w:pPr>
            <w:r>
              <w:t xml:space="preserve">$15 - $40</w:t>
            </w:r>
          </w:p>
        </w:tc>
        <w:tc>
          <w:tcPr/>
          <w:p>
            <w:pPr>
              <w:pStyle w:val="Compact"/>
            </w:pPr>
            <w:r>
              <w:t xml:space="preserve">High (Sludge + Brine)</w:t>
            </w:r>
          </w:p>
        </w:tc>
        <w:tc>
          <w:tcPr/>
          <w:p>
            <w:pPr>
              <w:pStyle w:val="Compact"/>
            </w:pPr>
            <w:r>
              <w:t xml:space="preserve">$25 - $50</w:t>
            </w:r>
          </w:p>
        </w:tc>
        <w:tc>
          <w:tcPr/>
          <w:p>
            <w:pPr>
              <w:pStyle w:val="Compact"/>
            </w:pPr>
            <w:r>
              <w:rPr>
                <w:b/>
                <w:bCs/>
              </w:rPr>
              <w:t xml:space="preserve">Yes:</w:t>
            </w:r>
            <w:r>
              <w:t xml:space="preserve"> </w:t>
            </w:r>
            <w:r>
              <w:t xml:space="preserve">All target metals, including Boron.</w:t>
            </w:r>
          </w:p>
        </w:tc>
      </w:tr>
      <w:tr>
        <w:tc>
          <w:tcPr/>
          <w:p>
            <w:pPr>
              <w:pStyle w:val="Compact"/>
            </w:pPr>
            <w:r>
              <w:t xml:space="preserve">3. Microalgae Biosorption (Standalone)</w:t>
            </w:r>
          </w:p>
        </w:tc>
        <w:tc>
          <w:tcPr/>
          <w:p>
            <w:pPr>
              <w:pStyle w:val="Compact"/>
            </w:pPr>
            <w:r>
              <w:t xml:space="preserve">Moderate</w:t>
            </w:r>
          </w:p>
        </w:tc>
        <w:tc>
          <w:tcPr/>
          <w:p>
            <w:pPr>
              <w:pStyle w:val="Compact"/>
            </w:pPr>
            <w:r>
              <w:t xml:space="preserve">$5 - $25+</w:t>
            </w:r>
          </w:p>
        </w:tc>
        <w:tc>
          <w:tcPr/>
          <w:p>
            <w:pPr>
              <w:pStyle w:val="Compact"/>
            </w:pPr>
            <w:r>
              <w:t xml:space="preserve">Moderate (Hazardous Biomass)</w:t>
            </w:r>
          </w:p>
        </w:tc>
        <w:tc>
          <w:tcPr/>
          <w:p>
            <w:pPr>
              <w:pStyle w:val="Compact"/>
            </w:pPr>
            <w:r>
              <w:t xml:space="preserve">$15 - $40+</w:t>
            </w:r>
          </w:p>
        </w:tc>
        <w:tc>
          <w:tcPr/>
          <w:p>
            <w:pPr>
              <w:pStyle w:val="Compact"/>
            </w:pPr>
            <w:r>
              <w:rPr>
                <w:b/>
                <w:bCs/>
              </w:rPr>
              <w:t xml:space="preserve">No:</w:t>
            </w:r>
            <w:r>
              <w:t xml:space="preserve"> </w:t>
            </w:r>
            <w:r>
              <w:t xml:space="preserve">Infeasible due to toxicity and competition.</w:t>
            </w:r>
          </w:p>
        </w:tc>
      </w:tr>
      <w:tr>
        <w:tc>
          <w:tcPr/>
          <w:p>
            <w:pPr>
              <w:pStyle w:val="Compact"/>
            </w:pPr>
            <w:r>
              <w:t xml:space="preserve">4. Hybrid (Precipitation + Microalgae)</w:t>
            </w:r>
          </w:p>
        </w:tc>
        <w:tc>
          <w:tcPr/>
          <w:p>
            <w:pPr>
              <w:pStyle w:val="Compact"/>
            </w:pPr>
            <w:r>
              <w:t xml:space="preserve">Moderate-High</w:t>
            </w:r>
          </w:p>
        </w:tc>
        <w:tc>
          <w:tcPr/>
          <w:p>
            <w:pPr>
              <w:pStyle w:val="Compact"/>
            </w:pPr>
            <w:r>
              <w:t xml:space="preserve">$8 - $20</w:t>
            </w:r>
          </w:p>
        </w:tc>
        <w:tc>
          <w:tcPr/>
          <w:p>
            <w:pPr>
              <w:pStyle w:val="Compact"/>
            </w:pPr>
            <w:r>
              <w:t xml:space="preserve">High (Sludge + Biomass)</w:t>
            </w:r>
          </w:p>
        </w:tc>
        <w:tc>
          <w:tcPr/>
          <w:p>
            <w:pPr>
              <w:pStyle w:val="Compact"/>
            </w:pPr>
            <w:r>
              <w:t xml:space="preserve">$15 - $35</w:t>
            </w:r>
          </w:p>
        </w:tc>
        <w:tc>
          <w:tcPr/>
          <w:p>
            <w:pPr>
              <w:pStyle w:val="Compact"/>
            </w:pPr>
            <w:r>
              <w:rPr>
                <w:b/>
                <w:bCs/>
              </w:rPr>
              <w:t xml:space="preserve">Yes:</w:t>
            </w:r>
            <w:r>
              <w:t xml:space="preserve"> </w:t>
            </w:r>
            <w:r>
              <w:t xml:space="preserve">Fe, Co, Cu, Ni.</w:t>
            </w:r>
            <w:r>
              <w:t xml:space="preserve"> </w:t>
            </w:r>
            <w:r>
              <w:rPr>
                <w:b/>
                <w:bCs/>
              </w:rPr>
              <w:t xml:space="preserve">Partial:</w:t>
            </w:r>
            <w:r>
              <w:t xml:space="preserve"> </w:t>
            </w:r>
            <w:r>
              <w:t xml:space="preserve">REEs.</w:t>
            </w:r>
            <w:r>
              <w:t xml:space="preserve"> </w:t>
            </w:r>
            <w:r>
              <w:rPr>
                <w:b/>
                <w:bCs/>
              </w:rPr>
              <w:t xml:space="preserve">No:</w:t>
            </w:r>
            <w:r>
              <w:t xml:space="preserve"> </w:t>
            </w:r>
            <w:r>
              <w:t xml:space="preserve">B.</w:t>
            </w:r>
          </w:p>
        </w:tc>
      </w:tr>
    </w:tbl>
    <w:bookmarkEnd w:id="39"/>
    <w:bookmarkStart w:id="40" w:name="Xb6b2c0012b46b9d7c437e1e4b2d862be9304673"/>
    <w:p>
      <w:pPr>
        <w:pStyle w:val="Heading3"/>
      </w:pPr>
      <w:r>
        <w:t xml:space="preserve">3.7 Cost-Effectiveness Ratio</w:t>
      </w:r>
    </w:p>
    <w:p>
      <w:pPr>
        <w:pStyle w:val="FirstParagraph"/>
      </w:pPr>
      <w:r>
        <w:t xml:space="preserve">To compare these technologies beyond total cost, a cost-effectiveness ratio can be calculated. This would involve dividing the total annualized cost of each system by the total mass of contaminants removed (e.g., $/kg of metal removed) or by the number of parameters brought into compliance. A lower ratio indicates higher efficiency. For this scenario, Technology 2 (Precip + IX) would likely have the highest total cost but also the best performance, while Technology 4 (Hybrid) may offer the most balanced cost-effectiveness if boron compliance is not strictly required or is handled separately.</w:t>
      </w:r>
    </w:p>
    <w:bookmarkEnd w:id="40"/>
    <w:bookmarkStart w:id="41" w:name="X5d3cf965fa5dd8ae9a6218c823d785be72cdc17"/>
    <w:p>
      <w:pPr>
        <w:pStyle w:val="Heading3"/>
      </w:pPr>
      <w:r>
        <w:t xml:space="preserve">3.8 Non-Cost Factors</w:t>
      </w:r>
    </w:p>
    <w:p>
      <w:pPr>
        <w:pStyle w:val="FirstParagraph"/>
      </w:pPr>
      <w:r>
        <w:t xml:space="preserve">Beyond direct costs, other factors influence technology selection:</w:t>
      </w:r>
    </w:p>
    <w:p>
      <w:pPr>
        <w:pStyle w:val="Compact"/>
        <w:numPr>
          <w:ilvl w:val="0"/>
          <w:numId w:val="1015"/>
        </w:numPr>
      </w:pPr>
      <w:r>
        <w:rPr>
          <w:b/>
          <w:bCs/>
        </w:rPr>
        <w:t xml:space="preserve">Footprint:</w:t>
      </w:r>
      <w:r>
        <w:t xml:space="preserve"> </w:t>
      </w:r>
      <w:r>
        <w:t xml:space="preserve">Precipitation and biosorption systems (especially ponds) require significant space, whereas IX systems are more compact.</w:t>
      </w:r>
    </w:p>
    <w:p>
      <w:pPr>
        <w:pStyle w:val="Compact"/>
        <w:numPr>
          <w:ilvl w:val="0"/>
          <w:numId w:val="1015"/>
        </w:numPr>
      </w:pPr>
      <w:r>
        <w:rPr>
          <w:b/>
          <w:bCs/>
        </w:rPr>
        <w:t xml:space="preserve">Operational Complexity:</w:t>
      </w:r>
      <w:r>
        <w:t xml:space="preserve"> </w:t>
      </w:r>
      <w:r>
        <w:t xml:space="preserve">The hybrid and IX systems require more skilled operators than a simple precipitation plant.</w:t>
      </w:r>
    </w:p>
    <w:p>
      <w:pPr>
        <w:pStyle w:val="Compact"/>
        <w:numPr>
          <w:ilvl w:val="0"/>
          <w:numId w:val="1015"/>
        </w:numPr>
      </w:pPr>
      <w:r>
        <w:rPr>
          <w:b/>
          <w:bCs/>
        </w:rPr>
        <w:t xml:space="preserve">Sludge Toxicity:</w:t>
      </w:r>
      <w:r>
        <w:t xml:space="preserve"> </w:t>
      </w:r>
      <w:r>
        <w:t xml:space="preserve">Sulfide precipitates are generally less leachable and more stable than hydroxide precipitates, but generate H₂S gas risks. Metal-laden biomass would need to pass TCLP testing to determine its disposal classification.</w:t>
      </w:r>
    </w:p>
    <w:p>
      <w:pPr>
        <w:pStyle w:val="Compact"/>
        <w:numPr>
          <w:ilvl w:val="0"/>
          <w:numId w:val="1015"/>
        </w:numPr>
      </w:pPr>
      <w:r>
        <w:rPr>
          <w:b/>
          <w:bCs/>
        </w:rPr>
        <w:t xml:space="preserve">Energy Consumption:</w:t>
      </w:r>
      <w:r>
        <w:t xml:space="preserve"> </w:t>
      </w:r>
      <w:r>
        <w:t xml:space="preserve">Pumping and aeration for biological systems and high-pressure pumps for RO are major energy consumers.</w:t>
      </w:r>
    </w:p>
    <w:p>
      <w:pPr>
        <w:pStyle w:val="Compact"/>
        <w:numPr>
          <w:ilvl w:val="0"/>
          <w:numId w:val="1015"/>
        </w:numPr>
      </w:pPr>
      <w:r>
        <w:rPr>
          <w:b/>
          <w:bCs/>
        </w:rPr>
        <w:t xml:space="preserve">Robustness:</w:t>
      </w:r>
      <w:r>
        <w:t xml:space="preserve"> </w:t>
      </w:r>
      <w:r>
        <w:t xml:space="preserve">Chemical precipitation is highly robust and tolerant of fluctuations in influent quality, while biological systems can be more sensitive to shock loads and toxicity.</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2026-02-12T16:13:05Z</dcterms:created>
  <dcterms:modified xsi:type="dcterms:W3CDTF">2026-02-12T16:13:05Z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