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arget-funding-agencies-and-programs"/>
    <w:p>
      <w:pPr>
        <w:pStyle w:val="Heading2"/>
      </w:pPr>
      <w:r>
        <w:t xml:space="preserve">Target Funding Agencies and Programs</w:t>
      </w:r>
    </w:p>
    <w:p>
      <w:pPr>
        <w:pStyle w:val="FirstParagraph"/>
      </w:pPr>
      <w:r>
        <w:t xml:space="preserve">Primary and secondary funding opportunities relevant to this research program, which integrates environmental engineering, critical mineral sustainability, and innovative wastewater treatment, have been identified from U.S. federal agencies.</w:t>
      </w:r>
    </w:p>
    <w:p>
      <w:pPr>
        <w:pStyle w:val="BodyText"/>
      </w:pPr>
      <w:r>
        <w:rPr>
          <w:b/>
          <w:bCs/>
        </w:rPr>
        <w:t xml:space="preserve">Primary Targets:</w:t>
      </w:r>
    </w:p>
    <w:p>
      <w:pPr>
        <w:pStyle w:val="Compact"/>
        <w:numPr>
          <w:ilvl w:val="0"/>
          <w:numId w:val="1001"/>
        </w:numPr>
      </w:pPr>
      <w:r>
        <w:rPr>
          <w:b/>
          <w:bCs/>
        </w:rPr>
        <w:t xml:space="preserve">National Science Foundation (NSF) - Environmental Engineering (ENG/CBET):</w:t>
      </w:r>
      <w:r>
        <w:t xml:space="preserve"> </w:t>
      </w:r>
      <w:r>
        <w:t xml:space="preserve">This core program supports fundamental research in wastewater treatment, biosorption, and resource recovery. Unsolicited proposals are accepted anytime under program code PD 20-1440, with awards typically lasting up to three years. The program emphasizes novelty and transformative potential, making it an excellent fit for the proposed research's innovative approach. Larger, interdisciplinary proposals may also align with the ECO-CBET program, which funds 4-year projects from $1,500,000 to $1,700,000.</w:t>
      </w:r>
    </w:p>
    <w:p>
      <w:pPr>
        <w:pStyle w:val="Compact"/>
        <w:numPr>
          <w:ilvl w:val="0"/>
          <w:numId w:val="1001"/>
        </w:numPr>
      </w:pPr>
      <w:r>
        <w:rPr>
          <w:b/>
          <w:bCs/>
        </w:rPr>
        <w:t xml:space="preserve">Department of Energy (DOE) - FECM &amp; EERE:</w:t>
      </w:r>
      <w:r>
        <w:t xml:space="preserve"> </w:t>
      </w:r>
      <w:r>
        <w:t xml:space="preserve">The DOE has multiple funding announcements directly targeting critical minerals and rare earth elements (REEs).</w:t>
      </w:r>
    </w:p>
    <w:p>
      <w:pPr>
        <w:pStyle w:val="Compact"/>
        <w:numPr>
          <w:ilvl w:val="1"/>
          <w:numId w:val="1002"/>
        </w:numPr>
      </w:pPr>
      <w:r>
        <w:rPr>
          <w:b/>
          <w:bCs/>
        </w:rPr>
        <w:t xml:space="preserve">DE-FOA-0002956 (Advancing Technology Development for Securing a Domestic Supply of Critical Minerals and Materials):</w:t>
      </w:r>
      <w:r>
        <w:t xml:space="preserve"> </w:t>
      </w:r>
      <w:r>
        <w:t xml:space="preserve">Managed by the Office of Fossil Energy and Carbon Management (FECM), this $19.5M program offers awards from $500,000 to $2.5 million for projects recovering REEs from unconventional resources, including produced water and recycled materials. The program requires a 20% cost share, with a full application deadline of November 26, 2024.</w:t>
      </w:r>
    </w:p>
    <w:p>
      <w:pPr>
        <w:pStyle w:val="Compact"/>
        <w:numPr>
          <w:ilvl w:val="1"/>
          <w:numId w:val="1002"/>
        </w:numPr>
      </w:pPr>
      <w:r>
        <w:rPr>
          <w:b/>
          <w:bCs/>
        </w:rPr>
        <w:t xml:space="preserve">ARPA-E RECOVER Program:</w:t>
      </w:r>
      <w:r>
        <w:t xml:space="preserve"> </w:t>
      </w:r>
      <w:r>
        <w:t xml:space="preserve">This program is specifically designed to fund technologies that extract critical minerals from industrial wastewater, making it a perfect thematic fit. While selections for the initial $40 million round are pending, future rounds are anticipated.</w:t>
      </w:r>
    </w:p>
    <w:p>
      <w:pPr>
        <w:pStyle w:val="Compact"/>
        <w:numPr>
          <w:ilvl w:val="0"/>
          <w:numId w:val="1002"/>
        </w:numPr>
      </w:pPr>
      <w:r>
        <w:rPr>
          <w:b/>
          <w:bCs/>
        </w:rPr>
        <w:t xml:space="preserve">Environmental Protection Agency (EPA) - Science to Achieve Results (STAR) Program:</w:t>
      </w:r>
      <w:r>
        <w:t xml:space="preserve"> </w:t>
      </w:r>
      <w:r>
        <w:t xml:space="preserve">The EPA's STAR program periodically issues Requests for Applications (RFAs) for innovative water treatment technologies. While current open opportunities are focused on nanosensors for PFAS, the program has a history of funding projects related to wastewater treatment and critical mineral recovery, making it a key agency to monitor for future relevant solicitations.</w:t>
      </w:r>
    </w:p>
    <w:bookmarkEnd w:id="20"/>
    <w:bookmarkStart w:id="21" w:name="project-abstract-250-words"/>
    <w:p>
      <w:pPr>
        <w:pStyle w:val="Heading2"/>
      </w:pPr>
      <w:r>
        <w:t xml:space="preserve">Project Abstract (250 words)</w:t>
      </w:r>
    </w:p>
    <w:p>
      <w:pPr>
        <w:pStyle w:val="FirstParagraph"/>
      </w:pPr>
      <w:r>
        <w:t xml:space="preserve">The domestic production of high-strength NdFeB permanent magnets, essential for defense and clean energy technologies, generates a complex and hazardous wastewater stream. This leachate contains not only valuable rare earth elements (REEs) but also high concentrations of iron, boron, cobalt, nickel, and residual process chemicals that are difficult to treat and must meet stringent regulatory discharge limits. Current conventional treatment, primarily chemical precipitation, is inefficient for co-contaminants like boron, generates large volumes of toxic sludge, and represents a missed opportunity for sustainable resource management. There is a critical gap in validated, cost-effective biological treatment methods for this specific, multi-contaminant industrial effluent. This proposal hypothesizes that an optimized microalgae-based biosorption process can achieve simultaneous regulatory compliance for all regulated metals and contaminants in NdFeB leachate. To test this, we will execute a 24-month, four-phase research program: (1) comprehensive chemical characterization of real industrial NdFeB waste streams; (2) high-throughput screening of six promising microalgae species and key process parameters using a Definitive Screening Design; (3) refinement of optimal conditions using Response Surface Methodology to maximize multi-contaminant compliance; and (4) validation of the optimized protocol in a 100-L continuous-flow pilot reactor using real industrial wastewater. This work is significant as it provides a green chemistry alternative that addresses a critical mineral supply chain vulnerability, reduces hazardous waste generation, and supports a circular economy. Expected outcomes include a compliance feasibility matrix, a validated pilot-scale treatment protocol, and a technology readiness assessment for industrial adoption.</w:t>
      </w:r>
    </w:p>
    <w:bookmarkEnd w:id="21"/>
    <w:bookmarkStart w:id="28" w:name="specific-aims-page"/>
    <w:p>
      <w:pPr>
        <w:pStyle w:val="Heading2"/>
      </w:pPr>
      <w:r>
        <w:t xml:space="preserve">Specific Aims Page</w:t>
      </w:r>
    </w:p>
    <w:bookmarkStart w:id="22" w:name="overall-goal"/>
    <w:p>
      <w:pPr>
        <w:pStyle w:val="Heading3"/>
      </w:pPr>
      <w:r>
        <w:t xml:space="preserve">Overall Goal</w:t>
      </w:r>
    </w:p>
    <w:p>
      <w:pPr>
        <w:pStyle w:val="FirstParagraph"/>
      </w:pPr>
      <w:r>
        <w:t xml:space="preserve">The overall goal of this project is to develop and validate a robust, microalgae-based biosorption process capable of treating complex NdFeB permanent magnet manufacturing wastewater to meet stringent U.S. and EU regulatory discharge limits.</w:t>
      </w:r>
    </w:p>
    <w:bookmarkEnd w:id="22"/>
    <w:bookmarkStart w:id="23" w:name="background-and-rationale"/>
    <w:p>
      <w:pPr>
        <w:pStyle w:val="Heading3"/>
      </w:pPr>
      <w:r>
        <w:t xml:space="preserve">Background and Rationale</w:t>
      </w:r>
    </w:p>
    <w:p>
      <w:pPr>
        <w:pStyle w:val="FirstParagraph"/>
      </w:pPr>
      <w:r>
        <w:t xml:space="preserve">The global production of NdFeB magnets, crucial for modern electronics, electric vehicles, and wind turbines, is projected to exceed 200,000 tonnes annually. The manufacturing process generates multi-component waste streams containing not only target REEs (Nd, Dy, Pr) but also high concentrations of iron (often &gt;5,000 mg/L), boron (&gt;500 mg/L), cobalt, nickel, and organic process chemicals. Discharging this effluent requires treatment to meet strict regulatory frameworks like the US EPA NPDES permits (40 CFR 433) and EU BAT-AELs, which set limits for metals such as nickel (&lt;2.38 mg/L), copper (&lt;2.07 mg/L), and chromium (&lt;1.71 mg/L). Conventional chemical precipitation is widely used but is often ineffective for persistent contaminants like boron, generates large volumes of hazardous sludge, and represents a significant operational cost.</w:t>
      </w:r>
    </w:p>
    <w:p>
      <w:pPr>
        <w:pStyle w:val="BodyText"/>
      </w:pPr>
      <w:r>
        <w:t xml:space="preserve">Microalgae-based biosorption offers a promising, cost-effective alternative. The literature demonstrates that various microalgae species, including</w:t>
      </w:r>
      <w:r>
        <w:t xml:space="preserve"> </w:t>
      </w:r>
      <w:r>
        <w:rPr>
          <w:i/>
          <w:iCs/>
        </w:rPr>
        <w:t xml:space="preserve">Chlorella vulgaris</w:t>
      </w:r>
      <w:r>
        <w:t xml:space="preserve"> </w:t>
      </w:r>
      <w:r>
        <w:t xml:space="preserve">and</w:t>
      </w:r>
      <w:r>
        <w:t xml:space="preserve"> </w:t>
      </w:r>
      <w:r>
        <w:rPr>
          <w:i/>
          <w:iCs/>
        </w:rPr>
        <w:t xml:space="preserve">Nostoc sp.</w:t>
      </w:r>
      <w:r>
        <w:t xml:space="preserve">, can achieve high removal capacities for individual REEs, with some studies reporting uptake capacities exceeding 150 mg/g for neodymium. However, a critical knowledge gap exists: no systematic study has evaluated the performance of microalgae against the complete, complex chemical matrix of real NdFeB manufacturing leachate, which includes the combined inhibitory and competitive effects of extreme iron concentrations, high boron levels, and organic co-contaminants (coolants, chelators). This project directly addresses this gap by moving beyond single-metal synthetic solutions to test biosorption as a viable compliance technology for real-world industrial effluent. This work is directly aligned with national priorities to secure critical mineral supply chains, as outlined in initiatives by the DOE's Critical Minerals Institute (CMI).</w:t>
      </w:r>
    </w:p>
    <w:bookmarkEnd w:id="23"/>
    <w:bookmarkStart w:id="24" w:name="X0612169c823c684ef6487d18bf3a915ac97d9f1"/>
    <w:p>
      <w:pPr>
        <w:pStyle w:val="Heading3"/>
      </w:pPr>
      <w:r>
        <w:t xml:space="preserve">Specific Aim 1: Characterize NdFeB Manufacturing Waste Streams and Establish Regulatory Compliance Targets</w:t>
      </w:r>
    </w:p>
    <w:p>
      <w:pPr>
        <w:pStyle w:val="FirstParagraph"/>
      </w:pPr>
      <w:r>
        <w:rPr>
          <w:b/>
          <w:bCs/>
        </w:rPr>
        <w:t xml:space="preserve">Hypothesis:</w:t>
      </w:r>
      <w:r>
        <w:t xml:space="preserve"> </w:t>
      </w:r>
      <w:r>
        <w:t xml:space="preserve">A detailed chemical analysis of real NdFeB grinding, polishing, and cleaning waste streams will reveal a complex mixture of metals and organic compounds, with iron, boron, and COD being key parameters that exceed typical discharge limits.</w:t>
      </w:r>
      <w:r>
        <w:t xml:space="preserve"> </w:t>
      </w:r>
      <w:r>
        <w:rPr>
          <w:b/>
          <w:bCs/>
        </w:rPr>
        <w:t xml:space="preserve">Approach:</w:t>
      </w:r>
      <w:r>
        <w:t xml:space="preserve"> </w:t>
      </w:r>
      <w:r>
        <w:t xml:space="preserve">We will procure authentic wastewater samples from grinding, polishing, and coolant/cleaning operations from an industrial partner. Each stream will be comprehensively analyzed using ICP-MS/OES for a full suite of metals (Fe, B, Co, Cu, Ni, Al, Nd, Dy, Pr, Sm), ion chromatography, and standard methods for COD, TOC, oil and grease, and surfactants. We will compile a target compliance matrix based on the most stringent limits from EU BAT-AEL (NFM and STM BREFs) and US EPA 40 CFR 433 frameworks.</w:t>
      </w:r>
      <w:r>
        <w:t xml:space="preserve"> </w:t>
      </w:r>
      <w:r>
        <w:rPr>
          <w:b/>
          <w:bCs/>
        </w:rPr>
        <w:t xml:space="preserve">Expected Outcome:</w:t>
      </w:r>
      <w:r>
        <w:t xml:space="preserve"> </w:t>
      </w:r>
      <w:r>
        <w:t xml:space="preserve">A detailed report characterizing multiple real-world NdFeB waste streams and a definitive set of quantitative treatment targets (mg/L) for all regulated parameters.</w:t>
      </w:r>
      <w:r>
        <w:t xml:space="preserve"> </w:t>
      </w:r>
      <w:r>
        <w:rPr>
          <w:b/>
          <w:bCs/>
        </w:rPr>
        <w:t xml:space="preserve">Timeline:</w:t>
      </w:r>
      <w:r>
        <w:t xml:space="preserve"> </w:t>
      </w:r>
      <w:r>
        <w:t xml:space="preserve">Months 1-4.</w:t>
      </w:r>
    </w:p>
    <w:bookmarkEnd w:id="24"/>
    <w:bookmarkStart w:id="25" w:name="X6ea9c9f9867b6431a0d8e3168dbe2bb2ded4cc6"/>
    <w:p>
      <w:pPr>
        <w:pStyle w:val="Heading3"/>
      </w:pPr>
      <w:r>
        <w:t xml:space="preserve">Specific Aim 2: Screen Microalgae Species and Process Conditions Using Definitive Screening Design</w:t>
      </w:r>
    </w:p>
    <w:p>
      <w:pPr>
        <w:pStyle w:val="FirstParagraph"/>
      </w:pPr>
      <w:r>
        <w:rPr>
          <w:b/>
          <w:bCs/>
        </w:rPr>
        <w:t xml:space="preserve">Hypothesis:</w:t>
      </w:r>
      <w:r>
        <w:t xml:space="preserve"> </w:t>
      </w:r>
      <w:r>
        <w:t xml:space="preserve">A statistically designed screening experiment will efficiently identify the most robust microalgae species and the most influential process factors (e.g., pH, iron pre-removal) for achieving multi-metal removal from real leachate.</w:t>
      </w:r>
      <w:r>
        <w:t xml:space="preserve"> </w:t>
      </w:r>
      <w:r>
        <w:rPr>
          <w:b/>
          <w:bCs/>
        </w:rPr>
        <w:t xml:space="preserve">Approach:</w:t>
      </w:r>
      <w:r>
        <w:t xml:space="preserve"> </w:t>
      </w:r>
      <w:r>
        <w:t xml:space="preserve">We will conduct a 270-run Definitive Screening Design (DSD) to investigate 7 factors: (1) Algae Species (6 strains, including</w:t>
      </w:r>
      <w:r>
        <w:t xml:space="preserve"> </w:t>
      </w:r>
      <w:r>
        <w:rPr>
          <w:i/>
          <w:iCs/>
        </w:rPr>
        <w:t xml:space="preserve">Chlorella vulgaris</w:t>
      </w:r>
      <w:r>
        <w:t xml:space="preserve">,</w:t>
      </w:r>
      <w:r>
        <w:t xml:space="preserve"> </w:t>
      </w:r>
      <w:r>
        <w:rPr>
          <w:i/>
          <w:iCs/>
        </w:rPr>
        <w:t xml:space="preserve">Galdieria sulphuraria</w:t>
      </w:r>
      <w:r>
        <w:t xml:space="preserve">,</w:t>
      </w:r>
      <w:r>
        <w:t xml:space="preserve"> </w:t>
      </w:r>
      <w:r>
        <w:rPr>
          <w:i/>
          <w:iCs/>
        </w:rPr>
        <w:t xml:space="preserve">Desmodesmus sp.</w:t>
      </w:r>
      <w:r>
        <w:t xml:space="preserve">); (2) Biomass Form (living, dried, immobilized); (3) Leachate Dilution (10-100%); (4) pH (3-7); (5) Iron Pre-removal (yes/no); (6) Coolant Presence (0-5%); and (7) EDTA Presence (0-1.0 mM). The primary response variable will be the residual concentration (mg/L) of each regulated metal, measured against the compliance targets established in Aim 1.</w:t>
      </w:r>
      <w:r>
        <w:t xml:space="preserve"> </w:t>
      </w:r>
      <w:r>
        <w:rPr>
          <w:b/>
          <w:bCs/>
        </w:rPr>
        <w:t xml:space="preserve">Expected Outcome:</w:t>
      </w:r>
      <w:r>
        <w:t xml:space="preserve"> </w:t>
      </w:r>
      <w:r>
        <w:t xml:space="preserve">Identification of the top 1-2 most effective microalgae species/biomass forms and the 3-4 most statistically significant process variables driving regulatory compliance. This aim includes a critical go/no-go gate at Month 9.</w:t>
      </w:r>
      <w:r>
        <w:t xml:space="preserve"> </w:t>
      </w:r>
      <w:r>
        <w:rPr>
          <w:b/>
          <w:bCs/>
        </w:rPr>
        <w:t xml:space="preserve">Timeline:</w:t>
      </w:r>
      <w:r>
        <w:t xml:space="preserve"> </w:t>
      </w:r>
      <w:r>
        <w:t xml:space="preserve">Months 4-9.</w:t>
      </w:r>
    </w:p>
    <w:bookmarkEnd w:id="25"/>
    <w:bookmarkStart w:id="26" w:name="X39671d2dcfa42930335da047330726b2c678a06"/>
    <w:p>
      <w:pPr>
        <w:pStyle w:val="Heading3"/>
      </w:pPr>
      <w:r>
        <w:t xml:space="preserve">Specific Aim 3: Optimize Treatment Conditions via Response Surface Methodology for Multi-Metal Compliance</w:t>
      </w:r>
    </w:p>
    <w:p>
      <w:pPr>
        <w:pStyle w:val="FirstParagraph"/>
      </w:pPr>
      <w:r>
        <w:rPr>
          <w:b/>
          <w:bCs/>
        </w:rPr>
        <w:t xml:space="preserve">Hypothesis:</w:t>
      </w:r>
      <w:r>
        <w:t xml:space="preserve"> </w:t>
      </w:r>
      <w:r>
        <w:t xml:space="preserve">The significant factors identified in Aim 2 can be optimized using Response Surface Methodology (RSM) to define an operational window that maximizes simultaneous compliance for the entire suite of regulated contaminants.</w:t>
      </w:r>
      <w:r>
        <w:t xml:space="preserve"> </w:t>
      </w:r>
      <w:r>
        <w:rPr>
          <w:b/>
          <w:bCs/>
        </w:rPr>
        <w:t xml:space="preserve">Approach:</w:t>
      </w:r>
      <w:r>
        <w:t xml:space="preserve"> </w:t>
      </w:r>
      <w:r>
        <w:t xml:space="preserve">Using the top species and factors from Aim 2, we will execute a Box-Behnken Design (90-162 runs). The RSM will model the quadratic effects and interactions of key variables (e.g., pH, biomass dosage, contact time) on the residual concentrations of all target metals. We will use a multi-response desirability function to numerically optimize the process for achieving the lowest collective deviation from all regulatory discharge limits simultaneously.</w:t>
      </w:r>
      <w:r>
        <w:t xml:space="preserve"> </w:t>
      </w:r>
      <w:r>
        <w:rPr>
          <w:b/>
          <w:bCs/>
        </w:rPr>
        <w:t xml:space="preserve">Expected Outcome:</w:t>
      </w:r>
      <w:r>
        <w:t xml:space="preserve"> </w:t>
      </w:r>
      <w:r>
        <w:t xml:space="preserve">A validated statistical model and a set of optimized operating parameters (e.g., pH 5.5, 2.5 g/L biomass, 60 min contact time) that predict the maximum achievable compliance for the complete leachate matrix.</w:t>
      </w:r>
      <w:r>
        <w:t xml:space="preserve"> </w:t>
      </w:r>
      <w:r>
        <w:rPr>
          <w:b/>
          <w:bCs/>
        </w:rPr>
        <w:t xml:space="preserve">Timeline:</w:t>
      </w:r>
      <w:r>
        <w:t xml:space="preserve"> </w:t>
      </w:r>
      <w:r>
        <w:t xml:space="preserve">Months 9-15.</w:t>
      </w:r>
    </w:p>
    <w:bookmarkEnd w:id="26"/>
    <w:bookmarkStart w:id="27" w:name="Xfbbff00e374ff69fd263b4cad4ad217e5899ece"/>
    <w:p>
      <w:pPr>
        <w:pStyle w:val="Heading3"/>
      </w:pPr>
      <w:r>
        <w:t xml:space="preserve">Specific Aim 4: Validate at Pilot Scale with Real Wastewater and Assess Technology Readiness</w:t>
      </w:r>
    </w:p>
    <w:p>
      <w:pPr>
        <w:pStyle w:val="FirstParagraph"/>
      </w:pPr>
      <w:r>
        <w:rPr>
          <w:b/>
          <w:bCs/>
        </w:rPr>
        <w:t xml:space="preserve">Hypothesis:</w:t>
      </w:r>
      <w:r>
        <w:t xml:space="preserve"> </w:t>
      </w:r>
      <w:r>
        <w:t xml:space="preserve">The optimized biosorption process from Aim 3 will demonstrate sustained, effective treatment of real NdFeB wastewater under continuous-flow conditions in a pilot-scale reactor, achieving compliance for a majority of regulated metals.</w:t>
      </w:r>
      <w:r>
        <w:t xml:space="preserve"> </w:t>
      </w:r>
      <w:r>
        <w:rPr>
          <w:b/>
          <w:bCs/>
        </w:rPr>
        <w:t xml:space="preserve">Approach:</w:t>
      </w:r>
      <w:r>
        <w:t xml:space="preserve"> </w:t>
      </w:r>
      <w:r>
        <w:t xml:space="preserve">We will construct and operate a 100-L continuous-flow packed-bed or stirred-tank bioreactor. The reactor will be fed with real industrial leachate and operated for 30 consecutive days at the optimized conditions determined in Aim 3. Daily influent and effluent samples will be analyzed to verify performance against the compliance target matrix. The generated metal-laden biomass (sludge) will be characterized for hazardous properties using the Toxicity Characteristic Leaching Procedure (TCLP).</w:t>
      </w:r>
      <w:r>
        <w:t xml:space="preserve"> </w:t>
      </w:r>
      <w:r>
        <w:rPr>
          <w:b/>
          <w:bCs/>
        </w:rPr>
        <w:t xml:space="preserve">Expected Outcome:</w:t>
      </w:r>
      <w:r>
        <w:t xml:space="preserve"> </w:t>
      </w:r>
      <w:r>
        <w:t xml:space="preserve">A comprehensive pilot-validation report with 30-day performance data, a final compliance matrix, sludge classification, and a Technology Readiness Level (TRL) assessment (Target TRL 4-5).</w:t>
      </w:r>
      <w:r>
        <w:t xml:space="preserve"> </w:t>
      </w:r>
      <w:r>
        <w:rPr>
          <w:b/>
          <w:bCs/>
        </w:rPr>
        <w:t xml:space="preserve">Timeline:</w:t>
      </w:r>
      <w:r>
        <w:t xml:space="preserve"> </w:t>
      </w:r>
      <w:r>
        <w:t xml:space="preserve">Months 15-24.</w:t>
      </w:r>
    </w:p>
    <w:bookmarkEnd w:id="27"/>
    <w:bookmarkEnd w:id="28"/>
    <w:bookmarkStart w:id="29" w:name="innovation-statement"/>
    <w:p>
      <w:pPr>
        <w:pStyle w:val="Heading2"/>
      </w:pPr>
      <w:r>
        <w:t xml:space="preserve">Innovation Statement</w:t>
      </w:r>
    </w:p>
    <w:p>
      <w:pPr>
        <w:pStyle w:val="FirstParagraph"/>
      </w:pPr>
      <w:r>
        <w:t xml:space="preserve">This project is innovative in several key aspects:</w:t>
      </w:r>
    </w:p>
    <w:p>
      <w:pPr>
        <w:pStyle w:val="Compact"/>
        <w:numPr>
          <w:ilvl w:val="0"/>
          <w:numId w:val="1003"/>
        </w:numPr>
      </w:pPr>
      <w:r>
        <w:t xml:space="preserve">It is the first systematic investigation of microalgae biosorption applied to the complete, chemically complex wastewater matrix from NdFeB magnet manufacturing, moving beyond simplified synthetic solutions.</w:t>
      </w:r>
    </w:p>
    <w:p>
      <w:pPr>
        <w:pStyle w:val="Compact"/>
        <w:numPr>
          <w:ilvl w:val="0"/>
          <w:numId w:val="1003"/>
        </w:numPr>
      </w:pPr>
      <w:r>
        <w:t xml:space="preserve">It employs a compliance-driven experimental design, using residual metal concentration (mg/L) versus regulatory limits as the primary response variable, rather than simple percent removal, which is more relevant for industrial application.</w:t>
      </w:r>
    </w:p>
    <w:p>
      <w:pPr>
        <w:pStyle w:val="Compact"/>
        <w:numPr>
          <w:ilvl w:val="0"/>
          <w:numId w:val="1003"/>
        </w:numPr>
      </w:pPr>
      <w:r>
        <w:t xml:space="preserve">It directly addresses the combined inhibitory effects of high iron, high boron, and organic process chemicals (coolants, chelators), which are critical but un-addressed challenges for biological treatment of this waste stream.</w:t>
      </w:r>
    </w:p>
    <w:p>
      <w:pPr>
        <w:pStyle w:val="Compact"/>
        <w:numPr>
          <w:ilvl w:val="0"/>
          <w:numId w:val="1003"/>
        </w:numPr>
      </w:pPr>
      <w:r>
        <w:t xml:space="preserve">The project culminates in a pilot-scale validation using real industrial wastewater, providing a crucial bridge between laboratory research and potential industrial deployment and generating a robust TRL assessment.</w:t>
      </w:r>
    </w:p>
    <w:bookmarkEnd w:id="29"/>
    <w:bookmarkStart w:id="30" w:name="broader-impacts"/>
    <w:p>
      <w:pPr>
        <w:pStyle w:val="Heading2"/>
      </w:pPr>
      <w:r>
        <w:t xml:space="preserve">Broader Impacts</w:t>
      </w:r>
    </w:p>
    <w:p>
      <w:pPr>
        <w:pStyle w:val="FirstParagraph"/>
      </w:pPr>
      <w:r>
        <w:t xml:space="preserve">This research will have significant broader impacts. It will provide a foundation for a sustainable, green chemistry-based solution for a critical environmental challenge in the REE supply chain. The project will support the training of a graduate student and a postdoctoral researcher in advanced environmental biotechnology, statistical experimental design, and analytical chemistry. We will actively partner with our industrial collaborator to ensure the results are relevant and to facilitate a clear pathway for technology transfer. The findings will be disseminated through peer-reviewed publications and conference presentations, and will provide valuable data for informing future Best Available Techniques (BAT) designations for the metal finishing and electronics manufacturing sectors.</w:t>
      </w:r>
    </w:p>
    <w:bookmarkEnd w:id="30"/>
    <w:bookmarkStart w:id="31" w:name="budget-justification-summary"/>
    <w:p>
      <w:pPr>
        <w:pStyle w:val="Heading2"/>
      </w:pPr>
      <w:r>
        <w:t xml:space="preserve">Budget Justification Summary</w:t>
      </w:r>
    </w:p>
    <w:p>
      <w:pPr>
        <w:pStyle w:val="FirstParagraph"/>
      </w:pPr>
      <w:r>
        <w:t xml:space="preserve">The requested budget of $2.27 million over 24 months is essential to accomplish the project's ambitious goals. Major cost categories include:</w:t>
      </w:r>
      <w:r>
        <w:t xml:space="preserve"> </w:t>
      </w:r>
      <w:r>
        <w:rPr>
          <w:b/>
          <w:bCs/>
        </w:rPr>
        <w:t xml:space="preserve">Personnel</w:t>
      </w:r>
      <w:r>
        <w:t xml:space="preserve"> </w:t>
      </w:r>
      <w:r>
        <w:t xml:space="preserve">(2.0 FTE: 1 postdoctoral researcher, 1 graduate student, plus PI/co-PI support);</w:t>
      </w:r>
      <w:r>
        <w:t xml:space="preserve"> </w:t>
      </w:r>
      <w:r>
        <w:rPr>
          <w:b/>
          <w:bCs/>
        </w:rPr>
        <w:t xml:space="preserve">Analytical Services</w:t>
      </w:r>
      <w:r>
        <w:t xml:space="preserve">, which represents a significant portion of the budget due to the high cost and sample throughput required for ICP-MS analysis of complex multi-element matrices (commercial rates range from $65 to over $165 per sample);</w:t>
      </w:r>
      <w:r>
        <w:t xml:space="preserve"> </w:t>
      </w:r>
      <w:r>
        <w:rPr>
          <w:b/>
          <w:bCs/>
        </w:rPr>
        <w:t xml:space="preserve">Consumables</w:t>
      </w:r>
      <w:r>
        <w:t xml:space="preserve">, including microalgae culture media, reagents for synthetic leachate, analytical standards, and materials for biomass immobilization;</w:t>
      </w:r>
      <w:r>
        <w:t xml:space="preserve"> </w:t>
      </w:r>
      <w:r>
        <w:rPr>
          <w:b/>
          <w:bCs/>
        </w:rPr>
        <w:t xml:space="preserve">Equipment</w:t>
      </w:r>
      <w:r>
        <w:t xml:space="preserve">, for the construction and automation of the 100-L pilot-scale bioreactor; and</w:t>
      </w:r>
      <w:r>
        <w:t xml:space="preserve"> </w:t>
      </w:r>
      <w:r>
        <w:rPr>
          <w:b/>
          <w:bCs/>
        </w:rPr>
        <w:t xml:space="preserve">Travel/Dissemination</w:t>
      </w:r>
      <w:r>
        <w:t xml:space="preserve"> </w:t>
      </w:r>
      <w:r>
        <w:t xml:space="preserve">for site visits to our industrial partner and presenting findings at scientific conferences.</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2026-02-12T17:53:44Z</dcterms:created>
  <dcterms:modified xsi:type="dcterms:W3CDTF">2026-02-12T17:53:44Z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