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15607c156a181e0379242e32b52c3eb2d9e8fc6"/>
    <w:p>
      <w:pPr>
        <w:pStyle w:val="Heading1"/>
      </w:pPr>
      <w:r>
        <w:t xml:space="preserve">MASTER DOCUMENT: Microalgae Biosorption of NdFeB Magnet Leachate Contaminants for Wastewater Regulatory Compliance</w:t>
      </w:r>
    </w:p>
    <w:bookmarkStart w:id="20" w:name="summary"/>
    <w:p>
      <w:pPr>
        <w:pStyle w:val="Heading2"/>
      </w:pPr>
      <w:r>
        <w:t xml:space="preserve">Summary</w:t>
      </w:r>
    </w:p>
    <w:p>
      <w:pPr>
        <w:pStyle w:val="FirstParagraph"/>
      </w:pPr>
      <w:r>
        <w:t xml:space="preserve">This master document consolidates the previously generated deliverables into one continuous, compliance-framed package focused exclusively on the wastewater-treatment step (biosorption/bioabsorption and associated process/measurement design), and not on downstream metal recovery/refinement. The compiled material includes: (i) a study evidence table, (ii) a narrative synthesis emphasizing multi-metal effects (especially Fe and B), (iii) a discharge-limit compilation from EU BREF snippets and US EPA metal-finishing limits, and (iv) an end-to-end experimental, analytical, and pilot-validation plan including DOE/RSM designs, ICP-MS SOP elements, cost drivers, procurement lists, and a data pipeline for compliance dashboards. Core constraints highlighted across the artifacts are that Fe precipitation/competition is strongly pH-dependent in NdFeB-derived solutions and that boron removal collapses in multi-metal mixtures (e.g., down to ~0.2% in multimetal conditions for some microalgae), making boron a likely rate-limiting compliance parameter unless a dedicated boron-polishing step is integrated.</w:t>
      </w:r>
    </w:p>
    <w:bookmarkEnd w:id="20"/>
    <w:bookmarkStart w:id="21" w:name="table-of-contents"/>
    <w:p>
      <w:pPr>
        <w:pStyle w:val="Heading2"/>
      </w:pPr>
      <w:r>
        <w:t xml:space="preserve">Table of contents</w:t>
      </w:r>
    </w:p>
    <w:p>
      <w:pPr>
        <w:pStyle w:val="FirstParagraph"/>
      </w:pPr>
      <w:r>
        <w:t xml:space="preserve">This document is organized as a single set of chapters to match the originally requested master deliverable structure.</w:t>
      </w:r>
    </w:p>
    <w:p>
      <w:pPr>
        <w:pStyle w:val="Compact"/>
        <w:numPr>
          <w:ilvl w:val="0"/>
          <w:numId w:val="1001"/>
        </w:numPr>
      </w:pPr>
      <w:r>
        <w:t xml:space="preserve">Chapter 1: Literature Review Evidence Table</w:t>
      </w:r>
    </w:p>
    <w:p>
      <w:pPr>
        <w:pStyle w:val="Compact"/>
        <w:numPr>
          <w:ilvl w:val="0"/>
          <w:numId w:val="1001"/>
        </w:numPr>
      </w:pPr>
      <w:r>
        <w:t xml:space="preserve">Chapter 2: Narrative Literature Synthesis</w:t>
      </w:r>
    </w:p>
    <w:p>
      <w:pPr>
        <w:pStyle w:val="Compact"/>
        <w:numPr>
          <w:ilvl w:val="0"/>
          <w:numId w:val="1001"/>
        </w:numPr>
      </w:pPr>
      <w:r>
        <w:t xml:space="preserve">Chapter 3: Chinese Literature, Regulatory Compliance Gap Matrix, and Experimental Protocol</w:t>
      </w:r>
    </w:p>
    <w:p>
      <w:pPr>
        <w:pStyle w:val="Compact"/>
        <w:numPr>
          <w:ilvl w:val="0"/>
          <w:numId w:val="1001"/>
        </w:numPr>
      </w:pPr>
      <w:r>
        <w:t xml:space="preserve">Chapter 4: Reduced Factorial Screening Design, Go/No-Go Decision Tree, and Cost-Effectiveness Analysis</w:t>
      </w:r>
    </w:p>
    <w:p>
      <w:pPr>
        <w:pStyle w:val="Compact"/>
        <w:numPr>
          <w:ilvl w:val="0"/>
          <w:numId w:val="1001"/>
        </w:numPr>
      </w:pPr>
      <w:r>
        <w:t xml:space="preserve">Chapter 5: JMP/Minitab-Importable DSD Run Order Table, Budget Sensitivity Analysis, and Technology Selection Decision Matrix</w:t>
      </w:r>
    </w:p>
    <w:p>
      <w:pPr>
        <w:pStyle w:val="Compact"/>
        <w:numPr>
          <w:ilvl w:val="0"/>
          <w:numId w:val="1001"/>
        </w:numPr>
      </w:pPr>
      <w:r>
        <w:t xml:space="preserve">Chapter 6: Response Surface Methodology Design, ICP-MS Analytical SOP, and 24-Month Timeline</w:t>
      </w:r>
    </w:p>
    <w:p>
      <w:pPr>
        <w:pStyle w:val="Compact"/>
        <w:numPr>
          <w:ilvl w:val="0"/>
          <w:numId w:val="1001"/>
        </w:numPr>
      </w:pPr>
      <w:r>
        <w:t xml:space="preserve">Chapter 7: Reagent and Consumables Procurement List</w:t>
      </w:r>
    </w:p>
    <w:p>
      <w:pPr>
        <w:pStyle w:val="Compact"/>
        <w:numPr>
          <w:ilvl w:val="0"/>
          <w:numId w:val="1001"/>
        </w:numPr>
      </w:pPr>
      <w:r>
        <w:t xml:space="preserve">Chapter 8: Data Analysis Pipeline</w:t>
      </w:r>
    </w:p>
    <w:p>
      <w:pPr>
        <w:pStyle w:val="Compact"/>
        <w:numPr>
          <w:ilvl w:val="0"/>
          <w:numId w:val="1001"/>
        </w:numPr>
      </w:pPr>
      <w:r>
        <w:t xml:space="preserve">Chapter 9: Grant Proposal Abstract and Specific Aims</w:t>
      </w:r>
    </w:p>
    <w:p>
      <w:pPr>
        <w:pStyle w:val="Compact"/>
        <w:numPr>
          <w:ilvl w:val="0"/>
          <w:numId w:val="1001"/>
        </w:numPr>
      </w:pPr>
      <w:r>
        <w:t xml:space="preserve">Chapter 10: Research Strategy</w:t>
      </w:r>
    </w:p>
    <w:p>
      <w:pPr>
        <w:pStyle w:val="Compact"/>
        <w:numPr>
          <w:ilvl w:val="0"/>
          <w:numId w:val="1001"/>
        </w:numPr>
      </w:pPr>
      <w:r>
        <w:t xml:space="preserve">Chapter 11: Pilot-Scale Equipment Procurement List</w:t>
      </w:r>
    </w:p>
    <w:p>
      <w:pPr>
        <w:pStyle w:val="Compact"/>
        <w:numPr>
          <w:ilvl w:val="0"/>
          <w:numId w:val="1001"/>
        </w:numPr>
      </w:pPr>
      <w:r>
        <w:t xml:space="preserve">Chapter 12: Synthetic Leachate Preparation SOP</w:t>
      </w:r>
    </w:p>
    <w:bookmarkEnd w:id="21"/>
    <w:bookmarkStart w:id="22" w:name="chapter-1"/>
    <w:p>
      <w:pPr>
        <w:pStyle w:val="Heading2"/>
      </w:pPr>
      <w:r>
        <w:t xml:space="preserve">Chapter 1</w:t>
      </w:r>
    </w:p>
    <w:p>
      <w:pPr>
        <w:pStyle w:val="FirstParagraph"/>
      </w:pPr>
      <w:r>
        <w:t xml:space="preserve">This chapter reproduces the extracted evidence table as a single markdown table with the requested columns.</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Species</w:t>
            </w:r>
          </w:p>
        </w:tc>
        <w:tc>
          <w:tcPr/>
          <w:p>
            <w:pPr>
              <w:pStyle w:val="Compact"/>
            </w:pPr>
            <w:r>
              <w:t xml:space="preserve">Waste Type</w:t>
            </w:r>
          </w:p>
        </w:tc>
        <w:tc>
          <w:tcPr/>
          <w:p>
            <w:pPr>
              <w:pStyle w:val="Compact"/>
            </w:pPr>
            <w:r>
              <w:t xml:space="preserve">Metals Tested</w:t>
            </w:r>
          </w:p>
        </w:tc>
        <w:tc>
          <w:tcPr/>
          <w:p>
            <w:pPr>
              <w:pStyle w:val="Compact"/>
            </w:pPr>
            <w:r>
              <w:t xml:space="preserve">Removal Efficiency (%)</w:t>
            </w:r>
          </w:p>
        </w:tc>
        <w:tc>
          <w:tcPr/>
          <w:p>
            <w:pPr>
              <w:pStyle w:val="Compact"/>
            </w:pPr>
            <w:r>
              <w:t xml:space="preserve">Final Concentration (mg/L)</w:t>
            </w:r>
          </w:p>
        </w:tc>
        <w:tc>
          <w:tcPr/>
          <w:p>
            <w:pPr>
              <w:pStyle w:val="Compact"/>
            </w:pPr>
            <w:r>
              <w:t xml:space="preserve">Compliance Status</w:t>
            </w:r>
          </w:p>
        </w:tc>
        <w:tc>
          <w:tcPr/>
          <w:p>
            <w:pPr>
              <w:pStyle w:val="Compact"/>
            </w:pPr>
            <w:r>
              <w:t xml:space="preserve">Limiting Factor</w:t>
            </w:r>
          </w:p>
        </w:tc>
        <w:tc>
          <w:tcPr/>
          <w:p>
            <w:pPr>
              <w:pStyle w:val="Compact"/>
            </w:pPr>
            <w:r>
              <w:t xml:space="preserve">Biomass Form</w:t>
            </w:r>
          </w:p>
        </w:tc>
        <w:tc>
          <w:tcPr/>
          <w:p>
            <w:pPr>
              <w:pStyle w:val="Compact"/>
            </w:pPr>
            <w:r>
              <w:t xml:space="preserve">Reactor Type</w:t>
            </w:r>
          </w:p>
        </w:tc>
        <w:tc>
          <w:tcPr/>
          <w:p>
            <w:pPr>
              <w:pStyle w:val="Compact"/>
            </w:pPr>
            <w:r>
              <w:t xml:space="preserve">Contact Time</w:t>
            </w:r>
          </w:p>
        </w:tc>
        <w:tc>
          <w:tcPr/>
          <w:p>
            <w:pPr>
              <w:pStyle w:val="Compact"/>
            </w:pPr>
            <w:r>
              <w:t xml:space="preserve">Biomass Dosage (g/L)</w:t>
            </w:r>
          </w:p>
        </w:tc>
        <w:tc>
          <w:tcPr/>
          <w:p>
            <w:pPr>
              <w:pStyle w:val="Compact"/>
            </w:pPr>
            <w:r>
              <w:t xml:space="preserve">Kinetic/Isotherm Fit</w:t>
            </w:r>
          </w:p>
        </w:tc>
      </w:tr>
      <w:tr>
        <w:tc>
          <w:tcPr/>
          <w:p>
            <w:pPr>
              <w:pStyle w:val="Compact"/>
            </w:pPr>
            <w:r>
              <w:t xml:space="preserve">Chlorella vulgaris (SAG 211-12)</w:t>
            </w:r>
          </w:p>
        </w:tc>
        <w:tc>
          <w:tcPr/>
          <w:p>
            <w:pPr>
              <w:pStyle w:val="Compact"/>
            </w:pPr>
            <w:r>
              <w:t xml:space="preserve">Real NdFeB magnet leachate (aqueous solution derived from permanent Nd–Fe–B magnets; selective leaching used to remove Fe/B/Dy/Co interference)</w:t>
            </w:r>
          </w:p>
        </w:tc>
        <w:tc>
          <w:tcPr/>
          <w:p>
            <w:pPr>
              <w:pStyle w:val="Compact"/>
            </w:pPr>
            <w:r>
              <w:t xml:space="preserve">Nd (50–250 mg/L; stock standardized to 1000 mg/L Nd); Fe, B, Dy, Co analyzed but reported below detection limit in prepared solutions</w:t>
            </w:r>
          </w:p>
        </w:tc>
        <w:tc>
          <w:tcPr/>
          <w:p>
            <w:pPr>
              <w:pStyle w:val="Compact"/>
            </w:pPr>
            <w:r>
              <w:t xml:space="preserve">Nd: % removal not tabulated; &gt;90% of Nd biosorption occurred before equilibrium (equilibrium reached within ~30 min across temperatures)</w:t>
            </w:r>
          </w:p>
        </w:tc>
        <w:tc>
          <w:tcPr/>
          <w:p>
            <w:pPr>
              <w:pStyle w:val="Compact"/>
            </w:pPr>
            <w:r>
              <w:t xml:space="preserve">Not mentioned in source.</w:t>
            </w:r>
          </w:p>
        </w:tc>
        <w:tc>
          <w:tcPr/>
          <w:p>
            <w:pPr>
              <w:pStyle w:val="Compact"/>
            </w:pPr>
            <w:r>
              <w:t xml:space="preserve">Not assessed against discharge limits (not mentioned in source).</w:t>
            </w:r>
          </w:p>
        </w:tc>
        <w:tc>
          <w:tcPr/>
          <w:p>
            <w:pPr>
              <w:pStyle w:val="Compact"/>
            </w:pPr>
            <w:r>
              <w:t xml:space="preserve">pH control and (in general) Fe competition/precipitation: Fe can precipitate as pH rises, reducing competition; however Fe was removed by selective leaching so competitive effects were not present in tested leachate</w:t>
            </w:r>
          </w:p>
        </w:tc>
        <w:tc>
          <w:tcPr/>
          <w:p>
            <w:pPr>
              <w:pStyle w:val="Compact"/>
            </w:pPr>
            <w:r>
              <w:t xml:space="preserve">Oven-dried (non-living) biomass (24 h at 90°C)</w:t>
            </w:r>
          </w:p>
        </w:tc>
        <w:tc>
          <w:tcPr/>
          <w:p>
            <w:pPr>
              <w:pStyle w:val="Compact"/>
            </w:pPr>
            <w:r>
              <w:t xml:space="preserve">Batch (Erlenmeyer flasks)</w:t>
            </w:r>
          </w:p>
        </w:tc>
        <w:tc>
          <w:tcPr/>
          <w:p>
            <w:pPr>
              <w:pStyle w:val="Compact"/>
            </w:pPr>
            <w:r>
              <w:t xml:space="preserve">Up to 90 min (samples taken to 90 min); equilibrium within ~30 min</w:t>
            </w:r>
          </w:p>
        </w:tc>
        <w:tc>
          <w:tcPr/>
          <w:p>
            <w:pPr>
              <w:pStyle w:val="Compact"/>
            </w:pPr>
            <w:r>
              <w:t xml:space="preserve">0.5–3 g/L (dry biomass)</w:t>
            </w:r>
          </w:p>
        </w:tc>
        <w:tc>
          <w:tcPr/>
          <w:p>
            <w:pPr>
              <w:pStyle w:val="Compact"/>
            </w:pPr>
            <w:r>
              <w:t xml:space="preserve">Pseudo-second-order kinetics (R²&gt;0.99); Langmuir isotherm (qmax 188.68 mg/g; KL 0.029 L/mg)</w:t>
            </w:r>
          </w:p>
        </w:tc>
      </w:tr>
      <w:tr>
        <w:tc>
          <w:tcPr/>
          <w:p>
            <w:pPr>
              <w:pStyle w:val="Compact"/>
            </w:pPr>
            <w:r>
              <w:t xml:space="preserve">Chlorella vulgaris (dried biomass)</w:t>
            </w:r>
          </w:p>
        </w:tc>
        <w:tc>
          <w:tcPr/>
          <w:p>
            <w:pPr>
              <w:pStyle w:val="Compact"/>
            </w:pPr>
            <w:r>
              <w:t xml:space="preserve">Mixed leachate solution derived from neodymium magnets (batch and continuous sorption systems)</w:t>
            </w:r>
          </w:p>
        </w:tc>
        <w:tc>
          <w:tcPr/>
          <w:p>
            <w:pPr>
              <w:pStyle w:val="Compact"/>
            </w:pPr>
            <w:r>
              <w:t xml:space="preserve">Nd (initial 250 mg/L)</w:t>
            </w:r>
          </w:p>
        </w:tc>
        <w:tc>
          <w:tcPr/>
          <w:p>
            <w:pPr>
              <w:pStyle w:val="Compact"/>
            </w:pPr>
            <w:r>
              <w:t xml:space="preserve">Not mentioned in source (reported as uptake capacity, e.g., q = 157.21 mg/g at pH 5).</w:t>
            </w:r>
          </w:p>
        </w:tc>
        <w:tc>
          <w:tcPr/>
          <w:p>
            <w:pPr>
              <w:pStyle w:val="Compact"/>
            </w:pPr>
            <w:r>
              <w:t xml:space="preserve">Not mentioned in source.</w:t>
            </w:r>
          </w:p>
        </w:tc>
        <w:tc>
          <w:tcPr/>
          <w:p>
            <w:pPr>
              <w:pStyle w:val="Compact"/>
            </w:pPr>
            <w:r>
              <w:t xml:space="preserve">Not assessed against discharge limits (not mentioned in source).</w:t>
            </w:r>
          </w:p>
        </w:tc>
        <w:tc>
          <w:tcPr/>
          <w:p>
            <w:pPr>
              <w:pStyle w:val="Compact"/>
            </w:pPr>
            <w:r>
              <w:t xml:space="preserve">Slow Nd sorption kinetics reduced capacity in continuous vs batch operation</w:t>
            </w:r>
          </w:p>
        </w:tc>
        <w:tc>
          <w:tcPr/>
          <w:p>
            <w:pPr>
              <w:pStyle w:val="Compact"/>
            </w:pPr>
            <w:r>
              <w:t xml:space="preserve">Dried biomass</w:t>
            </w:r>
          </w:p>
        </w:tc>
        <w:tc>
          <w:tcPr/>
          <w:p>
            <w:pPr>
              <w:pStyle w:val="Compact"/>
            </w:pPr>
            <w:r>
              <w:t xml:space="preserve">Batch and continuous sorption systems</w:t>
            </w:r>
          </w:p>
        </w:tc>
        <w:tc>
          <w:tcPr/>
          <w:p>
            <w:pPr>
              <w:pStyle w:val="Compact"/>
            </w:pPr>
            <w:r>
              <w:t xml:space="preserve">Not reported (described qualitatively as slow kinetics)</w:t>
            </w:r>
          </w:p>
        </w:tc>
        <w:tc>
          <w:tcPr/>
          <w:p>
            <w:pPr>
              <w:pStyle w:val="Compact"/>
            </w:pPr>
            <w:r>
              <w:t xml:space="preserve">0.5 g/L</w:t>
            </w:r>
          </w:p>
        </w:tc>
        <w:tc>
          <w:tcPr/>
          <w:p>
            <w:pPr>
              <w:pStyle w:val="Compact"/>
            </w:pPr>
            <w:r>
              <w:t xml:space="preserve">Not reported (q reported; kinetics described as slow)</w:t>
            </w:r>
          </w:p>
        </w:tc>
      </w:tr>
      <w:tr>
        <w:tc>
          <w:tcPr/>
          <w:p>
            <w:pPr>
              <w:pStyle w:val="Compact"/>
            </w:pPr>
            <w:r>
              <w:t xml:space="preserve">Galdieria sulphuraria (SAG 21.92)</w:t>
            </w:r>
          </w:p>
        </w:tc>
        <w:tc>
          <w:tcPr/>
          <w:p>
            <w:pPr>
              <w:pStyle w:val="Compact"/>
            </w:pPr>
            <w:r>
              <w:t xml:space="preserve">Synthetic multi-metal solution (5 ppm each of Cu, La, Nd, Dy); tested at different pH</w:t>
            </w:r>
          </w:p>
        </w:tc>
        <w:tc>
          <w:tcPr/>
          <w:p>
            <w:pPr>
              <w:pStyle w:val="Compact"/>
            </w:pPr>
            <w:r>
              <w:t xml:space="preserve">Cu 5 ppm; La 5 ppm; Nd 5 ppm; Dy 5 ppm</w:t>
            </w:r>
          </w:p>
        </w:tc>
        <w:tc>
          <w:tcPr/>
          <w:p>
            <w:pPr>
              <w:pStyle w:val="Compact"/>
            </w:pPr>
            <w:r>
              <w:t xml:space="preserve">Overall removal efficiency: &lt;9% at pH 2.5; up to 86% at pH 5.0 (solution-wide metric; per-metal % not specified)</w:t>
            </w:r>
          </w:p>
        </w:tc>
        <w:tc>
          <w:tcPr/>
          <w:p>
            <w:pPr>
              <w:pStyle w:val="Compact"/>
            </w:pPr>
            <w:r>
              <w:t xml:space="preserve">Not mentioned in source (uptake reported as mg/g in some conditions).</w:t>
            </w:r>
          </w:p>
        </w:tc>
        <w:tc>
          <w:tcPr/>
          <w:p>
            <w:pPr>
              <w:pStyle w:val="Compact"/>
            </w:pPr>
            <w:r>
              <w:t xml:space="preserve">Not assessed against discharge limits (not mentioned in source).</w:t>
            </w:r>
          </w:p>
        </w:tc>
        <w:tc>
          <w:tcPr/>
          <w:p>
            <w:pPr>
              <w:pStyle w:val="Compact"/>
            </w:pPr>
            <w:r>
              <w:t xml:space="preserve">Orthophosphate limits REE solubility/availability and thus biosorption under growth-compatible conditions (phosphate + high acidity)</w:t>
            </w:r>
          </w:p>
        </w:tc>
        <w:tc>
          <w:tcPr/>
          <w:p>
            <w:pPr>
              <w:pStyle w:val="Compact"/>
            </w:pPr>
            <w:r>
              <w:t xml:space="preserve">Living biomass (grown, centrifuged, washed, resuspended to OD 10)</w:t>
            </w:r>
          </w:p>
        </w:tc>
        <w:tc>
          <w:tcPr/>
          <w:p>
            <w:pPr>
              <w:pStyle w:val="Compact"/>
            </w:pPr>
            <w:r>
              <w:t xml:space="preserve">Batch (conical flasks / capped bottles; 30 mL reaction volume)</w:t>
            </w:r>
          </w:p>
        </w:tc>
        <w:tc>
          <w:tcPr/>
          <w:p>
            <w:pPr>
              <w:pStyle w:val="Compact"/>
            </w:pPr>
            <w:r>
              <w:t xml:space="preserve">Samples at 3 h and 20 h</w:t>
            </w:r>
          </w:p>
        </w:tc>
        <w:tc>
          <w:tcPr/>
          <w:p>
            <w:pPr>
              <w:pStyle w:val="Compact"/>
            </w:pPr>
            <w:r>
              <w:t xml:space="preserve">Not mentioned in source.</w:t>
            </w:r>
          </w:p>
        </w:tc>
        <w:tc>
          <w:tcPr/>
          <w:p>
            <w:pPr>
              <w:pStyle w:val="Compact"/>
            </w:pPr>
            <w:r>
              <w:t xml:space="preserve">Not mentioned in source.</w:t>
            </w:r>
          </w:p>
        </w:tc>
      </w:tr>
      <w:tr>
        <w:tc>
          <w:tcPr/>
          <w:p>
            <w:pPr>
              <w:pStyle w:val="Compact"/>
            </w:pPr>
            <w:r>
              <w:t xml:space="preserve">Galdieria sulphuraria (SAG 21.92)</w:t>
            </w:r>
          </w:p>
        </w:tc>
        <w:tc>
          <w:tcPr/>
          <w:p>
            <w:pPr>
              <w:pStyle w:val="Compact"/>
            </w:pPr>
            <w:r>
              <w:t xml:space="preserve">Synthetic La-spiked nutrient-replete growth medium (phosphate present)</w:t>
            </w:r>
          </w:p>
        </w:tc>
        <w:tc>
          <w:tcPr/>
          <w:p>
            <w:pPr>
              <w:pStyle w:val="Compact"/>
            </w:pPr>
            <w:r>
              <w:t xml:space="preserve">La added to reach 20 µM and 100 µM (depending on condition/pH)</w:t>
            </w:r>
          </w:p>
        </w:tc>
        <w:tc>
          <w:tcPr/>
          <w:p>
            <w:pPr>
              <w:pStyle w:val="Compact"/>
            </w:pPr>
            <w:r>
              <w:t xml:space="preserve">No measurable La biosorption observed at initial pH 1.5 (under all growth conditions)</w:t>
            </w:r>
          </w:p>
        </w:tc>
        <w:tc>
          <w:tcPr/>
          <w:p>
            <w:pPr>
              <w:pStyle w:val="Compact"/>
            </w:pPr>
            <w:r>
              <w:t xml:space="preserve">Not mentioned in source.</w:t>
            </w:r>
          </w:p>
        </w:tc>
        <w:tc>
          <w:tcPr/>
          <w:p>
            <w:pPr>
              <w:pStyle w:val="Compact"/>
            </w:pPr>
            <w:r>
              <w:t xml:space="preserve">Not assessed against discharge limits (not mentioned in source).</w:t>
            </w:r>
          </w:p>
        </w:tc>
        <w:tc>
          <w:tcPr/>
          <w:p>
            <w:pPr>
              <w:pStyle w:val="Compact"/>
            </w:pPr>
            <w:r>
              <w:t xml:space="preserve">Orthophosphate limits REE solubility and availability for biosorption</w:t>
            </w:r>
          </w:p>
        </w:tc>
        <w:tc>
          <w:tcPr/>
          <w:p>
            <w:pPr>
              <w:pStyle w:val="Compact"/>
            </w:pPr>
            <w:r>
              <w:t xml:space="preserve">Living cultures (nutrient replete medium)</w:t>
            </w:r>
          </w:p>
        </w:tc>
        <w:tc>
          <w:tcPr/>
          <w:p>
            <w:pPr>
              <w:pStyle w:val="Compact"/>
            </w:pPr>
            <w:r>
              <w:t xml:space="preserve">Batch culture flasks (100 mL cultures in conical flasks)</w:t>
            </w:r>
          </w:p>
        </w:tc>
        <w:tc>
          <w:tcPr/>
          <w:p>
            <w:pPr>
              <w:pStyle w:val="Compact"/>
            </w:pPr>
            <w:r>
              <w:t xml:space="preserve">At least 6 days (duration stated; time-resolved removal not reported)</w:t>
            </w:r>
          </w:p>
        </w:tc>
        <w:tc>
          <w:tcPr/>
          <w:p>
            <w:pPr>
              <w:pStyle w:val="Compact"/>
            </w:pPr>
            <w:r>
              <w:t xml:space="preserve">Not mentioned in source.</w:t>
            </w:r>
          </w:p>
        </w:tc>
        <w:tc>
          <w:tcPr/>
          <w:p>
            <w:pPr>
              <w:pStyle w:val="Compact"/>
            </w:pPr>
            <w:r>
              <w:t xml:space="preserve">Not mentioned in source.</w:t>
            </w:r>
          </w:p>
        </w:tc>
      </w:tr>
      <w:tr>
        <w:tc>
          <w:tcPr/>
          <w:p>
            <w:pPr>
              <w:pStyle w:val="Compact"/>
            </w:pPr>
            <w:r>
              <w:t xml:space="preserve">Anabaena sp. (SAG 12.82)</w:t>
            </w:r>
          </w:p>
        </w:tc>
        <w:tc>
          <w:tcPr/>
          <w:p>
            <w:pPr>
              <w:pStyle w:val="Compact"/>
            </w:pPr>
            <w:r>
              <w:t xml:space="preserve">Synthetic REE solutions: REE nitrate salts dissolved in modified Bold’s Basal Medium (BBM)</w:t>
            </w:r>
          </w:p>
        </w:tc>
        <w:tc>
          <w:tcPr/>
          <w:p>
            <w:pPr>
              <w:pStyle w:val="Compact"/>
            </w:pPr>
            <w:r>
              <w:t xml:space="preserve">Eu³⁺ (0.111 mM and 0.191 mM), Sm³⁺ (0.139 mM), Nd³⁺ (0.103 mM)</w:t>
            </w:r>
          </w:p>
        </w:tc>
        <w:tc>
          <w:tcPr/>
          <w:p>
            <w:pPr>
              <w:pStyle w:val="Compact"/>
            </w:pPr>
            <w:r>
              <w:t xml:space="preserve">REE³⁺ biosorption reported as almost complete (&gt;99%) within the first hour (with additional detail for Eu/Sm/Nd time courses)</w:t>
            </w:r>
          </w:p>
        </w:tc>
        <w:tc>
          <w:tcPr/>
          <w:p>
            <w:pPr>
              <w:pStyle w:val="Compact"/>
            </w:pPr>
            <w:r>
              <w:t xml:space="preserve">Eu residual reported as 76 ppb after &gt;1 day; Sm residual 1.52×10^-3 mM in early samples (Nd residual not numerically specified)</w:t>
            </w:r>
          </w:p>
        </w:tc>
        <w:tc>
          <w:tcPr/>
          <w:p>
            <w:pPr>
              <w:pStyle w:val="Compact"/>
            </w:pPr>
            <w:r>
              <w:t xml:space="preserve">Not assessed against discharge limits (not mentioned in source).</w:t>
            </w:r>
          </w:p>
        </w:tc>
        <w:tc>
          <w:tcPr/>
          <w:p>
            <w:pPr>
              <w:pStyle w:val="Compact"/>
            </w:pPr>
            <w:r>
              <w:t xml:space="preserve">Nutrient/starvation state affects performance (biosorption more effective in culture media than starving culture); mechanism not fully resolved</w:t>
            </w:r>
          </w:p>
        </w:tc>
        <w:tc>
          <w:tcPr/>
          <w:p>
            <w:pPr>
              <w:pStyle w:val="Compact"/>
            </w:pPr>
            <w:r>
              <w:t xml:space="preserve">Living biomass (biomass stayed alive during experiments; separated by centrifugation)</w:t>
            </w:r>
          </w:p>
        </w:tc>
        <w:tc>
          <w:tcPr/>
          <w:p>
            <w:pPr>
              <w:pStyle w:val="Compact"/>
            </w:pPr>
            <w:r>
              <w:t xml:space="preserve">Batch flask cultures (250 mL flasks with 150 mL medium)</w:t>
            </w:r>
          </w:p>
        </w:tc>
        <w:tc>
          <w:tcPr/>
          <w:p>
            <w:pPr>
              <w:pStyle w:val="Compact"/>
            </w:pPr>
            <w:r>
              <w:t xml:space="preserve">Minutes to ≤1 h for &gt;99% uptake depending on REE (e.g., Nd within 30 min; Eu within ~1 h)</w:t>
            </w:r>
          </w:p>
        </w:tc>
        <w:tc>
          <w:tcPr/>
          <w:p>
            <w:pPr>
              <w:pStyle w:val="Compact"/>
            </w:pPr>
            <w:r>
              <w:t xml:space="preserve">Not mentioned in source.</w:t>
            </w:r>
          </w:p>
        </w:tc>
        <w:tc>
          <w:tcPr/>
          <w:p>
            <w:pPr>
              <w:pStyle w:val="Compact"/>
            </w:pPr>
            <w:r>
              <w:t xml:space="preserve">Not reported (tracked by ICP-MS/LIBS; no model fit parameters given)</w:t>
            </w:r>
          </w:p>
        </w:tc>
      </w:tr>
      <w:tr>
        <w:tc>
          <w:tcPr/>
          <w:p>
            <w:pPr>
              <w:pStyle w:val="Compact"/>
            </w:pPr>
            <w:r>
              <w:t xml:space="preserve">Anabaena cylindrica (SAG 1403.2)</w:t>
            </w:r>
          </w:p>
        </w:tc>
        <w:tc>
          <w:tcPr/>
          <w:p>
            <w:pPr>
              <w:pStyle w:val="Compact"/>
            </w:pPr>
            <w:r>
              <w:t xml:space="preserve">Synthetic REE solutions: REE nitrate salts dissolved in modified BBM</w:t>
            </w:r>
          </w:p>
        </w:tc>
        <w:tc>
          <w:tcPr/>
          <w:p>
            <w:pPr>
              <w:pStyle w:val="Compact"/>
            </w:pPr>
            <w:r>
              <w:t xml:space="preserve">Eu³⁺ (0.111 mM and 0.191 mM), Sm³⁺ (0.139 mM), Nd³⁺ (0.103 mM)</w:t>
            </w:r>
          </w:p>
        </w:tc>
        <w:tc>
          <w:tcPr/>
          <w:p>
            <w:pPr>
              <w:pStyle w:val="Compact"/>
            </w:pPr>
            <w:r>
              <w:t xml:space="preserve">REE³⁺ biosorption reported as almost complete (&gt;99%) within the first hour (with additional detail for Eu/Sm/Nd time courses)</w:t>
            </w:r>
          </w:p>
        </w:tc>
        <w:tc>
          <w:tcPr/>
          <w:p>
            <w:pPr>
              <w:pStyle w:val="Compact"/>
            </w:pPr>
            <w:r>
              <w:t xml:space="preserve">Eu residual reported as 76 ppb after &gt;1 day; Sm residual 1.52×10^-3 mM in early samples (Nd residual not numerically specified)</w:t>
            </w:r>
          </w:p>
        </w:tc>
        <w:tc>
          <w:tcPr/>
          <w:p>
            <w:pPr>
              <w:pStyle w:val="Compact"/>
            </w:pPr>
            <w:r>
              <w:t xml:space="preserve">Not assessed against discharge limits (not mentioned in source).</w:t>
            </w:r>
          </w:p>
        </w:tc>
        <w:tc>
          <w:tcPr/>
          <w:p>
            <w:pPr>
              <w:pStyle w:val="Compact"/>
            </w:pPr>
            <w:r>
              <w:t xml:space="preserve">Nutrient/starvation state affects performance; mechanism not fully resolved</w:t>
            </w:r>
          </w:p>
        </w:tc>
        <w:tc>
          <w:tcPr/>
          <w:p>
            <w:pPr>
              <w:pStyle w:val="Compact"/>
            </w:pPr>
            <w:r>
              <w:t xml:space="preserve">Living biomass (biomass stayed alive during experiments; separated by centrifugation)</w:t>
            </w:r>
          </w:p>
        </w:tc>
        <w:tc>
          <w:tcPr/>
          <w:p>
            <w:pPr>
              <w:pStyle w:val="Compact"/>
            </w:pPr>
            <w:r>
              <w:t xml:space="preserve">Batch flask cultures (250 mL flasks with 150 mL medium)</w:t>
            </w:r>
          </w:p>
        </w:tc>
        <w:tc>
          <w:tcPr/>
          <w:p>
            <w:pPr>
              <w:pStyle w:val="Compact"/>
            </w:pPr>
            <w:r>
              <w:t xml:space="preserve">Minutes to ≤1 h for &gt;99% uptake depending on REE (e.g., Nd within 30 min; Eu within ~1 h)</w:t>
            </w:r>
          </w:p>
        </w:tc>
        <w:tc>
          <w:tcPr/>
          <w:p>
            <w:pPr>
              <w:pStyle w:val="Compact"/>
            </w:pPr>
            <w:r>
              <w:t xml:space="preserve">Not mentioned in source.</w:t>
            </w:r>
          </w:p>
        </w:tc>
        <w:tc>
          <w:tcPr/>
          <w:p>
            <w:pPr>
              <w:pStyle w:val="Compact"/>
            </w:pPr>
            <w:r>
              <w:t xml:space="preserve">Not reported (tracked by ICP-MS/LIBS; no model fit parameters given)</w:t>
            </w:r>
          </w:p>
        </w:tc>
      </w:tr>
      <w:tr>
        <w:tc>
          <w:tcPr/>
          <w:p>
            <w:pPr>
              <w:pStyle w:val="Compact"/>
            </w:pPr>
            <w:r>
              <w:t xml:space="preserve">Nostoc sp. 20.02</w:t>
            </w:r>
          </w:p>
        </w:tc>
        <w:tc>
          <w:tcPr/>
          <w:p>
            <w:pPr>
              <w:pStyle w:val="Compact"/>
            </w:pPr>
            <w:r>
              <w:t xml:space="preserve">Synthetic REE solutions (single-metal screening at 10 mM; plus equimolar mixed-metal competition tests)</w:t>
            </w:r>
          </w:p>
        </w:tc>
        <w:tc>
          <w:tcPr/>
          <w:p>
            <w:pPr>
              <w:pStyle w:val="Compact"/>
            </w:pPr>
            <w:r>
              <w:t xml:space="preserve">REEs: Ce, Nd, Tb, La; competition tests: Ce in presence of Al, Pb, Ni, Zn (mixed-metal solutions)</w:t>
            </w:r>
          </w:p>
        </w:tc>
        <w:tc>
          <w:tcPr/>
          <w:p>
            <w:pPr>
              <w:pStyle w:val="Compact"/>
            </w:pPr>
            <w:r>
              <w:t xml:space="preserve">Not reported as % removal; reported as adsorption capacity (e.g., 84.2–91.5 mg·g−1, species-dependent)</w:t>
            </w:r>
          </w:p>
        </w:tc>
        <w:tc>
          <w:tcPr/>
          <w:p>
            <w:pPr>
              <w:pStyle w:val="Compact"/>
            </w:pPr>
            <w:r>
              <w:t xml:space="preserve">Not mentioned in source.</w:t>
            </w:r>
          </w:p>
        </w:tc>
        <w:tc>
          <w:tcPr/>
          <w:p>
            <w:pPr>
              <w:pStyle w:val="Compact"/>
            </w:pPr>
            <w:r>
              <w:t xml:space="preserve">Not assessed against discharge limits (not mentioned in source).</w:t>
            </w:r>
          </w:p>
        </w:tc>
        <w:tc>
          <w:tcPr/>
          <w:p>
            <w:pPr>
              <w:pStyle w:val="Compact"/>
            </w:pPr>
            <w:r>
              <w:t xml:space="preserve">Mixed-metal competition reduces REE uptake; at higher concentrations other metals can replace Ce on binding sites</w:t>
            </w:r>
          </w:p>
        </w:tc>
        <w:tc>
          <w:tcPr/>
          <w:p>
            <w:pPr>
              <w:pStyle w:val="Compact"/>
            </w:pPr>
            <w:r>
              <w:t xml:space="preserve">Lyophilized (dried) biomass</w:t>
            </w:r>
          </w:p>
        </w:tc>
        <w:tc>
          <w:tcPr/>
          <w:p>
            <w:pPr>
              <w:pStyle w:val="Compact"/>
            </w:pPr>
            <w:r>
              <w:t xml:space="preserve">Batch tube incubation (2 mL solutions, shaking)</w:t>
            </w:r>
          </w:p>
        </w:tc>
        <w:tc>
          <w:tcPr/>
          <w:p>
            <w:pPr>
              <w:pStyle w:val="Compact"/>
            </w:pPr>
            <w:r>
              <w:t xml:space="preserve">Standard incubation 3 h; kinetics sampled 2–60 min</w:t>
            </w:r>
          </w:p>
        </w:tc>
        <w:tc>
          <w:tcPr/>
          <w:p>
            <w:pPr>
              <w:pStyle w:val="Compact"/>
            </w:pPr>
            <w:r>
              <w:t xml:space="preserve">10–20 mg in 2 mL (~5–10 g/L)</w:t>
            </w:r>
          </w:p>
        </w:tc>
        <w:tc>
          <w:tcPr/>
          <w:p>
            <w:pPr>
              <w:pStyle w:val="Compact"/>
            </w:pPr>
            <w:r>
              <w:t xml:space="preserve">Isotherms fitted (Langmuir/Freundlich); Langmuir reported as best correlation in this study</w:t>
            </w:r>
          </w:p>
        </w:tc>
      </w:tr>
      <w:tr>
        <w:tc>
          <w:tcPr/>
          <w:p>
            <w:pPr>
              <w:pStyle w:val="Compact"/>
            </w:pPr>
            <w:r>
              <w:t xml:space="preserve">Synechococcus elongatus (UTEX 2973)</w:t>
            </w:r>
          </w:p>
        </w:tc>
        <w:tc>
          <w:tcPr/>
          <w:p>
            <w:pPr>
              <w:pStyle w:val="Compact"/>
            </w:pPr>
            <w:r>
              <w:t xml:space="preserve">Synthetic REE solutions (single-metal screening at 10 mM; plus equimolar mixed-metal competition tests)</w:t>
            </w:r>
          </w:p>
        </w:tc>
        <w:tc>
          <w:tcPr/>
          <w:p>
            <w:pPr>
              <w:pStyle w:val="Compact"/>
            </w:pPr>
            <w:r>
              <w:t xml:space="preserve">REEs: Ce, Nd, Tb, La; competition tests: Ce in presence of Al, Pb, Ni, Zn (mixed-metal solutions)</w:t>
            </w:r>
          </w:p>
        </w:tc>
        <w:tc>
          <w:tcPr/>
          <w:p>
            <w:pPr>
              <w:pStyle w:val="Compact"/>
            </w:pPr>
            <w:r>
              <w:t xml:space="preserve">Not reported as % removal; reported as adsorption capacity (mg·g−1) across tested conditions</w:t>
            </w:r>
          </w:p>
        </w:tc>
        <w:tc>
          <w:tcPr/>
          <w:p>
            <w:pPr>
              <w:pStyle w:val="Compact"/>
            </w:pPr>
            <w:r>
              <w:t xml:space="preserve">Not mentioned in source.</w:t>
            </w:r>
          </w:p>
        </w:tc>
        <w:tc>
          <w:tcPr/>
          <w:p>
            <w:pPr>
              <w:pStyle w:val="Compact"/>
            </w:pPr>
            <w:r>
              <w:t xml:space="preserve">Not assessed against discharge limits (not mentioned in source).</w:t>
            </w:r>
          </w:p>
        </w:tc>
        <w:tc>
          <w:tcPr/>
          <w:p>
            <w:pPr>
              <w:pStyle w:val="Compact"/>
            </w:pPr>
            <w:r>
              <w:t xml:space="preserve">Mixed-metal competition reduces REE uptake; other metals can replace Ce at higher total concentrations</w:t>
            </w:r>
          </w:p>
        </w:tc>
        <w:tc>
          <w:tcPr/>
          <w:p>
            <w:pPr>
              <w:pStyle w:val="Compact"/>
            </w:pPr>
            <w:r>
              <w:t xml:space="preserve">Lyophilized (dried) biomass</w:t>
            </w:r>
          </w:p>
        </w:tc>
        <w:tc>
          <w:tcPr/>
          <w:p>
            <w:pPr>
              <w:pStyle w:val="Compact"/>
            </w:pPr>
            <w:r>
              <w:t xml:space="preserve">Batch tube incubation (2 mL solutions, shaking)</w:t>
            </w:r>
          </w:p>
        </w:tc>
        <w:tc>
          <w:tcPr/>
          <w:p>
            <w:pPr>
              <w:pStyle w:val="Compact"/>
            </w:pPr>
            <w:r>
              <w:t xml:space="preserve">Standard incubation 3 h; kinetics sampled 2–60 min</w:t>
            </w:r>
          </w:p>
        </w:tc>
        <w:tc>
          <w:tcPr/>
          <w:p>
            <w:pPr>
              <w:pStyle w:val="Compact"/>
            </w:pPr>
            <w:r>
              <w:t xml:space="preserve">10–20 mg in 2 mL (~5–10 g/L)</w:t>
            </w:r>
          </w:p>
        </w:tc>
        <w:tc>
          <w:tcPr/>
          <w:p>
            <w:pPr>
              <w:pStyle w:val="Compact"/>
            </w:pPr>
            <w:r>
              <w:t xml:space="preserve">Isotherms fitted (Langmuir/Freundlich); Langmuir reported as best correlation</w:t>
            </w:r>
          </w:p>
        </w:tc>
      </w:tr>
      <w:tr>
        <w:tc>
          <w:tcPr/>
          <w:p>
            <w:pPr>
              <w:pStyle w:val="Compact"/>
            </w:pPr>
            <w:r>
              <w:t xml:space="preserve">Calothrix brevissima (SAG 34.79)</w:t>
            </w:r>
          </w:p>
        </w:tc>
        <w:tc>
          <w:tcPr/>
          <w:p>
            <w:pPr>
              <w:pStyle w:val="Compact"/>
            </w:pPr>
            <w:r>
              <w:t xml:space="preserve">Synthetic single-metal solutions (Nd³⁺/Eu³⁺ and other metals as individual solutions; stock solutions 10 mM)</w:t>
            </w:r>
          </w:p>
        </w:tc>
        <w:tc>
          <w:tcPr/>
          <w:p>
            <w:pPr>
              <w:pStyle w:val="Compact"/>
            </w:pPr>
            <w:r>
              <w:t xml:space="preserve">Single-metal solutions of Nd³⁺, Eu³⁺ and others: Au³⁺, Pb²⁺, Pt⁴⁺, Fe²⁺, Cu²⁺, Ni²⁺ (10 mM stocks)</w:t>
            </w:r>
          </w:p>
        </w:tc>
        <w:tc>
          <w:tcPr/>
          <w:p>
            <w:pPr>
              <w:pStyle w:val="Compact"/>
            </w:pPr>
            <w:r>
              <w:t xml:space="preserve">Not reported as % removal; Nd sorption capacity reported (Qmax Nd ≈ 0.47±0.01 mmol·g−1)</w:t>
            </w:r>
          </w:p>
        </w:tc>
        <w:tc>
          <w:tcPr/>
          <w:p>
            <w:pPr>
              <w:pStyle w:val="Compact"/>
            </w:pPr>
            <w:r>
              <w:t xml:space="preserve">Not mentioned in source.</w:t>
            </w:r>
          </w:p>
        </w:tc>
        <w:tc>
          <w:tcPr/>
          <w:p>
            <w:pPr>
              <w:pStyle w:val="Compact"/>
            </w:pPr>
            <w:r>
              <w:t xml:space="preserve">Not assessed against discharge limits (not mentioned in source).</w:t>
            </w:r>
          </w:p>
        </w:tc>
        <w:tc>
          <w:tcPr/>
          <w:p>
            <w:pPr>
              <w:pStyle w:val="Compact"/>
            </w:pPr>
            <w:r>
              <w:t xml:space="preserve">Nickel identified as least effectively bound ion (potential limiting/competing contaminant in mixed wastewaters)</w:t>
            </w:r>
          </w:p>
        </w:tc>
        <w:tc>
          <w:tcPr/>
          <w:p>
            <w:pPr>
              <w:pStyle w:val="Compact"/>
            </w:pPr>
            <w:r>
              <w:t xml:space="preserve">Lyophilized, ground biomass (stored at −20°C)</w:t>
            </w:r>
          </w:p>
        </w:tc>
        <w:tc>
          <w:tcPr/>
          <w:p>
            <w:pPr>
              <w:pStyle w:val="Compact"/>
            </w:pPr>
            <w:r>
              <w:t xml:space="preserve">Batch sorption assays; biomass grown in shake flasks/bubble columns/15-L airlift reactor</w:t>
            </w:r>
          </w:p>
        </w:tc>
        <w:tc>
          <w:tcPr/>
          <w:p>
            <w:pPr>
              <w:pStyle w:val="Compact"/>
            </w:pPr>
            <w:r>
              <w:t xml:space="preserve">3 h (Nd experiments) and 24 h (some Qmax experiments) depending on test</w:t>
            </w:r>
          </w:p>
        </w:tc>
        <w:tc>
          <w:tcPr/>
          <w:p>
            <w:pPr>
              <w:pStyle w:val="Compact"/>
            </w:pPr>
            <w:r>
              <w:t xml:space="preserve">5–20 g/L tested; commonly 5 g/L</w:t>
            </w:r>
          </w:p>
        </w:tc>
        <w:tc>
          <w:tcPr/>
          <w:p>
            <w:pPr>
              <w:pStyle w:val="Compact"/>
            </w:pPr>
            <w:r>
              <w:t xml:space="preserve">Isotherm fitting used (Langmuir/Freundlich); Langmuir-like behavior reported for some species (kinetic models not reported)</w:t>
            </w:r>
          </w:p>
        </w:tc>
      </w:tr>
      <w:tr>
        <w:tc>
          <w:tcPr/>
          <w:p>
            <w:pPr>
              <w:pStyle w:val="Compact"/>
            </w:pPr>
            <w:r>
              <w:t xml:space="preserve">Chlorella kessleri (SAG 211-11g)</w:t>
            </w:r>
          </w:p>
        </w:tc>
        <w:tc>
          <w:tcPr/>
          <w:p>
            <w:pPr>
              <w:pStyle w:val="Compact"/>
            </w:pPr>
            <w:r>
              <w:t xml:space="preserve">Synthetic single-metal solutions (Nd³⁺/Eu³⁺ and other metals as individual solutions; stock solutions 10 mM)</w:t>
            </w:r>
          </w:p>
        </w:tc>
        <w:tc>
          <w:tcPr/>
          <w:p>
            <w:pPr>
              <w:pStyle w:val="Compact"/>
            </w:pPr>
            <w:r>
              <w:t xml:space="preserve">Single-metal solutions of Nd³⁺, Eu³⁺ and others: Au³⁺, Pb²⁺, Pt⁴⁺, Fe²⁺, Cu²⁺, Ni²⁺ (10 mM stocks)</w:t>
            </w:r>
          </w:p>
        </w:tc>
        <w:tc>
          <w:tcPr/>
          <w:p>
            <w:pPr>
              <w:pStyle w:val="Compact"/>
            </w:pPr>
            <w:r>
              <w:t xml:space="preserve">Not reported as % removal; Nd sorption capacity reported (Qmax Nd ≈ 0.37±0.04 mmol·g−1)</w:t>
            </w:r>
          </w:p>
        </w:tc>
        <w:tc>
          <w:tcPr/>
          <w:p>
            <w:pPr>
              <w:pStyle w:val="Compact"/>
            </w:pPr>
            <w:r>
              <w:t xml:space="preserve">Not mentioned in source.</w:t>
            </w:r>
          </w:p>
        </w:tc>
        <w:tc>
          <w:tcPr/>
          <w:p>
            <w:pPr>
              <w:pStyle w:val="Compact"/>
            </w:pPr>
            <w:r>
              <w:t xml:space="preserve">Not assessed against discharge limits (not mentioned in source).</w:t>
            </w:r>
          </w:p>
        </w:tc>
        <w:tc>
          <w:tcPr/>
          <w:p>
            <w:pPr>
              <w:pStyle w:val="Compact"/>
            </w:pPr>
            <w:r>
              <w:t xml:space="preserve">Nickel identified as least effectively bound ion; common wastewater metals (Pb/Fe/Cu/Ni) noted as potentially problematic competitors requiring pre-removal in application contexts</w:t>
            </w:r>
          </w:p>
        </w:tc>
        <w:tc>
          <w:tcPr/>
          <w:p>
            <w:pPr>
              <w:pStyle w:val="Compact"/>
            </w:pPr>
            <w:r>
              <w:t xml:space="preserve">Lyophilized, ground biomass (stored at −20°C)</w:t>
            </w:r>
          </w:p>
        </w:tc>
        <w:tc>
          <w:tcPr/>
          <w:p>
            <w:pPr>
              <w:pStyle w:val="Compact"/>
            </w:pPr>
            <w:r>
              <w:t xml:space="preserve">Batch sorption assays; biomass grown in shake flasks/bubble columns/15-L airlift reactor</w:t>
            </w:r>
          </w:p>
        </w:tc>
        <w:tc>
          <w:tcPr/>
          <w:p>
            <w:pPr>
              <w:pStyle w:val="Compact"/>
            </w:pPr>
            <w:r>
              <w:t xml:space="preserve">3 h (Nd experiments) and 24 h (some Qmax experiments) depending on test</w:t>
            </w:r>
          </w:p>
        </w:tc>
        <w:tc>
          <w:tcPr/>
          <w:p>
            <w:pPr>
              <w:pStyle w:val="Compact"/>
            </w:pPr>
            <w:r>
              <w:t xml:space="preserve">5–20 g/L tested; commonly 5 g/L</w:t>
            </w:r>
          </w:p>
        </w:tc>
        <w:tc>
          <w:tcPr/>
          <w:p>
            <w:pPr>
              <w:pStyle w:val="Compact"/>
            </w:pPr>
            <w:r>
              <w:t xml:space="preserve">Nd isotherm for Chlorella kessleri better fitted with Freundlich isotherm (kinetic models not reported)</w:t>
            </w:r>
          </w:p>
        </w:tc>
      </w:tr>
      <w:tr>
        <w:tc>
          <w:tcPr/>
          <w:p>
            <w:pPr>
              <w:pStyle w:val="Compact"/>
            </w:pPr>
            <w:r>
              <w:t xml:space="preserve">Spirulina platensis</w:t>
            </w:r>
          </w:p>
        </w:tc>
        <w:tc>
          <w:tcPr/>
          <w:p>
            <w:pPr>
              <w:pStyle w:val="Compact"/>
            </w:pPr>
            <w:r>
              <w:t xml:space="preserve">Synthetic single-metal dysprosium solutions (Dy(NO3)2·6H2O; batch lab experiments)</w:t>
            </w:r>
          </w:p>
        </w:tc>
        <w:tc>
          <w:tcPr/>
          <w:p>
            <w:pPr>
              <w:pStyle w:val="Compact"/>
            </w:pPr>
            <w:r>
              <w:t xml:space="preserve">Dy (10–100 mg/L)</w:t>
            </w:r>
          </w:p>
        </w:tc>
        <w:tc>
          <w:tcPr/>
          <w:p>
            <w:pPr>
              <w:pStyle w:val="Compact"/>
            </w:pPr>
            <w:r>
              <w:t xml:space="preserve">Max Dy removal 50% at pH 3.0 during 1 h; fast initial removal 38% within 5 min</w:t>
            </w:r>
          </w:p>
        </w:tc>
        <w:tc>
          <w:tcPr/>
          <w:p>
            <w:pPr>
              <w:pStyle w:val="Compact"/>
            </w:pPr>
            <w:r>
              <w:t xml:space="preserve">Not mentioned in source.</w:t>
            </w:r>
          </w:p>
        </w:tc>
        <w:tc>
          <w:tcPr/>
          <w:p>
            <w:pPr>
              <w:pStyle w:val="Compact"/>
            </w:pPr>
            <w:r>
              <w:t xml:space="preserve">Not assessed against discharge limits (not mentioned in source).</w:t>
            </w:r>
          </w:p>
        </w:tc>
        <w:tc>
          <w:tcPr/>
          <w:p>
            <w:pPr>
              <w:pStyle w:val="Compact"/>
            </w:pPr>
            <w:r>
              <w:t xml:space="preserve">pH strongly affects removal capacity; increased pH beyond optimum reduced removal capacity</w:t>
            </w:r>
          </w:p>
        </w:tc>
        <w:tc>
          <w:tcPr/>
          <w:p>
            <w:pPr>
              <w:pStyle w:val="Compact"/>
            </w:pPr>
            <w:r>
              <w:t xml:space="preserve">Dried, homogenized biomass (105°C, 24 h; non-living)</w:t>
            </w:r>
          </w:p>
        </w:tc>
        <w:tc>
          <w:tcPr/>
          <w:p>
            <w:pPr>
              <w:pStyle w:val="Compact"/>
            </w:pPr>
            <w:r>
              <w:t xml:space="preserve">Batch experiments (stirred, 50 mL solution)</w:t>
            </w:r>
          </w:p>
        </w:tc>
        <w:tc>
          <w:tcPr/>
          <w:p>
            <w:pPr>
              <w:pStyle w:val="Compact"/>
            </w:pPr>
            <w:r>
              <w:t xml:space="preserve">5–60 min emphasized (max removal reported at 60 min; rapid uptake within 5 min)</w:t>
            </w:r>
          </w:p>
        </w:tc>
        <w:tc>
          <w:tcPr/>
          <w:p>
            <w:pPr>
              <w:pStyle w:val="Compact"/>
            </w:pPr>
            <w:r>
              <w:t xml:space="preserve">0.5 g biosorbent in 50 mL (10 g/L)</w:t>
            </w:r>
          </w:p>
        </w:tc>
        <w:tc>
          <w:tcPr/>
          <w:p>
            <w:pPr>
              <w:pStyle w:val="Compact"/>
            </w:pPr>
            <w:r>
              <w:t xml:space="preserve">Not supported in available quote set beyond qualitative kinetics statement; model details not retained here</w:t>
            </w:r>
          </w:p>
        </w:tc>
      </w:tr>
    </w:tbl>
    <w:bookmarkEnd w:id="22"/>
    <w:bookmarkStart w:id="32" w:name="chapter-2"/>
    <w:p>
      <w:pPr>
        <w:pStyle w:val="Heading2"/>
      </w:pPr>
      <w:r>
        <w:t xml:space="preserve">Chapter 2</w:t>
      </w:r>
    </w:p>
    <w:bookmarkStart w:id="23" w:name="X65c8abdee8b76ed945523d2bc6662f76dbcf69c"/>
    <w:p>
      <w:pPr>
        <w:pStyle w:val="Heading3"/>
      </w:pPr>
      <w:r>
        <w:t xml:space="preserve">1. State of evidence</w:t>
      </w:r>
    </w:p>
    <w:p>
      <w:pPr>
        <w:pStyle w:val="FirstParagraph"/>
      </w:pPr>
      <w:r>
        <w:t xml:space="preserve">The directly relevant evidence base for magnet-derived leachate treatment using microalgae biosorption is thin in the retrieved excerpts, with only a small subset using aqueous solutions explicitly derived from Nd–Fe–B magnets and tested with microalgal biomass. In those magnet-derived studies, the biosorbent was dried</w:t>
      </w:r>
      <w:r>
        <w:t xml:space="preserve"> </w:t>
      </w:r>
      <w:r>
        <w:rPr>
          <w:i/>
          <w:iCs/>
        </w:rPr>
        <w:t xml:space="preserve">Chlorella vulgaris</w:t>
      </w:r>
      <w:r>
        <w:t xml:space="preserve"> </w:t>
      </w:r>
      <w:r>
        <w:t xml:space="preserve">biomass and experiments were performed in batch flasks and also in continuous sorption configurations.</w:t>
      </w:r>
    </w:p>
    <w:p>
      <w:pPr>
        <w:pStyle w:val="BodyText"/>
      </w:pPr>
      <w:r>
        <w:t xml:space="preserve">Most other included studies use synthetic single-metal or synthetic multi-metal solutions (typically REE nitrate/sulfate salts in defined media) and are therefore not faithful analogs of full-composition NdFeB manufacturing leachates that include Fe-dominant matrices and process chemicals. A smaller subset uses real industrial wastewater (non-magnet) matrices, showing that microalgal biosorption has been tested in complex real waters, but not specifically NdFeB manufacturing wastewaters in the provided excerpts.</w:t>
      </w:r>
    </w:p>
    <w:p>
      <w:pPr>
        <w:pStyle w:val="BodyText"/>
      </w:pPr>
      <w:r>
        <w:t xml:space="preserve">The table below is an evidence map (not a performance ranking) that highlights which retrieved studies most closely resemble NdFeB-leachate compliance treatment.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category</w:t>
            </w:r>
          </w:p>
        </w:tc>
        <w:tc>
          <w:tcPr/>
          <w:p>
            <w:pPr>
              <w:pStyle w:val="Compact"/>
            </w:pPr>
            <w:r>
              <w:t xml:space="preserve">Example species</w:t>
            </w:r>
          </w:p>
        </w:tc>
        <w:tc>
          <w:tcPr/>
          <w:p>
            <w:pPr>
              <w:pStyle w:val="Compact"/>
            </w:pPr>
            <w:r>
              <w:t xml:space="preserve">Matrix type in excerpt</w:t>
            </w:r>
          </w:p>
        </w:tc>
        <w:tc>
          <w:tcPr/>
          <w:p>
            <w:pPr>
              <w:pStyle w:val="Compact"/>
            </w:pPr>
            <w:r>
              <w:t xml:space="preserve">Why it matters for NdFeB wastewater compliance</w:t>
            </w:r>
          </w:p>
        </w:tc>
      </w:tr>
      <w:tr>
        <w:tc>
          <w:tcPr/>
          <w:p>
            <w:pPr>
              <w:pStyle w:val="Compact"/>
            </w:pPr>
            <w:r>
              <w:t xml:space="preserve">Magnet-derived leachate biosorption</w:t>
            </w:r>
          </w:p>
        </w:tc>
        <w:tc>
          <w:tcPr/>
          <w:p>
            <w:pPr>
              <w:pStyle w:val="Compact"/>
            </w:pPr>
            <w:r>
              <w:rPr>
                <w:i/>
                <w:iCs/>
              </w:rPr>
              <w:t xml:space="preserve">Chlorella vulgaris</w:t>
            </w:r>
          </w:p>
        </w:tc>
        <w:tc>
          <w:tcPr/>
          <w:p>
            <w:pPr>
              <w:pStyle w:val="Compact"/>
            </w:pPr>
            <w:r>
              <w:t xml:space="preserve">Aqueous solution derived from real Nd–Fe–B magnets; selective leaching used such that Fe/B/Dy/Co were below detection in prepared solutions</w:t>
            </w:r>
          </w:p>
        </w:tc>
        <w:tc>
          <w:tcPr/>
          <w:p>
            <w:pPr>
              <w:pStyle w:val="Compact"/>
            </w:pPr>
            <w:r>
              <w:t xml:space="preserve">Direct link to magnet source material, but not representative of Fe-rich leachates because Fe and other co-contaminants were removed in solution preparation</w:t>
            </w:r>
          </w:p>
        </w:tc>
      </w:tr>
      <w:tr>
        <w:tc>
          <w:tcPr/>
          <w:p>
            <w:pPr>
              <w:pStyle w:val="Compact"/>
            </w:pPr>
            <w:r>
              <w:t xml:space="preserve">Synthetic multi-metal REE + base metals</w:t>
            </w:r>
          </w:p>
        </w:tc>
        <w:tc>
          <w:tcPr/>
          <w:p>
            <w:pPr>
              <w:pStyle w:val="Compact"/>
            </w:pPr>
            <w:r>
              <w:rPr>
                <w:i/>
                <w:iCs/>
              </w:rPr>
              <w:t xml:space="preserve">Galdieria sulphuraria</w:t>
            </w:r>
          </w:p>
        </w:tc>
        <w:tc>
          <w:tcPr/>
          <w:p>
            <w:pPr>
              <w:pStyle w:val="Compact"/>
            </w:pPr>
            <w:r>
              <w:t xml:space="preserve">5 ppm each of Cu, La, Nd, Dy at different pH</w:t>
            </w:r>
          </w:p>
        </w:tc>
        <w:tc>
          <w:tcPr/>
          <w:p>
            <w:pPr>
              <w:pStyle w:val="Compact"/>
            </w:pPr>
            <w:r>
              <w:t xml:space="preserve">Demonstrates pH sensitivity and multi-metal effects for REE + Cu, but lacks Fe/B and industrial organics</w:t>
            </w:r>
          </w:p>
        </w:tc>
      </w:tr>
      <w:tr>
        <w:tc>
          <w:tcPr/>
          <w:p>
            <w:pPr>
              <w:pStyle w:val="Compact"/>
            </w:pPr>
            <w:r>
              <w:t xml:space="preserve">Synthetic REE salts in growth media</w:t>
            </w:r>
          </w:p>
        </w:tc>
        <w:tc>
          <w:tcPr/>
          <w:p>
            <w:pPr>
              <w:pStyle w:val="Compact"/>
            </w:pPr>
            <w:r>
              <w:rPr>
                <w:i/>
                <w:iCs/>
              </w:rPr>
              <w:t xml:space="preserve">Anabaena</w:t>
            </w:r>
            <w:r>
              <w:t xml:space="preserve"> </w:t>
            </w:r>
            <w:r>
              <w:t xml:space="preserve">spp.</w:t>
            </w:r>
          </w:p>
        </w:tc>
        <w:tc>
          <w:tcPr/>
          <w:p>
            <w:pPr>
              <w:pStyle w:val="Compact"/>
            </w:pPr>
            <w:r>
              <w:t xml:space="preserve">REE(NO3)3·6H2O salts in modified BBM (Nd, Sm, Eu concentrations reported)</w:t>
            </w:r>
          </w:p>
        </w:tc>
        <w:tc>
          <w:tcPr/>
          <w:p>
            <w:pPr>
              <w:pStyle w:val="Compact"/>
            </w:pPr>
            <w:r>
              <w:t xml:space="preserve">Shows rapid REE uptake in culture media, but does not represent industrial leachate chemistry (e.g., Fe-dominant matrices and chelators/coolants are absent in the excerpted conditions)</w:t>
            </w:r>
          </w:p>
        </w:tc>
      </w:tr>
    </w:tbl>
    <w:bookmarkEnd w:id="23"/>
    <w:bookmarkStart w:id="24" w:name="X96a73cc2962138a300a9d4a7883197e6af05ecd"/>
    <w:p>
      <w:pPr>
        <w:pStyle w:val="Heading3"/>
      </w:pPr>
      <w:r>
        <w:t xml:space="preserve">2. REE biosorption performance</w:t>
      </w:r>
    </w:p>
    <w:p>
      <w:pPr>
        <w:pStyle w:val="FirstParagraph"/>
      </w:pPr>
      <w:r>
        <w:t xml:space="preserve">For neodymium (Nd), dried</w:t>
      </w:r>
      <w:r>
        <w:t xml:space="preserve"> </w:t>
      </w:r>
      <w:r>
        <w:rPr>
          <w:i/>
          <w:iCs/>
        </w:rPr>
        <w:t xml:space="preserve">Chlorella vulgaris</w:t>
      </w:r>
      <w:r>
        <w:t xml:space="preserve"> </w:t>
      </w:r>
      <w:r>
        <w:t xml:space="preserve">showed high uptake capacities when tested on magnet-derived aqueous solutions, with Nd kinetics described as rapid (equilibrium within ~30 minutes) and with “more than 90%” of biosorption occurring before equilibrium. In the same Nd–</w:t>
      </w:r>
      <w:r>
        <w:rPr>
          <w:i/>
          <w:iCs/>
        </w:rPr>
        <w:t xml:space="preserve">C. vulgaris</w:t>
      </w:r>
      <w:r>
        <w:t xml:space="preserve"> </w:t>
      </w:r>
      <w:r>
        <w:t xml:space="preserve">biosorption study, the Nd sorption kinetics fit a pseudo-second-order model (R²&gt;0.99) and the isotherm fit a Langmuir model with qmax 188.68 mg/g (KL 0.029 L/mg).</w:t>
      </w:r>
    </w:p>
    <w:p>
      <w:pPr>
        <w:pStyle w:val="BodyText"/>
      </w:pPr>
      <w:r>
        <w:t xml:space="preserve">A separate magnet-derived “mixed leachate solution” study also used dried</w:t>
      </w:r>
      <w:r>
        <w:t xml:space="preserve"> </w:t>
      </w:r>
      <w:r>
        <w:rPr>
          <w:i/>
          <w:iCs/>
        </w:rPr>
        <w:t xml:space="preserve">Chlorella vulgaris</w:t>
      </w:r>
      <w:r>
        <w:t xml:space="preserve"> </w:t>
      </w:r>
      <w:r>
        <w:t xml:space="preserve">and reported a maximum Nd uptake of q = 157.21 mg/g at pH 5 with 0.5 g/L biosorbent dosage (initial Nd 250 mg/L). That work explicitly noted that slow Nd sorption kinetics limited performance in continuous assays relative to batch, underscoring that hydraulic/contact-time constraints are likely to matter for compliance operations.</w:t>
      </w:r>
    </w:p>
    <w:p>
      <w:pPr>
        <w:pStyle w:val="BodyText"/>
      </w:pPr>
      <w:r>
        <w:t xml:space="preserve">Other taxa (including cyanobacteria) show very fast REE removal in defined media. In modified BBM with REE nitrate salts,</w:t>
      </w:r>
      <w:r>
        <w:t xml:space="preserve"> </w:t>
      </w:r>
      <w:r>
        <w:rPr>
          <w:i/>
          <w:iCs/>
        </w:rPr>
        <w:t xml:space="preserve">Anabaena</w:t>
      </w:r>
      <w:r>
        <w:t xml:space="preserve"> </w:t>
      </w:r>
      <w:r>
        <w:t xml:space="preserve">sp. (SAG 12.82) achieved almost complete (&gt;99%) biosorption of trivalent REEs within the first hour, and specifically reported &gt;99% Nd removal within 30 minutes after metal-salt addition (with initial Nd³⁺ 0.103 mM). For europium, the same study reported a residual concentration of 76 ppb after more than one day, indicating persistence of a small dissolved fraction after extended contact in that system.</w:t>
      </w:r>
    </w:p>
    <w:p>
      <w:pPr>
        <w:pStyle w:val="BodyText"/>
      </w:pPr>
      <w:r>
        <w:t xml:space="preserve">Screening-style adsorption tests with lyophilized cyanobacterial biomass reported high REE capacities under acidic-to-near-neutral conditions. For example,</w:t>
      </w:r>
      <w:r>
        <w:t xml:space="preserve"> </w:t>
      </w:r>
      <w:r>
        <w:rPr>
          <w:i/>
          <w:iCs/>
        </w:rPr>
        <w:t xml:space="preserve">Nostoc</w:t>
      </w:r>
      <w:r>
        <w:t xml:space="preserve"> </w:t>
      </w:r>
      <w:r>
        <w:t xml:space="preserve">sp. 20.02 was reported to have the highest adsorption capacity (84.2–91.5 mg g−1) in a screening study covering Ce, Nd, Tb, and La (single-element tests) and also included mixed-metal competition tests.</w:t>
      </w:r>
    </w:p>
    <w:p>
      <w:pPr>
        <w:pStyle w:val="BodyText"/>
      </w:pPr>
      <w:r>
        <w:t xml:space="preserve">However, multi-ion competition can significantly reduce REE binding compared with single-element tests. In mixed-metal solutions, cerium adsorption capacity dropped significantly relative to single-element solutions, and at a metal concentration of 4 mM other metals (Al, Pb, Ni, Zn) “seemed to replace cerium” on binding sites as Ce binding capacity dropped across tested cyanobacterial biomasses.</w:t>
      </w:r>
    </w:p>
    <w:bookmarkEnd w:id="24"/>
    <w:bookmarkStart w:id="25" w:name="X829f5628c726230f5fe921e5d43db41a8ecbb45"/>
    <w:p>
      <w:pPr>
        <w:pStyle w:val="Heading3"/>
      </w:pPr>
      <w:r>
        <w:t xml:space="preserve">3. Iron interference</w:t>
      </w:r>
    </w:p>
    <w:p>
      <w:pPr>
        <w:pStyle w:val="FirstParagraph"/>
      </w:pPr>
      <w:r>
        <w:t xml:space="preserve">The most directly NdFeB-linked biosorption study in the excerpts highlights a central difficulty for realistic magnet leachates: iron chemistry changes with pH, and Fe can precipitate as pH rises, altering competitive interactions and potentially confounding adsorption/uptake measurements. That study described that as pH increased from 2 to 5, iron ions started to precipitate, which “leads to a decrease in the competition,” but it also stated that a selective leaching procedure was applied to prepare an aqueous solution without iron from Nd–Fe–B magnets. Consistent with that, it reported a magnet-derived solution (pH 2.4) with “no iron detected,” and analysis indicated Fe (and also B, Dy, Co) were below detection limits in the prepared solutions due to selective leaching.</w:t>
      </w:r>
    </w:p>
    <w:bookmarkEnd w:id="25"/>
    <w:bookmarkStart w:id="26" w:name="X8616a3d904a8f736ba813bc8b8e1844408568ef"/>
    <w:p>
      <w:pPr>
        <w:pStyle w:val="Heading3"/>
      </w:pPr>
      <w:r>
        <w:t xml:space="preserve">4. Boron</w:t>
      </w:r>
    </w:p>
    <w:p>
      <w:pPr>
        <w:pStyle w:val="FirstParagraph"/>
      </w:pPr>
      <w:r>
        <w:t xml:space="preserve">Boron behavior in multi-contaminant waters appears consistently challenging in the retrieved excerpts. In a synthetic multi-contaminant mixture, boron removal efficiencies decreased sharply when moving from monometallic to multimetallic solutions, including a drop from 25.6% to 0.2% for</w:t>
      </w:r>
      <w:r>
        <w:t xml:space="preserve"> </w:t>
      </w:r>
      <w:r>
        <w:rPr>
          <w:i/>
          <w:iCs/>
        </w:rPr>
        <w:t xml:space="preserve">Chlamydomonas reinhardtii</w:t>
      </w:r>
      <w:r>
        <w:t xml:space="preserve"> </w:t>
      </w:r>
      <w:r>
        <w:t xml:space="preserve">and from 21.4% to 6.6% for</w:t>
      </w:r>
      <w:r>
        <w:t xml:space="preserve"> </w:t>
      </w:r>
      <w:r>
        <w:rPr>
          <w:i/>
          <w:iCs/>
        </w:rPr>
        <w:t xml:space="preserve">Chlorella vulgaris</w:t>
      </w:r>
      <w:r>
        <w:t xml:space="preserve"> </w:t>
      </w:r>
      <w:r>
        <w:t xml:space="preserve">under multimetal conditions, with a similar drop for</w:t>
      </w:r>
      <w:r>
        <w:t xml:space="preserve"> </w:t>
      </w:r>
      <w:r>
        <w:rPr>
          <w:i/>
          <w:iCs/>
        </w:rPr>
        <w:t xml:space="preserve">Scenedesmus almeriensis</w:t>
      </w:r>
      <w:r>
        <w:t xml:space="preserve"> </w:t>
      </w:r>
      <w:r>
        <w:t xml:space="preserve">(22.9% to 3.6%). A related extract emphasizes that B removal decreased “remarkably” in multimetallic solutions, down to 0.2% in</w:t>
      </w:r>
      <w:r>
        <w:t xml:space="preserve"> </w:t>
      </w:r>
      <w:r>
        <w:rPr>
          <w:i/>
          <w:iCs/>
        </w:rPr>
        <w:t xml:space="preserve">C. reinhardtii</w:t>
      </w:r>
      <w:r>
        <w:t xml:space="preserve"> </w:t>
      </w:r>
      <w:r>
        <w:t xml:space="preserve">(with exceptions for a Chlorophyceae isolate).</w:t>
      </w:r>
    </w:p>
    <w:bookmarkEnd w:id="26"/>
    <w:bookmarkStart w:id="27" w:name="X541fa111b745c481e39ae488a8bb2562970570b"/>
    <w:p>
      <w:pPr>
        <w:pStyle w:val="Heading3"/>
      </w:pPr>
      <w:r>
        <w:t xml:space="preserve">5. Co-contaminant effects</w:t>
      </w:r>
    </w:p>
    <w:p>
      <w:pPr>
        <w:pStyle w:val="FirstParagraph"/>
      </w:pPr>
      <w:r>
        <w:t xml:space="preserve">Direct evidence on NdFeB-specific co-contaminants (metalworking fluids, emulsified oils, surfactants, and chelating agents such as EDTA/NTA) is not present in the retrieved excerpts used for the evidence table; instead, several studies use clean synthetic metal-salt systems with mineral acids/bases for pH control (e.g., Dy(NO3)2·6H2O with HNO3/NaOH).</w:t>
      </w:r>
    </w:p>
    <w:bookmarkEnd w:id="27"/>
    <w:bookmarkStart w:id="28" w:name="X55923427cb6081dde752d041e28d86335c35958"/>
    <w:p>
      <w:pPr>
        <w:pStyle w:val="Heading3"/>
      </w:pPr>
      <w:r>
        <w:t xml:space="preserve">6. Regulatory compliance assessment</w:t>
      </w:r>
    </w:p>
    <w:p>
      <w:pPr>
        <w:pStyle w:val="FirstParagraph"/>
      </w:pPr>
      <w:r>
        <w:t xml:space="preserve">The retrieved excerpts rarely frame results in terms of discharge permitting, and instead emphasize uptake capacity, percent removal, and kinetic/isotherm fits (e.g., pseudo-second-order kinetics and Langmuir isotherms). Numeric discharge limits compiled elsewhere in this package include US EPA 40 CFR Part 433 limits for Cu/Ni/Cr/Zn/TSS/O&amp;G (daily max and monthly average values shown in extracted rows) and EU STM BREF ranges for multiple parameters (B, Cu, Ni, Al, total Cr, Zn, COD, hydrocarbons, suspended solids).</w:t>
      </w:r>
    </w:p>
    <w:bookmarkEnd w:id="28"/>
    <w:bookmarkStart w:id="29" w:name="X467818c30e13170d4859cc1cd4be1b7f2e6430c"/>
    <w:p>
      <w:pPr>
        <w:pStyle w:val="Heading3"/>
      </w:pPr>
      <w:r>
        <w:t xml:space="preserve">7. Process configuration and scale</w:t>
      </w:r>
    </w:p>
    <w:p>
      <w:pPr>
        <w:pStyle w:val="FirstParagraph"/>
      </w:pPr>
      <w:r>
        <w:t xml:space="preserve">Across studies, biosorption was primarily tested in batch systems, with contact times from minutes to hours and with dried biomass often used to emphasize surface binding. In the magnet-derived Nd biosorption study, experiments were conducted in 500 mL Erlenmeyer flasks using oven-dried biomass, with dry biosorbent dosages ranging from 0.5 to 3 g/L and contact up to 90 minutes (with equilibrium within ~30 minutes). Continuous operation is directly relevant to wastewater compliance, and one magnet-derived leachate study explicitly reported Nd removal in both batch and continuous sorption systems using dried</w:t>
      </w:r>
      <w:r>
        <w:t xml:space="preserve"> </w:t>
      </w:r>
      <w:r>
        <w:rPr>
          <w:i/>
          <w:iCs/>
        </w:rPr>
        <w:t xml:space="preserve">Chlorella vulgaris</w:t>
      </w:r>
      <w:r>
        <w:t xml:space="preserve"> </w:t>
      </w:r>
      <w:r>
        <w:t xml:space="preserve">biomass, while also warning that slow kinetics reduced capacity under continuous conditions compared to batch assays.</w:t>
      </w:r>
    </w:p>
    <w:bookmarkEnd w:id="29"/>
    <w:bookmarkStart w:id="30" w:name="Xc90dc3a6f56146e5f76f29cc3e8a91e58251aca"/>
    <w:p>
      <w:pPr>
        <w:pStyle w:val="Heading3"/>
      </w:pPr>
      <w:r>
        <w:t xml:space="preserve">8. Critical evidence gaps</w:t>
      </w:r>
    </w:p>
    <w:p>
      <w:pPr>
        <w:pStyle w:val="FirstParagraph"/>
      </w:pPr>
      <w:r>
        <w:t xml:space="preserve">The excerpts show proof-of-principle that microalgae can bind/accumulate REEs rapidly under controlled conditions, but they also show that the only NdFeB-origin dataset in this set used selective leaching that removed Fe/B/Dy/Co to below detection, meaning the Fe-dominant competitive binding and Fe(OH)3 co-precipitation regime expected in realistic magnet wastewaters was not tested in that “magnet-derived” aqueous matrix. Multiple additional sources state, more generally, that no peer-reviewed study has tested microalgae against the full chemical matrix of NdFeB manufacturing leachate, reinforcing this gap at the application level.</w:t>
      </w:r>
    </w:p>
    <w:bookmarkEnd w:id="30"/>
    <w:bookmarkStart w:id="31" w:name="X026c02fc41bf72c610fa0ed61e62be9e59bc24c"/>
    <w:p>
      <w:pPr>
        <w:pStyle w:val="Heading3"/>
      </w:pPr>
      <w:r>
        <w:t xml:space="preserve">9. Comparison to conventional treatment</w:t>
      </w:r>
    </w:p>
    <w:p>
      <w:pPr>
        <w:pStyle w:val="FirstParagraph"/>
      </w:pPr>
      <w:r>
        <w:t xml:space="preserve">Conventional precipitation is widely described as mature and effective for heavy metal removal, but with sludge-generation drawbacks. A review extract reports precipitation removal efficiencies on the order of ~95–99% for most heavy metals in wastewater, while multiple sources emphasize large slurry/sludge production and difficult dewatering for hydroxide sludges.</w:t>
      </w:r>
    </w:p>
    <w:bookmarkEnd w:id="31"/>
    <w:bookmarkEnd w:id="32"/>
    <w:bookmarkStart w:id="37" w:name="chapter-3"/>
    <w:p>
      <w:pPr>
        <w:pStyle w:val="Heading2"/>
      </w:pPr>
      <w:r>
        <w:t xml:space="preserve">Chapter 3</w:t>
      </w:r>
    </w:p>
    <w:p>
      <w:pPr>
        <w:pStyle w:val="FirstParagraph"/>
      </w:pPr>
      <w:r>
        <w:t xml:space="preserve">This chapter reproduces the Chinese/regulatory and protocol artifact in consolidated form.</w:t>
      </w:r>
    </w:p>
    <w:bookmarkStart w:id="33" w:name="summary-1"/>
    <w:p>
      <w:pPr>
        <w:pStyle w:val="Heading3"/>
      </w:pPr>
      <w:r>
        <w:t xml:space="preserve">Summary</w:t>
      </w:r>
    </w:p>
    <w:p>
      <w:pPr>
        <w:pStyle w:val="FirstParagraph"/>
      </w:pPr>
      <w:r>
        <w:t xml:space="preserve">The extracted evidence base contains strong laboratory proof that microalgae and cyanobacteria can sorb/accumulate REEs in controlled conditions, but the dataset remains thin for the central compliance question of meeting numeric discharge limits in real NdFeB leachates that retain the full Fe–B–Co–Ni–Cu–Al matrix and process organics; this limitation is also reflected in broader statements that no peer-reviewed study has tested microalgae against the full chemical matrix of NdFeB manufacturing leachate. Across extracted multi-contaminant studies that do report boron behavior, boron is consistently weak in mixed-metal systems (e.g., down to ~0.2%), implying it is likely rate-limiting unless a separate boron-focused polishing step is added.</w:t>
      </w:r>
    </w:p>
    <w:bookmarkEnd w:id="33"/>
    <w:bookmarkStart w:id="34" w:name="part-1"/>
    <w:p>
      <w:pPr>
        <w:pStyle w:val="Heading3"/>
      </w:pPr>
      <w:r>
        <w:t xml:space="preserve">Part 1</w:t>
      </w:r>
    </w:p>
    <w:p>
      <w:pPr>
        <w:pStyle w:val="FirstParagraph"/>
      </w:pPr>
      <w:r>
        <w:t xml:space="preserve">Chinese-language and China-affiliated sources retrieved in the workflow did not yield a full, NdFeB shop-floor wastewater composition table (Fe, B, REEs, Co/Ni/Cu/Al, plus COD/oils/chelators) within the provided extracts, and China-specific biological treatment material in the extracted snippets is dominated by non-NdFeB contexts or by patents focused on chemical recovery rather than biological polishing for discharge compliance.</w:t>
      </w:r>
    </w:p>
    <w:bookmarkEnd w:id="34"/>
    <w:bookmarkStart w:id="35" w:name="part-2"/>
    <w:p>
      <w:pPr>
        <w:pStyle w:val="Heading3"/>
      </w:pPr>
      <w:r>
        <w:t xml:space="preserve">Part 2</w:t>
      </w:r>
    </w:p>
    <w:p>
      <w:pPr>
        <w:pStyle w:val="FirstParagraph"/>
      </w:pPr>
      <w:r>
        <w:t xml:space="preserve">The discharge-limit snippets available in the extracted materials include US EPA 40 CFR Part 433 rows for Cu, Ni, Zn, total Cr, TSS, and oil &amp; grease (daily max and monthly average) and an EU STM BREF table snippet listing ranges for B, Cu, Ni, Al, total Cr, Zn, COD, total hydrocarbons, and suspended solids, specified as daily composites unfiltered prior to analysis taken after treatment and before any dilution.</w:t>
      </w:r>
    </w:p>
    <w:bookmarkEnd w:id="35"/>
    <w:bookmarkStart w:id="36" w:name="part-3"/>
    <w:p>
      <w:pPr>
        <w:pStyle w:val="Heading3"/>
      </w:pPr>
      <w:r>
        <w:t xml:space="preserve">Part 3</w:t>
      </w:r>
    </w:p>
    <w:p>
      <w:pPr>
        <w:pStyle w:val="FirstParagraph"/>
      </w:pPr>
      <w:r>
        <w:t xml:space="preserve">A compliance-oriented program must begin with stream-resolved characterization (metals + COD/TSS/oils and relevant additives) and then use screening/optimization designs that treat residual mg/L versus discharge limits as the core response variables, because regulatory targets are concentration-based.</w:t>
      </w:r>
    </w:p>
    <w:bookmarkEnd w:id="36"/>
    <w:bookmarkEnd w:id="37"/>
    <w:bookmarkStart w:id="41" w:name="chapter-4"/>
    <w:p>
      <w:pPr>
        <w:pStyle w:val="Heading2"/>
      </w:pPr>
      <w:r>
        <w:t xml:space="preserve">Chapter 4</w:t>
      </w:r>
    </w:p>
    <w:p>
      <w:pPr>
        <w:pStyle w:val="FirstParagraph"/>
      </w:pPr>
      <w:r>
        <w:t xml:space="preserve">This chapter reproduces the reduced-design and go/no-go logic, together with a comparative cost-effectiveness scaffold.</w:t>
      </w:r>
    </w:p>
    <w:bookmarkStart w:id="38" w:name="part-1-1"/>
    <w:p>
      <w:pPr>
        <w:pStyle w:val="Heading3"/>
      </w:pPr>
      <w:r>
        <w:t xml:space="preserve">Part 1</w:t>
      </w:r>
    </w:p>
    <w:p>
      <w:pPr>
        <w:pStyle w:val="FirstParagraph"/>
      </w:pPr>
      <w:r>
        <w:t xml:space="preserve">Definitive screening designs are described as three-level designs where run count relates to the number of variables (k), e.g., N = 2k + 1 or 2k + 3, and JMP guidance states that for odd k the minimum number of runs in the screening design is 2k + 3. DSDs are further described as being able to estimate main effects, interactions, and quadratic effects with a low number of experiments, and as having good properties for finding significant linear effects even with active second-order effects.</w:t>
      </w:r>
    </w:p>
    <w:bookmarkEnd w:id="38"/>
    <w:bookmarkStart w:id="39" w:name="part-2-1"/>
    <w:p>
      <w:pPr>
        <w:pStyle w:val="Heading3"/>
      </w:pPr>
      <w:r>
        <w:t xml:space="preserve">Part 2</w:t>
      </w:r>
    </w:p>
    <w:p>
      <w:pPr>
        <w:pStyle w:val="FirstParagraph"/>
      </w:pPr>
      <w:r>
        <w:t xml:space="preserve">The go/no-go logic is structured around staged gates where early viability and single-metal feasibility precede multi-metal compliance feasibility, recognizing that high percent removal can still leave residual concentrations above strict BAT-AEL/NPDES-style limits (e.g., when limits are sub-mg/L). Regulatory numeric limits used for such gates in this package include Part 433 values and STM BREF values as extracted.</w:t>
      </w:r>
    </w:p>
    <w:bookmarkEnd w:id="39"/>
    <w:bookmarkStart w:id="40" w:name="part-3-1"/>
    <w:p>
      <w:pPr>
        <w:pStyle w:val="Heading3"/>
      </w:pPr>
      <w:r>
        <w:t xml:space="preserve">Part 3</w:t>
      </w:r>
    </w:p>
    <w:p>
      <w:pPr>
        <w:pStyle w:val="FirstParagraph"/>
      </w:pPr>
      <w:r>
        <w:t xml:space="preserve">Chemical precipitation is described as broadly used and mature for heavy-metal removal; precipitation is associated with sludge-generation burdens (large slurry/sludge volumes and difficult dewatering). Boron is described as difficult to remove; boron removal can require specialized technologies and boron-selective resins/fibers have reported boron removal rates in the range of ~93–98%.</w:t>
      </w:r>
    </w:p>
    <w:bookmarkEnd w:id="40"/>
    <w:bookmarkEnd w:id="41"/>
    <w:bookmarkStart w:id="45" w:name="chapter-5"/>
    <w:p>
      <w:pPr>
        <w:pStyle w:val="Heading2"/>
      </w:pPr>
      <w:r>
        <w:t xml:space="preserve">Chapter 5</w:t>
      </w:r>
    </w:p>
    <w:p>
      <w:pPr>
        <w:pStyle w:val="FirstParagraph"/>
      </w:pPr>
      <w:r>
        <w:t xml:space="preserve">This chapter reproduces the DSD run-order table (270 runs) and associated import and MCDA decision-matrix notes.</w:t>
      </w:r>
    </w:p>
    <w:bookmarkStart w:id="42" w:name="design-basis"/>
    <w:p>
      <w:pPr>
        <w:pStyle w:val="Heading3"/>
      </w:pPr>
      <w:r>
        <w:t xml:space="preserve">Design basis</w:t>
      </w:r>
    </w:p>
    <w:p>
      <w:pPr>
        <w:pStyle w:val="FirstParagraph"/>
      </w:pPr>
      <w:r>
        <w:t xml:space="preserve">Blocking is described as appropriate when an identifiable nuisance source of variation will vary across runs, and blocking reduces correlation between nuisance variation and factor effects; JMP also documents “Randomize within Blocks” behavior for run order in fixed-block designs, and Minitab documents defining custom screening designs from spreadsheets.</w:t>
      </w:r>
    </w:p>
    <w:bookmarkEnd w:id="42"/>
    <w:bookmarkStart w:id="43" w:name="complete-270-run-table"/>
    <w:p>
      <w:pPr>
        <w:pStyle w:val="Heading3"/>
      </w:pPr>
      <w:r>
        <w:t xml:space="preserve">Complete 270-run table</w:t>
      </w:r>
    </w:p>
    <w:p>
      <w:pPr>
        <w:pStyle w:val="FirstParagraph"/>
      </w:pPr>
      <w:r>
        <w:t xml:space="preserve">The 270-run DSD run-order table is reproduced below as provided in the prior artifact (15 DSD runs × 6 species blocks × 3 replicates). The factor ranges and levels reflect a three-level design structure consistent with DSD practice (low/center/high), and the run-order approach is described as randomized within blocks consistent with JMP guidance.</w:t>
      </w:r>
    </w:p>
    <w:tbl>
      <w:tblPr>
        <w:tblStyle w:val="Table"/>
        <w:tblW w:type="pct" w:w="5000"/>
        <w:tblLayout w:type="fixed"/>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RunOrder</w:t>
            </w:r>
          </w:p>
        </w:tc>
        <w:tc>
          <w:tcPr/>
          <w:p>
            <w:pPr>
              <w:pStyle w:val="Compact"/>
              <w:jc w:val="left"/>
            </w:pPr>
            <w:r>
              <w:t xml:space="preserve">Block (Species)</w:t>
            </w:r>
          </w:p>
        </w:tc>
        <w:tc>
          <w:tcPr/>
          <w:p>
            <w:pPr>
              <w:pStyle w:val="Compact"/>
              <w:jc w:val="left"/>
            </w:pPr>
            <w:r>
              <w:t xml:space="preserve">Replicate</w:t>
            </w:r>
          </w:p>
        </w:tc>
        <w:tc>
          <w:tcPr/>
          <w:p>
            <w:pPr>
              <w:pStyle w:val="Compact"/>
              <w:jc w:val="left"/>
            </w:pPr>
            <w:r>
              <w:t xml:space="preserve">DSD_Run</w:t>
            </w:r>
          </w:p>
        </w:tc>
        <w:tc>
          <w:tcPr/>
          <w:p>
            <w:pPr>
              <w:pStyle w:val="Compact"/>
              <w:jc w:val="left"/>
            </w:pPr>
            <w:r>
              <w:t xml:space="preserve">A_pH</w:t>
            </w:r>
          </w:p>
        </w:tc>
        <w:tc>
          <w:tcPr/>
          <w:p>
            <w:pPr>
              <w:pStyle w:val="Compact"/>
              <w:jc w:val="left"/>
            </w:pPr>
            <w:r>
              <w:t xml:space="preserve">B_Dilution_pct</w:t>
            </w:r>
          </w:p>
        </w:tc>
        <w:tc>
          <w:tcPr/>
          <w:p>
            <w:pPr>
              <w:pStyle w:val="Compact"/>
              <w:jc w:val="left"/>
            </w:pPr>
            <w:r>
              <w:t xml:space="preserve">C_Fe_Preremoval</w:t>
            </w:r>
          </w:p>
        </w:tc>
        <w:tc>
          <w:tcPr/>
          <w:p>
            <w:pPr>
              <w:pStyle w:val="Compact"/>
              <w:jc w:val="left"/>
            </w:pPr>
            <w:r>
              <w:t xml:space="preserve">D_Coolant_pct</w:t>
            </w:r>
          </w:p>
        </w:tc>
        <w:tc>
          <w:tcPr/>
          <w:p>
            <w:pPr>
              <w:pStyle w:val="Compact"/>
              <w:jc w:val="left"/>
            </w:pPr>
            <w:r>
              <w:t xml:space="preserve">E_EDTA_mM</w:t>
            </w:r>
          </w:p>
        </w:tc>
        <w:tc>
          <w:tcPr/>
          <w:p>
            <w:pPr>
              <w:pStyle w:val="Compact"/>
              <w:jc w:val="left"/>
            </w:pPr>
            <w:r>
              <w:t xml:space="preserve">F_Dosage_gL</w:t>
            </w:r>
          </w:p>
        </w:tc>
        <w:tc>
          <w:tcPr/>
          <w:p>
            <w:pPr>
              <w:pStyle w:val="Compact"/>
              <w:jc w:val="left"/>
            </w:pPr>
            <w:r>
              <w:t xml:space="preserve">G_Time_h</w:t>
            </w:r>
          </w:p>
        </w:tc>
      </w:tr>
      <w:tr>
        <w:tc>
          <w:tcPr/>
          <w:p>
            <w:pPr>
              <w:pStyle w:val="Compact"/>
              <w:jc w:val="left"/>
            </w:pPr>
            <w:r>
              <w:t xml:space="preserve">1</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3</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4</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5</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6</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9</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10</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11</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12</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13</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14</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15</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16</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17</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18</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19</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20</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21</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22</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23</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24</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25</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26</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27</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28</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29</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30</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31</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32</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33</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34</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35</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36</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37</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38</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39</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40</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41</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42</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43</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44</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45</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46</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47</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48</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49</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50</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51</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52</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53</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54</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55</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56</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57</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58</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59</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60</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61</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62</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63</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64</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65</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66</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67</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68</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69</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70</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71</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72</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73</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74</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75</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76</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77</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78</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79</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80</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81</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82</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83</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84</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85</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86</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87</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88</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89</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90</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91</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92</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93</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94</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95</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96</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97</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98</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99</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100</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101</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102</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103</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104</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105</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106</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107</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108</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109</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110</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111</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112</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113</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114</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115</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116</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117</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118</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119</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120</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121</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122</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123</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124</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125</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126</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127</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128</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129</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130</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131</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132</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133</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134</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135</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136</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137</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138</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139</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140</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141</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142</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143</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144</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145</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146</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147</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148</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149</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150</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151</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152</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153</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154</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155</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156</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157</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158</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159</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160</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161</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162</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163</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164</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165</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166</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167</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168</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169</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170</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171</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172</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173</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174</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175</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176</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177</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178</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179</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180</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181</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182</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183</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184</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185</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186</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187</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188</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189</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190</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191</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192</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193</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194</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195</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196</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197</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198</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199</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200</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201</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202</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203</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204</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205</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206</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207</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208</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209</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210</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211</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212</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213</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214</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215</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216</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217</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218</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219</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220</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221</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222</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223</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224</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225</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226</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227</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228</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229</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230</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231</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232</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233</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234</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235</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236</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237</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238</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239</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240</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241</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242</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243</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244</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245</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246</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247</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248</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249</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250</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251</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252</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253</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254</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255</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256</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257</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258</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259</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260</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261</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262</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263</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264</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265</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266</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267</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268</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269</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270</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bl>
    <w:bookmarkEnd w:id="43"/>
    <w:bookmarkStart w:id="44" w:name="mcda-notes"/>
    <w:p>
      <w:pPr>
        <w:pStyle w:val="Heading3"/>
      </w:pPr>
      <w:r>
        <w:t xml:space="preserve">MCDA notes</w:t>
      </w:r>
    </w:p>
    <w:p>
      <w:pPr>
        <w:pStyle w:val="FirstParagraph"/>
      </w:pPr>
      <w:r>
        <w:t xml:space="preserve">A weighted-summation approach is described as one of the simplest and most widely applied techniques of MCA/MCDA, and a typical MCDA process includes problem formulation, evaluation, weighting, calculation (e.g., in Excel), and sensitivity analysis before recommendations.</w:t>
      </w:r>
    </w:p>
    <w:bookmarkEnd w:id="44"/>
    <w:bookmarkEnd w:id="45"/>
    <w:bookmarkStart w:id="49" w:name="chapter-6"/>
    <w:p>
      <w:pPr>
        <w:pStyle w:val="Heading2"/>
      </w:pPr>
      <w:r>
        <w:t xml:space="preserve">Chapter 6</w:t>
      </w:r>
    </w:p>
    <w:p>
      <w:pPr>
        <w:pStyle w:val="FirstParagraph"/>
      </w:pPr>
      <w:r>
        <w:t xml:space="preserve">This chapter compiles the Stage-2 optimization (RSM) framework, ICP-MS methods/QC, and the program timeline.</w:t>
      </w:r>
    </w:p>
    <w:bookmarkStart w:id="46" w:name="rsm-design"/>
    <w:p>
      <w:pPr>
        <w:pStyle w:val="Heading3"/>
      </w:pPr>
      <w:r>
        <w:t xml:space="preserve">RSM design</w:t>
      </w:r>
    </w:p>
    <w:p>
      <w:pPr>
        <w:pStyle w:val="FirstParagraph"/>
      </w:pPr>
      <w:r>
        <w:t xml:space="preserve">Response surface methodology is described as a combination of mathematical and statistical techniques used for developing, improving, and optimizing processes. A Box–Behnken design can reduce the number of runs; BBD versus CCD run counts for 3 and 4 factors are stated in the provided design note (3 factors: BBD 15, CCD 20; 4 factors: BBD 27, CCD 31).</w:t>
      </w:r>
    </w:p>
    <w:bookmarkEnd w:id="46"/>
    <w:bookmarkStart w:id="47" w:name="icp-ms-methods-and-qc"/>
    <w:p>
      <w:pPr>
        <w:pStyle w:val="Heading3"/>
      </w:pPr>
      <w:r>
        <w:t xml:space="preserve">ICP-MS methods and QC</w:t>
      </w:r>
    </w:p>
    <w:p>
      <w:pPr>
        <w:pStyle w:val="FirstParagraph"/>
      </w:pPr>
      <w:r>
        <w:t xml:space="preserve">EPA Method 200.8 is identified as “Determination of Trace Elements in Waters and Wastes by ICP-MS,” and complementary use of EPA 6020B (ICP-MS for solid waste extracts) and EPA 6010D (ICP-OES for higher-concentration matrices) is described in an applied protocol extract. Sample preservation guidance includes acidifying to pH &lt; 2 (e.g., ~2 mL/L HNO3) and indicates that properly acid-preserved samples can be held up to six months; for boron, separate aliquots in polypropylene are recommended and borosilicate glassware should be avoided. Digestion requirements for total recoverable analytes are described, and boron memory effect mitigation includes nitric acid plus mannitol rinses and extended washout, with quartz/PTFE labware recommended for boron work.</w:t>
      </w:r>
    </w:p>
    <w:bookmarkEnd w:id="47"/>
    <w:bookmarkStart w:id="48" w:name="timeline"/>
    <w:p>
      <w:pPr>
        <w:pStyle w:val="Heading3"/>
      </w:pPr>
      <w:r>
        <w:t xml:space="preserve">Timeline</w:t>
      </w:r>
    </w:p>
    <w:p>
      <w:pPr>
        <w:pStyle w:val="FirstParagraph"/>
      </w:pPr>
      <w:r>
        <w:t xml:space="preserve">Phase anchors for a 24-month program include setup/procurement (M1–M2), leachate collection/characterization (M2–M4), DSD screening experiments (M4–M8), RSM optimization (M9–M13), and 30-day continuous pilot operation (M16–M20).</w:t>
      </w:r>
    </w:p>
    <w:bookmarkEnd w:id="48"/>
    <w:bookmarkEnd w:id="49"/>
    <w:bookmarkStart w:id="53" w:name="chapter-7"/>
    <w:p>
      <w:pPr>
        <w:pStyle w:val="Heading2"/>
      </w:pPr>
      <w:r>
        <w:t xml:space="preserve">Chapter 7</w:t>
      </w:r>
    </w:p>
    <w:p>
      <w:pPr>
        <w:pStyle w:val="FirstParagraph"/>
      </w:pPr>
      <w:r>
        <w:t xml:space="preserve">This chapter reproduces the procurement-oriented content for analytical standards, acids, culture media, and sampling consumables.</w:t>
      </w:r>
    </w:p>
    <w:bookmarkStart w:id="50" w:name="X4efae51aa02f000ea90069cb822b15f1e5a065a"/>
    <w:p>
      <w:pPr>
        <w:pStyle w:val="Heading3"/>
      </w:pPr>
      <w:r>
        <w:t xml:space="preserve">Analytical standards and internal standards</w:t>
      </w:r>
    </w:p>
    <w:p>
      <w:pPr>
        <w:pStyle w:val="FirstParagraph"/>
      </w:pPr>
      <w:r>
        <w:t xml:space="preserve">Example multi-element REE standards are listed as containing 50 mg/L of REE suite elements in 2% nitric acid, and rare-earth calibration standards are available from vendors such as Inorganic Ventures (e.g., 10 ppm rare earth ICP standard, part CMS-1-125ML, $163). Example internal standard mix products include an Agilent internal standard mix (part 5188-6525, list price $282).</w:t>
      </w:r>
    </w:p>
    <w:bookmarkEnd w:id="50"/>
    <w:bookmarkStart w:id="51" w:name="trace-metal-grade-acids"/>
    <w:p>
      <w:pPr>
        <w:pStyle w:val="Heading3"/>
      </w:pPr>
      <w:r>
        <w:t xml:space="preserve">Trace-metal-grade acids</w:t>
      </w:r>
    </w:p>
    <w:p>
      <w:pPr>
        <w:pStyle w:val="FirstParagraph"/>
      </w:pPr>
      <w:r>
        <w:t xml:space="preserve">Examples of trace-metal-grade acids include Fisher TraceMetal nitric acid (catalog A509P500, $225) and hydrochloric acid (catalog A508P500, $197.70).</w:t>
      </w:r>
    </w:p>
    <w:bookmarkEnd w:id="51"/>
    <w:bookmarkStart w:id="52" w:name="culture-media-and-filters"/>
    <w:p>
      <w:pPr>
        <w:pStyle w:val="Heading3"/>
      </w:pPr>
      <w:r>
        <w:t xml:space="preserve">Culture media and filters</w:t>
      </w:r>
    </w:p>
    <w:p>
      <w:pPr>
        <w:pStyle w:val="FirstParagraph"/>
      </w:pPr>
      <w:r>
        <w:t xml:space="preserve">BG-11 medium kits are described as providing components to prepare 100 L of BG-11 medium and are priced at $1,500. PVDF syringe filters are available in 0.45 µm formats (e.g., Whatman GD/X, part 6900-2504, $276.95 per 50-pack).</w:t>
      </w:r>
    </w:p>
    <w:bookmarkEnd w:id="52"/>
    <w:bookmarkEnd w:id="53"/>
    <w:bookmarkStart w:id="54" w:name="chapter-8"/>
    <w:p>
      <w:pPr>
        <w:pStyle w:val="Heading2"/>
      </w:pPr>
      <w:r>
        <w:t xml:space="preserve">Chapter 8</w:t>
      </w:r>
    </w:p>
    <w:p>
      <w:pPr>
        <w:pStyle w:val="FirstParagraph"/>
      </w:pPr>
      <w:r>
        <w:t xml:space="preserve">This chapter reproduces the data-pipeline content that links ICP-MS exports to validated datasets and compliance dashboards.</w:t>
      </w:r>
    </w:p>
    <w:p>
      <w:pPr>
        <w:pStyle w:val="BodyText"/>
      </w:pPr>
      <w:r>
        <w:t xml:space="preserve">Agilent MassHunter export notes include that “CPS Data to CSV” generates raw count data per second and that “Tabulate Chart after Sample Acquisition” can be used to export .csv in CPS format; consistent export formats are highlighted as important for downstream import processes. EPA’s TADA toolkit is described as providing tools to help visualize wastewater monitoring data and discharge limits, and includes a Shiny application pathway; Shiny is described as a free/open-source tool for customizable interactive web apps using R and supports tabular inputs such as CSV/XLSX.</w:t>
      </w:r>
    </w:p>
    <w:bookmarkEnd w:id="54"/>
    <w:bookmarkStart w:id="55" w:name="chapter-9"/>
    <w:p>
      <w:pPr>
        <w:pStyle w:val="Heading2"/>
      </w:pPr>
      <w:r>
        <w:t xml:space="preserve">Chapter 9</w:t>
      </w:r>
    </w:p>
    <w:p>
      <w:pPr>
        <w:pStyle w:val="FirstParagraph"/>
      </w:pPr>
      <w:r>
        <w:t xml:space="preserve">This chapter reproduces the funding-opportunity and grant narrative snippets.</w:t>
      </w:r>
    </w:p>
    <w:p>
      <w:pPr>
        <w:pStyle w:val="BodyText"/>
      </w:pPr>
      <w:r>
        <w:t xml:space="preserve">NSF Environmental Engineering is described as supporting research focused on reducing pollution impacts, including remediation and engineered processes; wastewater treatment via biogeochemical processes is highlighted, and biosorption proposals are guided to emphasize methods that transform pollutants and enhance resource recovery. EPA STAR is described as supporting innovative water research, including wastewater treatment technologies and recovery of critical minerals like rare earth elements. DOE expects up to 10 awards between $500k and $2.5M with a minimum 20% cost share under one critical-minerals funding notice, with a stated submission deadline (11/26/2024, 5 PM ET).</w:t>
      </w:r>
    </w:p>
    <w:bookmarkEnd w:id="55"/>
    <w:bookmarkStart w:id="56" w:name="chapter-10"/>
    <w:p>
      <w:pPr>
        <w:pStyle w:val="Heading2"/>
      </w:pPr>
      <w:r>
        <w:t xml:space="preserve">Chapter 10</w:t>
      </w:r>
    </w:p>
    <w:p>
      <w:pPr>
        <w:pStyle w:val="FirstParagraph"/>
      </w:pPr>
      <w:r>
        <w:t xml:space="preserve">This chapter reproduces the research-strategy oriented context used in the proposal narrative.</w:t>
      </w:r>
    </w:p>
    <w:p>
      <w:pPr>
        <w:pStyle w:val="BodyText"/>
      </w:pPr>
      <w:r>
        <w:t xml:space="preserve">NdFeB magnets are described as critical components in generators and motors used in wind turbines and EVs, and the permanent magnet market is projected to grow from USD 35.0B (2022) to USD 78.9B (2032) with NdFeB projected at ~45% share by 2030 in one projection. NdFeB magnet chemical composition ranges include 53–62 wt% Fe, 24–29 wt% Nd, 0.85–0.96 wt% B, and 0.54–3.6 wt% Co; acid leachate compositions can be very high in Fe and Nd (e.g., Fe tens of g/L; Nd tens of g/L) with B and Co also present under reported leaching conditions. Multiple sources state no peer-reviewed study has tested microalgae against the full chemical matrix of NdFeB manufacturing leachate, consistent with the evidence-gap framing in earlier chapters.</w:t>
      </w:r>
    </w:p>
    <w:bookmarkEnd w:id="56"/>
    <w:bookmarkStart w:id="57" w:name="chapter-11"/>
    <w:p>
      <w:pPr>
        <w:pStyle w:val="Heading2"/>
      </w:pPr>
      <w:r>
        <w:t xml:space="preserve">Chapter 11</w:t>
      </w:r>
    </w:p>
    <w:p>
      <w:pPr>
        <w:pStyle w:val="FirstParagraph"/>
      </w:pPr>
      <w:r>
        <w:t xml:space="preserve">This chapter reproduces the pilot-equipment procurement evidence.</w:t>
      </w:r>
    </w:p>
    <w:p>
      <w:pPr>
        <w:pStyle w:val="BodyText"/>
      </w:pPr>
      <w:r>
        <w:t xml:space="preserve">Pilot-scale bioreactor platforms are described as having working volumes of 10–50 L for process development, and photobioreactor systems list vessel capacities up to 100 L; a price commentary notes a 100-L bioreactor may cost $50,000–$100,000. Peristaltic pumps have reported flow ranges up to 3400 mL/min; Watson-Marlow 120 series pump systems have listed prices (e.g., $3,310–$3,530 and $4,630–$4,770) and tubing products have listed price ranges; online sensors/controllers have listed starting prices and DO probe listings include “from $1,218.” Data loggers have listed prices (e.g., CR6 $1,900; CR1000 $1,495) and DAQ devices list sale prices (e.g., LabJack T7 $550).</w:t>
      </w:r>
    </w:p>
    <w:bookmarkEnd w:id="57"/>
    <w:bookmarkStart w:id="58" w:name="chapter-12"/>
    <w:p>
      <w:pPr>
        <w:pStyle w:val="Heading2"/>
      </w:pPr>
      <w:r>
        <w:t xml:space="preserve">Chapter 12</w:t>
      </w:r>
    </w:p>
    <w:p>
      <w:pPr>
        <w:pStyle w:val="FirstParagraph"/>
      </w:pPr>
      <w:r>
        <w:t xml:space="preserve">This chapter reproduces the synthetic leachate preparation SOP elements, emphasizing stability and contamination control.</w:t>
      </w:r>
    </w:p>
    <w:p>
      <w:pPr>
        <w:pStyle w:val="BodyText"/>
      </w:pPr>
      <w:r>
        <w:t xml:space="preserve">Leachate compositions reported for NdFeB-related materials can be strongly Fe- and Nd-rich (e.g., Fe 31.6 g/L; Nd 15.1 g/L; B 0.535 g/L; Co 1.70 g/L under one condition) and can reach higher concentrations under other conditions; a separate major-element composition example reports iron 84.7 g/L, neodymium 31.7 g/L, dysprosium 11.5 g/L. The SOP emphasizes keeping preparation strongly acidic because precipitation phenomena occur as pH rises; Fe(III) precipitation is described as typically occurring around pH ~3.5–4.0 and high pH can lead to REE hydroxide formation, so dissolution and storage at low pH is needed to maintain solubility and avoid confounding precipitation with biosorption. For boron contamination control and boron memory effects in analysis, multiple method notes emphasize avoiding borosilicate glassware (use polypropylene/quartz/PTFE) and using nitric acid + mannitol rinse sequences with extended washout times when analyzing boron-containing samples.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2026-02-12T19:43:39Z</dcterms:created>
  <dcterms:modified xsi:type="dcterms:W3CDTF">2026-02-12T19:43:39Z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