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7e488f4761e9cff45f1b68c3b7e04b0d0faa7de"/>
    <w:p>
      <w:pPr>
        <w:pStyle w:val="Heading1"/>
      </w:pPr>
      <w:r>
        <w:t xml:space="preserve">Microalgae Bioabsorption of NdFeB Magnet Leachate Contaminants for Wastewater Regulatory Compliance</w:t>
      </w:r>
    </w:p>
    <w:bookmarkStart w:id="20" w:name="X65c8abdee8b76ed945523d2bc6662f76dbcf69c"/>
    <w:p>
      <w:pPr>
        <w:pStyle w:val="Heading2"/>
      </w:pPr>
      <w:r>
        <w:t xml:space="preserve">1. State of evidence</w:t>
      </w:r>
    </w:p>
    <w:p>
      <w:pPr>
        <w:pStyle w:val="FirstParagraph"/>
      </w:pPr>
      <w:r>
        <w:t xml:space="preserve">The directly relevant evidence base for</w:t>
      </w:r>
      <w:r>
        <w:t xml:space="preserve"> </w:t>
      </w:r>
      <w:r>
        <w:rPr>
          <w:i/>
          <w:iCs/>
        </w:rPr>
        <w:t xml:space="preserve">magnet-derived</w:t>
      </w:r>
      <w:r>
        <w:t xml:space="preserve"> </w:t>
      </w:r>
      <w:r>
        <w:t xml:space="preserve">leachate treatment using microalgae biosorption is thin in the retrieved excerpts, with only a small subset using aqueous solutions explicitly derived from Nd–Fe–B magnets and tested with microalgal biomass. In those magnet-derived studies, the biosorbent was dried</w:t>
      </w:r>
      <w:r>
        <w:t xml:space="preserve"> </w:t>
      </w:r>
      <w:r>
        <w:rPr>
          <w:i/>
          <w:iCs/>
        </w:rPr>
        <w:t xml:space="preserve">Chlorella vulgaris</w:t>
      </w:r>
      <w:r>
        <w:t xml:space="preserve"> </w:t>
      </w:r>
      <w:r>
        <w:t xml:space="preserve">biomass and experiments were performed in batch flasks and also in continuous sorption configurations.</w:t>
      </w:r>
    </w:p>
    <w:p>
      <w:pPr>
        <w:pStyle w:val="BodyText"/>
      </w:pPr>
      <w:r>
        <w:t xml:space="preserve">Most other included studies use synthetic single-metal or synthetic multi-metal solutions (typically REE nitrate/sulfate salts in defined media) and are therefore not faithful analogs of full-composition NdFeB manufacturing leachates that include Fe-dominant matrices and process chemicals. A smaller subset uses real industrial wastewater (non-magnet) matrices (e.g., mine beneficiation and smelter waters), showing that microalgal biosorption has been tested in complex real waters, but not specifically NdFeB manufacturing wastewaters in the provided excerpts.</w:t>
      </w:r>
    </w:p>
    <w:p>
      <w:pPr>
        <w:pStyle w:val="BodyText"/>
      </w:pPr>
      <w:r>
        <w:t xml:space="preserve">The table below is an evidence map (not a performance ranking) that highlights which retrieved studies most closely resemble NdFeB-leachate compliance treatment.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Evidence category</w:t>
            </w:r>
          </w:p>
        </w:tc>
        <w:tc>
          <w:tcPr/>
          <w:p>
            <w:pPr>
              <w:pStyle w:val="Compact"/>
            </w:pPr>
            <w:r>
              <w:t xml:space="preserve">Example species</w:t>
            </w:r>
          </w:p>
        </w:tc>
        <w:tc>
          <w:tcPr/>
          <w:p>
            <w:pPr>
              <w:pStyle w:val="Compact"/>
            </w:pPr>
            <w:r>
              <w:t xml:space="preserve">Matrix type in excerpt</w:t>
            </w:r>
          </w:p>
        </w:tc>
        <w:tc>
          <w:tcPr/>
          <w:p>
            <w:pPr>
              <w:pStyle w:val="Compact"/>
            </w:pPr>
            <w:r>
              <w:t xml:space="preserve">Why it matters for NdFeB wastewater compliance</w:t>
            </w:r>
          </w:p>
        </w:tc>
      </w:tr>
      <w:tr>
        <w:tc>
          <w:tcPr/>
          <w:p>
            <w:pPr>
              <w:pStyle w:val="Compact"/>
            </w:pPr>
            <w:r>
              <w:t xml:space="preserve">Magnet-derived leachate biosorption</w:t>
            </w:r>
          </w:p>
        </w:tc>
        <w:tc>
          <w:tcPr/>
          <w:p>
            <w:pPr>
              <w:pStyle w:val="Compact"/>
            </w:pPr>
            <w:r>
              <w:rPr>
                <w:i/>
                <w:iCs/>
              </w:rPr>
              <w:t xml:space="preserve">Chlorella vulgaris</w:t>
            </w:r>
          </w:p>
        </w:tc>
        <w:tc>
          <w:tcPr/>
          <w:p>
            <w:pPr>
              <w:pStyle w:val="Compact"/>
            </w:pPr>
            <w:r>
              <w:t xml:space="preserve">Aqueous solution derived from real Nd–Fe–B magnets; selective leaching used such that Fe/B/Dy/Co were below detection in prepared solutions</w:t>
            </w:r>
          </w:p>
        </w:tc>
        <w:tc>
          <w:tcPr/>
          <w:p>
            <w:pPr>
              <w:pStyle w:val="Compact"/>
            </w:pPr>
            <w:r>
              <w:t xml:space="preserve">Direct link to magnet source material, but not representative of Fe-rich leachates because Fe and other co-contaminants were removed in solution preparation</w:t>
            </w:r>
          </w:p>
        </w:tc>
      </w:tr>
      <w:tr>
        <w:tc>
          <w:tcPr/>
          <w:p>
            <w:pPr>
              <w:pStyle w:val="Compact"/>
            </w:pPr>
            <w:r>
              <w:t xml:space="preserve">Synthetic multi-metal REE + base metals</w:t>
            </w:r>
          </w:p>
        </w:tc>
        <w:tc>
          <w:tcPr/>
          <w:p>
            <w:pPr>
              <w:pStyle w:val="Compact"/>
            </w:pPr>
            <w:r>
              <w:rPr>
                <w:i/>
                <w:iCs/>
              </w:rPr>
              <w:t xml:space="preserve">Galdieria sulphuraria</w:t>
            </w:r>
          </w:p>
        </w:tc>
        <w:tc>
          <w:tcPr/>
          <w:p>
            <w:pPr>
              <w:pStyle w:val="Compact"/>
            </w:pPr>
            <w:r>
              <w:t xml:space="preserve">5 ppm each of Cu, La, Nd, Dy at different pH</w:t>
            </w:r>
          </w:p>
        </w:tc>
        <w:tc>
          <w:tcPr/>
          <w:p>
            <w:pPr>
              <w:pStyle w:val="Compact"/>
            </w:pPr>
            <w:r>
              <w:t xml:space="preserve">Demonstrates pH sensitivity and multi-metal effects for REE + Cu, but lacks Fe/B and industrial organics</w:t>
            </w:r>
          </w:p>
        </w:tc>
      </w:tr>
      <w:tr>
        <w:tc>
          <w:tcPr/>
          <w:p>
            <w:pPr>
              <w:pStyle w:val="Compact"/>
            </w:pPr>
            <w:r>
              <w:t xml:space="preserve">Synthetic REE salts in growth media</w:t>
            </w:r>
          </w:p>
        </w:tc>
        <w:tc>
          <w:tcPr/>
          <w:p>
            <w:pPr>
              <w:pStyle w:val="Compact"/>
            </w:pPr>
            <w:r>
              <w:rPr>
                <w:i/>
                <w:iCs/>
              </w:rPr>
              <w:t xml:space="preserve">Anabaena</w:t>
            </w:r>
            <w:r>
              <w:t xml:space="preserve"> </w:t>
            </w:r>
            <w:r>
              <w:t xml:space="preserve">spp.</w:t>
            </w:r>
          </w:p>
        </w:tc>
        <w:tc>
          <w:tcPr/>
          <w:p>
            <w:pPr>
              <w:pStyle w:val="Compact"/>
            </w:pPr>
            <w:r>
              <w:t xml:space="preserve">REE(NO3)3·6H2O salts in modified BBM (Nd, Sm, Eu concentrations reported)</w:t>
            </w:r>
          </w:p>
        </w:tc>
        <w:tc>
          <w:tcPr/>
          <w:p>
            <w:pPr>
              <w:pStyle w:val="Compact"/>
            </w:pPr>
            <w:r>
              <w:t xml:space="preserve">Shows rapid REE uptake in culture media, but does not represent industrial leachate chemistry</w:t>
            </w:r>
          </w:p>
        </w:tc>
      </w:tr>
      <w:tr>
        <w:tc>
          <w:tcPr/>
          <w:p>
            <w:pPr>
              <w:pStyle w:val="Compact"/>
            </w:pPr>
            <w:r>
              <w:t xml:space="preserve">Real industrial wastewater (non-magnet)</w:t>
            </w:r>
          </w:p>
        </w:tc>
        <w:tc>
          <w:tcPr/>
          <w:p>
            <w:pPr>
              <w:pStyle w:val="Compact"/>
            </w:pPr>
            <w:r>
              <w:rPr>
                <w:i/>
                <w:iCs/>
              </w:rPr>
              <w:t xml:space="preserve">Chlorella vulgaris</w:t>
            </w:r>
          </w:p>
        </w:tc>
        <w:tc>
          <w:tcPr/>
          <w:p>
            <w:pPr>
              <w:pStyle w:val="Compact"/>
            </w:pPr>
            <w:r>
              <w:t xml:space="preserve">“Simulated and industrial wastewater” from a mine and a smelter context (metals including Co, Tl, Cr reported)</w:t>
            </w:r>
          </w:p>
        </w:tc>
        <w:tc>
          <w:tcPr/>
          <w:p>
            <w:pPr>
              <w:pStyle w:val="Compact"/>
            </w:pPr>
            <w:r>
              <w:t xml:space="preserve">Provides residual concentrations in real waters (useful for compliance framing), but not NdFeB composition</w:t>
            </w:r>
          </w:p>
        </w:tc>
      </w:tr>
    </w:tbl>
    <w:bookmarkEnd w:id="20"/>
    <w:bookmarkStart w:id="21" w:name="X96a73cc2962138a300a9d4a7883197e6af05ecd"/>
    <w:p>
      <w:pPr>
        <w:pStyle w:val="Heading2"/>
      </w:pPr>
      <w:r>
        <w:t xml:space="preserve">2. REE biosorption performance</w:t>
      </w:r>
    </w:p>
    <w:p>
      <w:pPr>
        <w:pStyle w:val="FirstParagraph"/>
      </w:pPr>
      <w:r>
        <w:t xml:space="preserve">For neodymium (Nd), dried</w:t>
      </w:r>
      <w:r>
        <w:t xml:space="preserve"> </w:t>
      </w:r>
      <w:r>
        <w:rPr>
          <w:i/>
          <w:iCs/>
        </w:rPr>
        <w:t xml:space="preserve">Chlorella vulgaris</w:t>
      </w:r>
      <w:r>
        <w:t xml:space="preserve"> </w:t>
      </w:r>
      <w:r>
        <w:t xml:space="preserve">showed high uptake capacities when tested on magnet-derived aqueous solutions, with Nd kinetics described as rapid (equilibrium within ~30 minutes) and with “more than 90%” of biosorption occurring before equilibrium. In the same Nd–</w:t>
      </w:r>
      <w:r>
        <w:rPr>
          <w:i/>
          <w:iCs/>
        </w:rPr>
        <w:t xml:space="preserve">C. vulgaris</w:t>
      </w:r>
      <w:r>
        <w:t xml:space="preserve"> </w:t>
      </w:r>
      <w:r>
        <w:t xml:space="preserve">biosorption study, the Nd sorption kinetics fit a pseudo-second-order model (R²&gt;0.99) and the isotherm fit a Langmuir model with qmax 188.68 mg/g (KL 0.029 L/mg).</w:t>
      </w:r>
    </w:p>
    <w:p>
      <w:pPr>
        <w:pStyle w:val="BodyText"/>
      </w:pPr>
      <w:r>
        <w:t xml:space="preserve">A separate magnet-derived “mixed leachate solution” study also used dried</w:t>
      </w:r>
      <w:r>
        <w:t xml:space="preserve"> </w:t>
      </w:r>
      <w:r>
        <w:rPr>
          <w:i/>
          <w:iCs/>
        </w:rPr>
        <w:t xml:space="preserve">Chlorella vulgaris</w:t>
      </w:r>
      <w:r>
        <w:t xml:space="preserve"> </w:t>
      </w:r>
      <w:r>
        <w:t xml:space="preserve">and reported a maximum Nd uptake of q = 157.21 mg/g at pH 5 with 0.5 g/L biosorbent dosage (initial Nd 250 mg/L). That work explicitly noted that slow Nd sorption kinetics limited performance in continuous assays relative to batch, underscoring that hydraulic/contact-time constraints are likely to matter for compliance operations.</w:t>
      </w:r>
    </w:p>
    <w:p>
      <w:pPr>
        <w:pStyle w:val="BodyText"/>
      </w:pPr>
      <w:r>
        <w:t xml:space="preserve">Other taxa (including cyanobacteria) show very fast REE removal in defined media. In modified BBM with REE nitrate salts,</w:t>
      </w:r>
      <w:r>
        <w:t xml:space="preserve"> </w:t>
      </w:r>
      <w:r>
        <w:rPr>
          <w:i/>
          <w:iCs/>
        </w:rPr>
        <w:t xml:space="preserve">Anabaena</w:t>
      </w:r>
      <w:r>
        <w:t xml:space="preserve"> </w:t>
      </w:r>
      <w:r>
        <w:t xml:space="preserve">sp. (SAG 12.82) achieved almost complete (&gt;99%) biosorption of trivalent REEs within the first hour, and specifically reported &gt;99% Nd removal within 30 minutes after metal-salt addition (with initial Nd³⁺ 0.103 mM). For europium, the same study reported a residual concentration of 76 ppb after more than one day, indicating persistence of a small dissolved fraction after extended contact in that system.</w:t>
      </w:r>
    </w:p>
    <w:p>
      <w:pPr>
        <w:pStyle w:val="BodyText"/>
      </w:pPr>
      <w:r>
        <w:t xml:space="preserve">Screening-style adsorption tests with lyophilized cyanobacterial biomass reported high REE capacities under acidic-to-near-neutral conditions. For example,</w:t>
      </w:r>
      <w:r>
        <w:t xml:space="preserve"> </w:t>
      </w:r>
      <w:r>
        <w:rPr>
          <w:i/>
          <w:iCs/>
        </w:rPr>
        <w:t xml:space="preserve">Nostoc</w:t>
      </w:r>
      <w:r>
        <w:t xml:space="preserve"> </w:t>
      </w:r>
      <w:r>
        <w:t xml:space="preserve">sp. 20.02 was reported to have the highest adsorption capacity (84.2–91.5 mg g⁻¹) in a screening study covering Ce, Nd, Tb, and La (single-element tests) and also included mixed-metal competition tests. Another study reported an Nd Qmax of 0.47 ± 0.01 mmol·g⁻¹ for</w:t>
      </w:r>
      <w:r>
        <w:t xml:space="preserve"> </w:t>
      </w:r>
      <w:r>
        <w:rPr>
          <w:i/>
          <w:iCs/>
        </w:rPr>
        <w:t xml:space="preserve">Calothrix brevissima</w:t>
      </w:r>
      <w:r>
        <w:t xml:space="preserve"> </w:t>
      </w:r>
      <w:r>
        <w:t xml:space="preserve">(SAG 34.79) in single-element Nd solutions, with</w:t>
      </w:r>
      <w:r>
        <w:t xml:space="preserve"> </w:t>
      </w:r>
      <w:r>
        <w:rPr>
          <w:i/>
          <w:iCs/>
        </w:rPr>
        <w:t xml:space="preserve">Chlorella kessleri</w:t>
      </w:r>
      <w:r>
        <w:t xml:space="preserve"> </w:t>
      </w:r>
      <w:r>
        <w:t xml:space="preserve">also exhibiting high Nd capacity (0.37 ± 0.04 mmol·g⁻¹).</w:t>
      </w:r>
    </w:p>
    <w:p>
      <w:pPr>
        <w:pStyle w:val="BodyText"/>
      </w:pPr>
      <w:r>
        <w:t xml:space="preserve">However, the evidence also shows that multi-ion competition can significantly reduce REE binding compared with single-element tests. In mixed-metal solutions, cerium adsorption capacity dropped significantly relative to single-element solutions, and at a metal concentration of 4 mM other metals (Al, Pb, Ni, Zn) “seemed to replace cerium” on binding sites as Ce binding capacity dropped across tested cyanobacterial biomasses.</w:t>
      </w:r>
    </w:p>
    <w:bookmarkEnd w:id="21"/>
    <w:bookmarkStart w:id="22" w:name="X829f5628c726230f5fe921e5d43db41a8ecbb45"/>
    <w:p>
      <w:pPr>
        <w:pStyle w:val="Heading2"/>
      </w:pPr>
      <w:r>
        <w:t xml:space="preserve">3. Iron interference</w:t>
      </w:r>
    </w:p>
    <w:p>
      <w:pPr>
        <w:pStyle w:val="FirstParagraph"/>
      </w:pPr>
      <w:r>
        <w:t xml:space="preserve">The most directly “NdFeB-linked” biosorption study in the excerpts highlights a central difficulty for realistic magnet leachates: iron chemistry changes with pH, and Fe can precipitate as pH rises, altering competitive interactions and potentially confounding adsorption/uptake measurements. That study described that as pH increased from 2 to 5, iron ions started to precipitate, which “leads to a decrease in the competition,” but it also stated that a selective leaching procedure was applied to prepare an aqueous solution without iron from Nd–Fe–B magnets. Consistent with that, it reported a magnet-derived solution (pH 2.4) with “no iron detected,” and analysis indicated Fe (and also B, Dy, Co) were below detection limits in the prepared solutions due to selective leaching.</w:t>
      </w:r>
    </w:p>
    <w:p>
      <w:pPr>
        <w:pStyle w:val="BodyText"/>
      </w:pPr>
      <w:r>
        <w:t xml:space="preserve">This creates a key interpretive constraint for regulatory compliance use-cases: while the feedstock origin is a real magnet, the tested aqueous matrix does not reproduce the Fe-dominant, multi-contaminant character that typically drives treatment design and sludge generation in industrial metal-finishing and magnet-processing wastewaters.</w:t>
      </w:r>
    </w:p>
    <w:p>
      <w:pPr>
        <w:pStyle w:val="BodyText"/>
      </w:pPr>
      <w:r>
        <w:t xml:space="preserve">Outside the magnet-derived experiments, a review-extracted data point for</w:t>
      </w:r>
      <w:r>
        <w:t xml:space="preserve"> </w:t>
      </w:r>
      <w:r>
        <w:rPr>
          <w:i/>
          <w:iCs/>
        </w:rPr>
        <w:t xml:space="preserve">Microcystis aeruginosa</w:t>
      </w:r>
      <w:r>
        <w:t xml:space="preserve"> </w:t>
      </w:r>
      <w:r>
        <w:t xml:space="preserve">reported Fe removal of 54.14% from an Fe concentration of 350 µg/L over 4 days at pH 9.0, indicating that some microalgae/cyanobacteria systems can remove iron under certain conditions, albeit at low starting Fe and long contact time in the summarized study context.</w:t>
      </w:r>
    </w:p>
    <w:p>
      <w:pPr>
        <w:pStyle w:val="BodyText"/>
      </w:pPr>
      <w:r>
        <w:t xml:space="preserve">Finally, one REE-biosorption study explicitly flagged Fe (along with Pb, Cu, Ni) as common wastewater elements that may need to be removed prior to applying biosorption, reflecting the concern that common base metals can act as problematic competitors in mixed wastewaters.</w:t>
      </w:r>
    </w:p>
    <w:bookmarkEnd w:id="22"/>
    <w:bookmarkStart w:id="23" w:name="X8616a3d904a8f736ba813bc8b8e1844408568ef"/>
    <w:p>
      <w:pPr>
        <w:pStyle w:val="Heading2"/>
      </w:pPr>
      <w:r>
        <w:t xml:space="preserve">4. Boron</w:t>
      </w:r>
    </w:p>
    <w:p>
      <w:pPr>
        <w:pStyle w:val="FirstParagraph"/>
      </w:pPr>
      <w:r>
        <w:t xml:space="preserve">Boron behavior in multi-contaminant waters appears consistently challenging in the retrieved excerpts. In a synthetic multi-contaminant mixture designed to reflect highly polluted Loa River water, the initial boron concentration was set to 60 mg/L (with co-contaminants including As 12 mg/L and Cu/Mn/Zn 3 mg/L). In that work, boron removal efficiencies decreased sharply when moving from monometallic to multimetallic solutions, with examples including a drop to 0.2% in</w:t>
      </w:r>
      <w:r>
        <w:t xml:space="preserve"> </w:t>
      </w:r>
      <w:r>
        <w:rPr>
          <w:i/>
          <w:iCs/>
        </w:rPr>
        <w:t xml:space="preserve">Chlamydomonas reinhardtii</w:t>
      </w:r>
      <w:r>
        <w:t xml:space="preserve"> </w:t>
      </w:r>
      <w:r>
        <w:t xml:space="preserve">under multimetal conditions and similarly strong reductions for other tested microalgae species.</w:t>
      </w:r>
    </w:p>
    <w:p>
      <w:pPr>
        <w:pStyle w:val="BodyText"/>
      </w:pPr>
      <w:r>
        <w:t xml:space="preserve">The same study interpreted boron as the weakest-performing target in the mixture, noting that the lowest yield ratios after 3 hours were found for B and suggesting interference by other metals on B adsorption across most tested microalgae. Even where higher “maximum removals” were reported under selected pH/contact-time conditions, B removal remained moderate relative to several metals (e.g., B up to 38.6% reported for</w:t>
      </w:r>
      <w:r>
        <w:t xml:space="preserve"> </w:t>
      </w:r>
      <w:r>
        <w:rPr>
          <w:i/>
          <w:iCs/>
        </w:rPr>
        <w:t xml:space="preserve">Scenedesmus almeriensis</w:t>
      </w:r>
      <w:r>
        <w:t xml:space="preserve"> </w:t>
      </w:r>
      <w:r>
        <w:t xml:space="preserve">under a specified condition set).</w:t>
      </w:r>
    </w:p>
    <w:p>
      <w:pPr>
        <w:pStyle w:val="BodyText"/>
      </w:pPr>
      <w:r>
        <w:t xml:space="preserve">Separate “B stress” experiments with</w:t>
      </w:r>
      <w:r>
        <w:t xml:space="preserve"> </w:t>
      </w:r>
      <w:r>
        <w:rPr>
          <w:i/>
          <w:iCs/>
        </w:rPr>
        <w:t xml:space="preserve">Chlorella regularis</w:t>
      </w:r>
      <w:r>
        <w:t xml:space="preserve"> </w:t>
      </w:r>
      <w:r>
        <w:t xml:space="preserve">suggest tolerance and uptake may be possible under some conditions, reporting no growth decline at 25 mg/L B and a B uptake of 3.35 mg/g with B bound to protein and carbon components in cells. These results support feasibility of boron uptake/tolerance in principle, but they do not by themselves establish that boron can be reliably reduced to low discharge concentrations in complex multi-metal matrices.</w:t>
      </w:r>
    </w:p>
    <w:bookmarkEnd w:id="23"/>
    <w:bookmarkStart w:id="24" w:name="X541fa111b745c481e39ae488a8bb2562970570b"/>
    <w:p>
      <w:pPr>
        <w:pStyle w:val="Heading2"/>
      </w:pPr>
      <w:r>
        <w:t xml:space="preserve">5. Co-contaminant effects</w:t>
      </w:r>
    </w:p>
    <w:p>
      <w:pPr>
        <w:pStyle w:val="FirstParagraph"/>
      </w:pPr>
      <w:r>
        <w:t xml:space="preserve">Direct evidence on NdFeB-specific co-contaminants (metalworking fluids, emulsified oils, surfactants, and chelating agents such as EDTA/NTA) is not present in the retrieved excerpts; instead, several studies explicitly used clean synthetic metal-salt systems and pH adjustment chemicals, which can overestimate field performance if complexing ligands or oil films are present in real leachate. For example, the dysprosium biosorption work described the use of analytical-grade Dy(NO3)2·6H2O with HNO3 and NaOH in batch experiments, indicating a simplified inorganic matrix rather than an industrial coolant/cleaner mixture.</w:t>
      </w:r>
    </w:p>
    <w:p>
      <w:pPr>
        <w:pStyle w:val="BodyText"/>
      </w:pPr>
      <w:r>
        <w:t xml:space="preserve">Where toxicity or physiological stress is captured, it points to potential treatment constraints. In a photobioreactor study with</w:t>
      </w:r>
      <w:r>
        <w:t xml:space="preserve"> </w:t>
      </w:r>
      <w:r>
        <w:rPr>
          <w:i/>
          <w:iCs/>
        </w:rPr>
        <w:t xml:space="preserve">Chlorella vulgaris</w:t>
      </w:r>
      <w:r>
        <w:t xml:space="preserve"> </w:t>
      </w:r>
      <w:r>
        <w:t xml:space="preserve">exposed to ~60–63.6 mg/L Co²⁺, Co decreased from 63.6 mg/L to 2.49 mg/L within 30 minutes (96.44% removal) and reached 1.01 mg/L after ten hours (98.78% removal), but microscopy revealed “severe deterioration of cell morphology,” indicating that strong metal removal can coincide with substantial cell damage in living systems. The same paper emphasized that experiments were conducted under controlled laboratory conditions using synthetic cobalt solutions and called for future studies in real wastewater matrices, reinforcing that co-contaminant effects remain unresolved for compliance deployment.</w:t>
      </w:r>
    </w:p>
    <w:p>
      <w:pPr>
        <w:pStyle w:val="BodyText"/>
      </w:pPr>
      <w:r>
        <w:t xml:space="preserve">Finally, even without organics, competitive ion effects were clearly demonstrated in mixed-metal adsorption experiments where other metals replaced cerium on binding sites at higher concentrations, which is directly relevant to NdFeB wastewaters containing multiple base metals alongside REEs.</w:t>
      </w:r>
    </w:p>
    <w:bookmarkEnd w:id="24"/>
    <w:bookmarkStart w:id="25" w:name="X55923427cb6081dde752d041e28d86335c35958"/>
    <w:p>
      <w:pPr>
        <w:pStyle w:val="Heading2"/>
      </w:pPr>
      <w:r>
        <w:t xml:space="preserve">6. Regulatory compliance assessment</w:t>
      </w:r>
    </w:p>
    <w:p>
      <w:pPr>
        <w:pStyle w:val="FirstParagraph"/>
      </w:pPr>
      <w:r>
        <w:t xml:space="preserve">The retrieved excerpts rarely frame results in terms of discharge permitting, and instead emphasize uptake capacity, percent removal, and kinetic/isotherm model fits (e.g., pseudo-second-order kinetics and Langmuir isotherms). Nonetheless, a few studies report post-treatment residual concentrations, which are the minimum needed to assess compliance against numeric limits.</w:t>
      </w:r>
    </w:p>
    <w:p>
      <w:pPr>
        <w:pStyle w:val="BodyText"/>
      </w:pPr>
      <w:r>
        <w:t xml:space="preserve">For example, in real industrial wastewater (smelter tailings/return water context),</w:t>
      </w:r>
      <w:r>
        <w:t xml:space="preserve"> </w:t>
      </w:r>
      <w:r>
        <w:rPr>
          <w:i/>
          <w:iCs/>
        </w:rPr>
        <w:t xml:space="preserve">Chlorella vulgaris</w:t>
      </w:r>
      <w:r>
        <w:t xml:space="preserve"> </w:t>
      </w:r>
      <w:r>
        <w:t xml:space="preserve">treatment reduced thallium to 0.021 mg/L from a reported initial of 2.386 mg/L in the industrial water sample, and reduced chromium from 135.56 mg/L to 45.67 mg/L in smelter return water. In the synthetic cobalt photobioreactor study, the treated supernatant still contained 2.49 mg/L Co²⁺ at 30 minutes and 1.01 mg/L Co²⁺ at ten hours, even after ~96–99% removal from a high initial concentration. In the REE-in-media study, europium residual was reported as 76 ppb after more than one day, illustrating that very low residuals can be achieved in some defined-media systems for some REEs.</w:t>
      </w:r>
    </w:p>
    <w:p>
      <w:pPr>
        <w:pStyle w:val="BodyText"/>
      </w:pPr>
      <w:r>
        <w:t xml:space="preserve">The table below summarizes those residual-concentration examples to clarify what can (and cannot) be concluded about compliance from the excerpted 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Contaminant</w:t>
            </w:r>
          </w:p>
        </w:tc>
        <w:tc>
          <w:tcPr/>
          <w:p>
            <w:pPr>
              <w:pStyle w:val="Compact"/>
            </w:pPr>
            <w:r>
              <w:t xml:space="preserve">Matrix type</w:t>
            </w:r>
          </w:p>
        </w:tc>
        <w:tc>
          <w:tcPr/>
          <w:p>
            <w:pPr>
              <w:pStyle w:val="Compact"/>
            </w:pPr>
            <w:r>
              <w:t xml:space="preserve">Microalgae</w:t>
            </w:r>
          </w:p>
        </w:tc>
        <w:tc>
          <w:tcPr/>
          <w:p>
            <w:pPr>
              <w:pStyle w:val="Compact"/>
            </w:pPr>
            <w:r>
              <w:t xml:space="preserve">Residual after treatment</w:t>
            </w:r>
          </w:p>
        </w:tc>
        <w:tc>
          <w:tcPr/>
          <w:p>
            <w:pPr>
              <w:pStyle w:val="Compact"/>
            </w:pPr>
            <w:r>
              <w:t xml:space="preserve">Compliance inference supported by excerpt</w:t>
            </w:r>
          </w:p>
        </w:tc>
      </w:tr>
      <w:tr>
        <w:tc>
          <w:tcPr/>
          <w:p>
            <w:pPr>
              <w:pStyle w:val="Compact"/>
            </w:pPr>
            <w:r>
              <w:t xml:space="preserve">Tl</w:t>
            </w:r>
          </w:p>
        </w:tc>
        <w:tc>
          <w:tcPr/>
          <w:p>
            <w:pPr>
              <w:pStyle w:val="Compact"/>
            </w:pPr>
            <w:r>
              <w:t xml:space="preserve">Real industrial water (smelter tailings context)</w:t>
            </w:r>
          </w:p>
        </w:tc>
        <w:tc>
          <w:tcPr/>
          <w:p>
            <w:pPr>
              <w:pStyle w:val="Compact"/>
            </w:pPr>
            <w:r>
              <w:rPr>
                <w:i/>
                <w:iCs/>
              </w:rPr>
              <w:t xml:space="preserve">Chlorella vulgaris</w:t>
            </w:r>
          </w:p>
        </w:tc>
        <w:tc>
          <w:tcPr/>
          <w:p>
            <w:pPr>
              <w:pStyle w:val="Compact"/>
            </w:pPr>
            <w:r>
              <w:t xml:space="preserve">0.021 mg/L</w:t>
            </w:r>
          </w:p>
        </w:tc>
        <w:tc>
          <w:tcPr/>
          <w:p>
            <w:pPr>
              <w:pStyle w:val="Compact"/>
            </w:pPr>
            <w:r>
              <w:t xml:space="preserve">Residual concentration reported, enabling external comparison to a discharge limit (limit not discussed in excerpt).</w:t>
            </w:r>
          </w:p>
        </w:tc>
      </w:tr>
      <w:tr>
        <w:tc>
          <w:tcPr/>
          <w:p>
            <w:pPr>
              <w:pStyle w:val="Compact"/>
            </w:pPr>
            <w:r>
              <w:t xml:space="preserve">Cr</w:t>
            </w:r>
          </w:p>
        </w:tc>
        <w:tc>
          <w:tcPr/>
          <w:p>
            <w:pPr>
              <w:pStyle w:val="Compact"/>
            </w:pPr>
            <w:r>
              <w:t xml:space="preserve">Real industrial water (smelter return water)</w:t>
            </w:r>
          </w:p>
        </w:tc>
        <w:tc>
          <w:tcPr/>
          <w:p>
            <w:pPr>
              <w:pStyle w:val="Compact"/>
            </w:pPr>
            <w:r>
              <w:rPr>
                <w:i/>
                <w:iCs/>
              </w:rPr>
              <w:t xml:space="preserve">Chlorella vulgaris</w:t>
            </w:r>
          </w:p>
        </w:tc>
        <w:tc>
          <w:tcPr/>
          <w:p>
            <w:pPr>
              <w:pStyle w:val="Compact"/>
            </w:pPr>
            <w:r>
              <w:t xml:space="preserve">45.67 mg/L (from 135.56 mg/L)</w:t>
            </w:r>
          </w:p>
        </w:tc>
        <w:tc>
          <w:tcPr/>
          <w:p>
            <w:pPr>
              <w:pStyle w:val="Compact"/>
            </w:pPr>
            <w:r>
              <w:t xml:space="preserve">Large residual remains, implying Cr could be rate-limiting for compliance in this specific real-water case (permit limits not discussed).</w:t>
            </w:r>
          </w:p>
        </w:tc>
      </w:tr>
      <w:tr>
        <w:tc>
          <w:tcPr/>
          <w:p>
            <w:pPr>
              <w:pStyle w:val="Compact"/>
            </w:pPr>
            <w:r>
              <w:t xml:space="preserve">Co²⁺</w:t>
            </w:r>
          </w:p>
        </w:tc>
        <w:tc>
          <w:tcPr/>
          <w:p>
            <w:pPr>
              <w:pStyle w:val="Compact"/>
            </w:pPr>
            <w:r>
              <w:t xml:space="preserve">Synthetic cobalt solution in photobioreactor</w:t>
            </w:r>
          </w:p>
        </w:tc>
        <w:tc>
          <w:tcPr/>
          <w:p>
            <w:pPr>
              <w:pStyle w:val="Compact"/>
            </w:pPr>
            <w:r>
              <w:rPr>
                <w:i/>
                <w:iCs/>
              </w:rPr>
              <w:t xml:space="preserve">Chlorella vulgaris</w:t>
            </w:r>
          </w:p>
        </w:tc>
        <w:tc>
          <w:tcPr/>
          <w:p>
            <w:pPr>
              <w:pStyle w:val="Compact"/>
            </w:pPr>
            <w:r>
              <w:t xml:space="preserve">2.49 mg/L at 30 min; 1.01 mg/L at 10 h</w:t>
            </w:r>
          </w:p>
        </w:tc>
        <w:tc>
          <w:tcPr/>
          <w:p>
            <w:pPr>
              <w:pStyle w:val="Compact"/>
            </w:pPr>
            <w:r>
              <w:t xml:space="preserve">High percent removal does not guarantee low residual; excerpt notes need for real wastewater studies rather than compliance claims.</w:t>
            </w:r>
          </w:p>
        </w:tc>
      </w:tr>
      <w:tr>
        <w:tc>
          <w:tcPr/>
          <w:p>
            <w:pPr>
              <w:pStyle w:val="Compact"/>
            </w:pPr>
            <w:r>
              <w:t xml:space="preserve">Eu³⁺</w:t>
            </w:r>
          </w:p>
        </w:tc>
        <w:tc>
          <w:tcPr/>
          <w:p>
            <w:pPr>
              <w:pStyle w:val="Compact"/>
            </w:pPr>
            <w:r>
              <w:t xml:space="preserve">Synthetic REE nitrate salts in modified BBM</w:t>
            </w:r>
          </w:p>
        </w:tc>
        <w:tc>
          <w:tcPr/>
          <w:p>
            <w:pPr>
              <w:pStyle w:val="Compact"/>
            </w:pPr>
            <w:r>
              <w:rPr>
                <w:i/>
                <w:iCs/>
              </w:rPr>
              <w:t xml:space="preserve">Anabaena</w:t>
            </w:r>
            <w:r>
              <w:t xml:space="preserve"> </w:t>
            </w:r>
            <w:r>
              <w:t xml:space="preserve">sp.</w:t>
            </w:r>
          </w:p>
        </w:tc>
        <w:tc>
          <w:tcPr/>
          <w:p>
            <w:pPr>
              <w:pStyle w:val="Compact"/>
            </w:pPr>
            <w:r>
              <w:t xml:space="preserve">76 ppb after &gt;1 day</w:t>
            </w:r>
          </w:p>
        </w:tc>
        <w:tc>
          <w:tcPr/>
          <w:p>
            <w:pPr>
              <w:pStyle w:val="Compact"/>
            </w:pPr>
            <w:r>
              <w:t xml:space="preserve">Demonstrates potential for very low residual REE in defined media; no discharge-limit comparison presented.</w:t>
            </w:r>
          </w:p>
        </w:tc>
      </w:tr>
    </w:tbl>
    <w:p>
      <w:pPr>
        <w:pStyle w:val="BodyText"/>
      </w:pPr>
      <w:r>
        <w:t xml:space="preserve">Evidence of desorption or rebound is also important for compliance, because transient removal may not persist to discharge. One industrial-wastewater biosorption study highlighted the need to understand Tl behavior because it “significantly reduces in the first few minutes and then desorbs back into the system with time,” which would directly complicate compliance assurance without sufficient residence time or post-polishing.</w:t>
      </w:r>
    </w:p>
    <w:bookmarkEnd w:id="25"/>
    <w:bookmarkStart w:id="26" w:name="X467818c30e13170d4859cc1cd4be1b7f2e6430c"/>
    <w:p>
      <w:pPr>
        <w:pStyle w:val="Heading2"/>
      </w:pPr>
      <w:r>
        <w:t xml:space="preserve">7. Process configuration and scale</w:t>
      </w:r>
    </w:p>
    <w:p>
      <w:pPr>
        <w:pStyle w:val="FirstParagraph"/>
      </w:pPr>
      <w:r>
        <w:t xml:space="preserve">Across studies, biosorption was primarily tested in batch systems (flasks or small tubes), with contact times ranging from minutes to hours or days, and with dried biomass often used to focus on surface binding processes rather than growth-coupled uptake. In the magnet-derived Nd biosorption study, experiments were conducted in 500 mL Erlenmeyer flasks and used oven-dried biomass, with dry biosorbent dosages ranging from 0.5 to 3 g/L and reported contact up to 90 minutes (with equilibrium within ~30 minutes).</w:t>
      </w:r>
    </w:p>
    <w:p>
      <w:pPr>
        <w:pStyle w:val="BodyText"/>
      </w:pPr>
      <w:r>
        <w:t xml:space="preserve">Continuous operation is directly relevant to wastewater compliance, and one magnet-derived leachate study explicitly reported Nd removal in both batch and continuous sorption systems using dried</w:t>
      </w:r>
      <w:r>
        <w:t xml:space="preserve"> </w:t>
      </w:r>
      <w:r>
        <w:rPr>
          <w:i/>
          <w:iCs/>
        </w:rPr>
        <w:t xml:space="preserve">Chlorella vulgaris</w:t>
      </w:r>
      <w:r>
        <w:t xml:space="preserve"> </w:t>
      </w:r>
      <w:r>
        <w:t xml:space="preserve">biomass, while also warning that slow kinetics reduced capacity under continuous conditions compared to batch assays. This indicates that contact-time limitations can be a design constraint when scaling biosorption as a compliance step for flowing wastewaters.</w:t>
      </w:r>
    </w:p>
    <w:p>
      <w:pPr>
        <w:pStyle w:val="BodyText"/>
      </w:pPr>
      <w:r>
        <w:t xml:space="preserve">A smaller portion of the evidence uses photobioreactor configurations with living cells. One study used a glass tubular air-lift photobioreactor system comprising nine 500 mL glass vessels for</w:t>
      </w:r>
      <w:r>
        <w:t xml:space="preserve"> </w:t>
      </w:r>
      <w:r>
        <w:rPr>
          <w:i/>
          <w:iCs/>
        </w:rPr>
        <w:t xml:space="preserve">Chlorella vulgaris</w:t>
      </w:r>
      <w:r>
        <w:t xml:space="preserve"> </w:t>
      </w:r>
      <w:r>
        <w:t xml:space="preserve">exposed to cobalt solutions, demonstrating that “reactorized” microalgae exposure studies exist, though in a synthetic-metal context rather than a real leachate.</w:t>
      </w:r>
    </w:p>
    <w:p>
      <w:pPr>
        <w:pStyle w:val="BodyText"/>
      </w:pPr>
      <w:r>
        <w:t xml:space="preserve">Modeling and parameterization is common, which is helpful for design but must be validated in realistic matrices. Examples include pseudo-second-order kinetics and Langmuir isotherms for Nd–</w:t>
      </w:r>
      <w:r>
        <w:rPr>
          <w:i/>
          <w:iCs/>
        </w:rPr>
        <w:t xml:space="preserve">C. vulgaris</w:t>
      </w:r>
      <w:r>
        <w:t xml:space="preserve"> </w:t>
      </w:r>
      <w:r>
        <w:t xml:space="preserve">biosorption (qmax 188.68 mg/g), Langmuir isotherms for Dy biosorption (with pseudo-second-order and Elovich kinetics), and preference for Langmuir over Freundlich fits in industrial-wastewater biosorption datasets.</w:t>
      </w:r>
    </w:p>
    <w:bookmarkEnd w:id="26"/>
    <w:bookmarkStart w:id="27" w:name="Xc90dc3a6f56146e5f76f29cc3e8a91e58251aca"/>
    <w:p>
      <w:pPr>
        <w:pStyle w:val="Heading2"/>
      </w:pPr>
      <w:r>
        <w:t xml:space="preserve">8. Critical evidence gaps</w:t>
      </w:r>
    </w:p>
    <w:p>
      <w:pPr>
        <w:pStyle w:val="FirstParagraph"/>
      </w:pPr>
      <w:r>
        <w:t xml:space="preserve">The excerpts collectively show strong proof-of-principle that microalgae can bind or accumulate REEs and some base metals rapidly under controlled conditions, but they also expose several gaps that prevent a confident conclusion that microalgae biosorption alone can bring complex NdFeB manufacturing leachates into discharge compliance.</w:t>
      </w:r>
    </w:p>
    <w:p>
      <w:pPr>
        <w:pStyle w:val="BodyText"/>
      </w:pPr>
      <w:r>
        <w:t xml:space="preserve">First, the most NdFeB-specific biosorption dataset used selective leaching to prepare magnet-derived aqueous solutions in which Fe, B, Dy, and Co were below detection, and it also reported “no iron detected” in a pH 2.4 solution, which means Fe-dominant competitive binding and Fe(OH)3 precipitation/co-precipitation effects were not actually tested in that magnet-derived matrix. Closing this gap would require biosorption tests using full-composition NdFeB leachate (or a validated synthetic analog) that intentionally includes Fe and B at realistic concentrations and oxidation states, and that tracks dissolved vs precipitated fractions as pH is adjusted.</w:t>
      </w:r>
    </w:p>
    <w:p>
      <w:pPr>
        <w:pStyle w:val="BodyText"/>
      </w:pPr>
      <w:r>
        <w:t xml:space="preserve">Second, phosphate chemistry can limit REE availability in living systems:</w:t>
      </w:r>
      <w:r>
        <w:t xml:space="preserve"> </w:t>
      </w:r>
      <w:r>
        <w:rPr>
          <w:i/>
          <w:iCs/>
        </w:rPr>
        <w:t xml:space="preserve">Galdieria sulphuraria</w:t>
      </w:r>
      <w:r>
        <w:t xml:space="preserve"> </w:t>
      </w:r>
      <w:r>
        <w:t xml:space="preserve">work concluded that REE biosorption was not efficient under conditions that allow sustained growth (high acidity and presence of phosphate), and confirmed that orthophosphate limits REE solubility and thus availability for biosorption. This implies that process-water nutrient content (or phosphate carryover) could reduce effective biosorption even when biomass is present, and should be explicitly controlled/measured in magnet-waste analogs.</w:t>
      </w:r>
    </w:p>
    <w:p>
      <w:pPr>
        <w:pStyle w:val="BodyText"/>
      </w:pPr>
      <w:r>
        <w:t xml:space="preserve">Third, boron appears to be a likely rate-limiting compliance parameter in multi-contaminant mixtures, because its removal decreased dramatically in multimetal solutions and was identified as the lowest yield ratio after 3 hours due to interference by other metals. Even studies demonstrating boron tolerance and cellular uptake (e.g., no growth decline at 25 mg/L and uptake of 3.35 mg/g) do not yet provide the treated-water residual concentrations needed to validate discharge compliance for boron.</w:t>
      </w:r>
    </w:p>
    <w:p>
      <w:pPr>
        <w:pStyle w:val="BodyText"/>
      </w:pPr>
      <w:r>
        <w:t xml:space="preserve">Fourth, time stability and rebound effects are insufficiently characterized. The reported Tl behavior—rapid initial reduction followed by desorption back into the system over time—shows that equilibrium and long-term stability can be problematic, and compliance-relevant protocols need to measure post-contact rebound and establish required residence times and/or polishing steps.</w:t>
      </w:r>
    </w:p>
    <w:p>
      <w:pPr>
        <w:pStyle w:val="BodyText"/>
      </w:pPr>
      <w:r>
        <w:t xml:space="preserve">Finally, several studies note unresolved mechanisms (e.g., the “exact mechanism responsible for the REE entrapment is not clear”), which limits rational optimization for complex matrices where multiple adsorption and precipitation pathways may co-occur.</w:t>
      </w:r>
    </w:p>
    <w:bookmarkEnd w:id="27"/>
    <w:bookmarkStart w:id="28" w:name="X026c02fc41bf72c610fa0ed61e62be9e59bc24c"/>
    <w:p>
      <w:pPr>
        <w:pStyle w:val="Heading2"/>
      </w:pPr>
      <w:r>
        <w:t xml:space="preserve">9. Comparison to conventional treatment</w:t>
      </w:r>
    </w:p>
    <w:p>
      <w:pPr>
        <w:pStyle w:val="FirstParagraph"/>
      </w:pPr>
      <w:r>
        <w:t xml:space="preserve">The excerpted studies primarily present biosorption as a kinetically fast, isotherm-modelable process (e.g., pseudo-second-order kinetics; Langmuir fits), rather than as a unit operation explicitly benchmarked against conventional chemical precipitation/clarification, ion exchange, or adsorption media for meeting discharge limits. Even within biosorption-focused work, the NdFeB-derived study explicitly described iron precipitation as pH increased (pH 2 to 5), which underscores that conventional precipitation phenomena can coincide with (or confound) biosorption in metal-rich waters and must be accounted for in any compliance-oriented process design.</w:t>
      </w:r>
    </w:p>
    <w:p>
      <w:pPr>
        <w:pStyle w:val="BodyText"/>
      </w:pPr>
      <w:r>
        <w:t xml:space="preserve">Given that many of the strongest REE removals are demonstrated in defined media or selectively prepared solutions (including magnet-derived solutions without iron), a compliance-focused comparison would require side-by-side tests where the same real or fully representative leachate is treated by (i) optimized microalgae biosorption and (ii) best-practice precipitation/clarification, with both evaluated using residual concentrations (not only % removal) and with attention to rebound/desorption behavior over time.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2026-02-12T19:43:34Z</dcterms:created>
  <dcterms:modified xsi:type="dcterms:W3CDTF">2026-02-12T19:43:34Z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