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esearch-strategy"/>
    <w:p>
      <w:pPr>
        <w:pStyle w:val="Heading1"/>
      </w:pPr>
      <w:r>
        <w:t xml:space="preserve">Research Strategy</w:t>
      </w:r>
    </w:p>
    <w:bookmarkStart w:id="24" w:name="X68193c03b51e36a055f42b235304f40c665b037"/>
    <w:p>
      <w:pPr>
        <w:pStyle w:val="Heading2"/>
      </w:pPr>
      <w:r>
        <w:t xml:space="preserve">1. SIGNIFICANCE</w:t>
      </w:r>
    </w:p>
    <w:bookmarkStart w:id="20" w:name="Xe9ce714a00b5bdd96354cbe711f432b1712439f"/>
    <w:p>
      <w:pPr>
        <w:pStyle w:val="Heading3"/>
      </w:pPr>
      <w:r>
        <w:t xml:space="preserve">1.1 The Critical Minerals Imperative</w:t>
      </w:r>
    </w:p>
    <w:p>
      <w:pPr>
        <w:pStyle w:val="FirstParagraph"/>
      </w:pPr>
      <w:r>
        <w:t xml:space="preserve">The global transition to a clean energy economy is critically dependent on a stable supply of high-performance materials, particularly neodymium-iron-boron (NdFeB) permanent magnets. These magnets are indispensable components in electric vehicle (EV) motors, wind turbine generators, and advanced defense systems. The global market for permanent magnets is projected to grow from USD 35.0 billion in 2022 to USD 78.9 billion by 2032, with NdFeB magnets expected to comprise 45% of this market by 2030. This rapid expansion is creating unprecedented demand for rare earth elements (REEs) such as neodymium (Nd), praseodymium (Pr), and dysprosium (Dy). However, the supply chain is highly concentrated, with the U.S. importing nearly 70% of its permanent magnets from China, which also controls over 85% of global REE processing capacity, creating significant supply chain vulnerabilities. Policies such as the U.S. Inflation Reduction Act (IRA), the DOE Critical Minerals Initiative (CMI), and the EU Critical Raw Materials Act mandate the development of secure domestic and allied supply chains to mitigate this risk. An expansion in domestic manufacturing will lead to a proportional increase in industrial wastewater, presenting a new set of environmental challenges that must be addressed for the supply chain to be truly sustainable.</w:t>
      </w:r>
    </w:p>
    <w:bookmarkEnd w:id="20"/>
    <w:bookmarkStart w:id="21" w:name="X9ebf207b0e302ebba36774718b1d138953dcd88"/>
    <w:p>
      <w:pPr>
        <w:pStyle w:val="Heading3"/>
      </w:pPr>
      <w:r>
        <w:t xml:space="preserve">1.2 The Wastewater Compliance Challenge</w:t>
      </w:r>
    </w:p>
    <w:p>
      <w:pPr>
        <w:pStyle w:val="FirstParagraph"/>
      </w:pPr>
      <w:r>
        <w:t xml:space="preserve">NdFeB magnet manufacturing is a multi-stage process involving casting, grinding, cutting, and surface treatment, each generating a unique and chemically complex waste stream. When leached, these waste streams—particularly grinding sludge—produce an effluent characterized by extremely high concentrations of iron (Fe), often exceeding 30,000–60,000 mg/L, alongside significant levels of Nd (15,000–28,000 mg/L), boron (B, 500–1,200 mg/L), cobalt (Co, up to 1,700 mg/L), and other metals. These leachates must be treated to meet stringent discharge limits under regulatory frameworks like the US EPA 40 CFR 433 (Metal Finishing) and the EU Best Available Techniques (BAT) Associated Emission Levels (AELs). For example, typical EU BAT-AELs require Cu and Ni to be below 2.0 mg/L, while US EPA limits are similar (Cu &lt;2.07 mg/L, Ni &lt;2.38 mg/L).</w:t>
      </w:r>
    </w:p>
    <w:p>
      <w:pPr>
        <w:pStyle w:val="BodyText"/>
      </w:pPr>
      <w:r>
        <w:t xml:space="preserve">Conventional treatment, dominated by chemical precipitation (e.g., lime or caustic soda), is widely used due to its simplicity but has major drawbacks for this specific waste stream. It generates vast quantities of hazardous sludge that is difficult to dewater and expensive to dispose of. Furthermore, hydroxide precipitation is often ineffective for removing boron, which has very strict discharge limits in many jurisdictions (e.g., 1.5 mg/L in EU drinking water directives), necessitating additional, costly polishing steps like ion exchange or reverse osmosis.</w:t>
      </w:r>
    </w:p>
    <w:bookmarkEnd w:id="21"/>
    <w:bookmarkStart w:id="22" w:name="X91113c5c67ca2831a94f261abfd830dac639061"/>
    <w:p>
      <w:pPr>
        <w:pStyle w:val="Heading3"/>
      </w:pPr>
      <w:r>
        <w:t xml:space="preserve">1.3 The Knowledge Gap</w:t>
      </w:r>
    </w:p>
    <w:p>
      <w:pPr>
        <w:pStyle w:val="FirstParagraph"/>
      </w:pPr>
      <w:r>
        <w:t xml:space="preserve">While microalgae-based biosorption has shown significant promise for removing heavy metals and REEs from aqueous solutions, a critical knowledge gap prevents its application to NdFeB manufacturing wastewater. A comprehensive review of the literature confirms that no peer-reviewed study has systematically tested the performance of microalgae against the full, complex chemical matrix of real NdFeB manufacturing leachate. The vast majority of existing biosorption research has been conducted using simplified, single-metal, or low-concentration synthetic solutions.</w:t>
      </w:r>
    </w:p>
    <w:p>
      <w:pPr>
        <w:pStyle w:val="BodyText"/>
      </w:pPr>
      <w:r>
        <w:t xml:space="preserve">The combined and potentially synergistic toxic effects of the true leachate composition—extreme iron-to-REE ratios (&gt;20:1), high boron concentrations, the presence of organic process chemicals (cooling agents, surfactants, chelators like EDTA), and multi-metal competition—on microalgae viability and biosorption capacity are entirely unknown. Boron, in particular, represents a rate-limiting challenge, as studies show its removal efficiency by microalgae in multi-metal solutions can be extremely low, dropping to as little as 0.2% in some cases. This project will close this critical gap by providing the first comprehensive assessment of microalgae biosorption as a viable compliance technology for this challenging industrial effluent.</w:t>
      </w:r>
    </w:p>
    <w:bookmarkEnd w:id="22"/>
    <w:bookmarkStart w:id="23" w:name="X3cb5d38e573e759aa33d5162d2bb70663f3122b"/>
    <w:p>
      <w:pPr>
        <w:pStyle w:val="Heading3"/>
      </w:pPr>
      <w:r>
        <w:t xml:space="preserve">1.4 Why This Matters Now</w:t>
      </w:r>
    </w:p>
    <w:p>
      <w:pPr>
        <w:pStyle w:val="FirstParagraph"/>
      </w:pPr>
      <w:r>
        <w:t xml:space="preserve">As the United States and its allies begin onshoring NdFeB magnet manufacturing, driven by incentives in the IRA and a strategic need to secure critical mineral supply chains, new production facilities are being planned and constructed. These facilities require Best Available Techniques for wastewater treatment that are not only compliant but also sustainable and cost-effective. A validated biological treatment option would reduce reliance on chemical-intensive processes, minimize hazardous sludge production, lower operational costs, and align with national green chemistry and circular economy objectives. By defining the operational boundaries of microalgae-based treatment for this specific application, this research will provide invaluable data to engineers, regulators, and industry stakeholders. Even a negative result—a definitive finding that microalgae cannot achieve compliance—is a valuable outcome, as it would prevent misapplication of the technology and inform the necessary design of hybrid chemical-biological systems.</w:t>
      </w:r>
    </w:p>
    <w:bookmarkEnd w:id="23"/>
    <w:bookmarkEnd w:id="24"/>
    <w:bookmarkStart w:id="30" w:name="Xffcc445e48e4130256aa37b30ebb5725d008767"/>
    <w:p>
      <w:pPr>
        <w:pStyle w:val="Heading2"/>
      </w:pPr>
      <w:r>
        <w:t xml:space="preserve">2. INNOVATION</w:t>
      </w:r>
    </w:p>
    <w:p>
      <w:pPr>
        <w:pStyle w:val="FirstParagraph"/>
      </w:pPr>
      <w:r>
        <w:t xml:space="preserve">This project is innovative in five key areas that distinguish it from prior research in the field of biosorption and wastewater treatment.</w:t>
      </w:r>
    </w:p>
    <w:bookmarkStart w:id="25" w:name="Xe693f3c2c22f51feeaf8d4e4826a05dc64a098f"/>
    <w:p>
      <w:pPr>
        <w:pStyle w:val="Heading3"/>
      </w:pPr>
      <w:r>
        <w:t xml:space="preserve">2.1 First Systematic Study of Microalgae vs. Full NdFeB Leachate</w:t>
      </w:r>
    </w:p>
    <w:p>
      <w:pPr>
        <w:pStyle w:val="FirstParagraph"/>
      </w:pPr>
      <w:r>
        <w:t xml:space="preserve">This research represents the first systematic, multi-species evaluation of microalgae biosorption against the complete chemical matrix of real-world NdFeB magnet manufacturing wastewater. By moving beyond simplified synthetic solutions, we will address the combined and currently unknown effects of an iron-dominant multi-metal system, high boron concentrations, and the presence of organic process chemicals like coolants and chelating agents.</w:t>
      </w:r>
    </w:p>
    <w:bookmarkEnd w:id="25"/>
    <w:bookmarkStart w:id="26" w:name="X244d5d2f553dec3051f850156baaba2567ed54d"/>
    <w:p>
      <w:pPr>
        <w:pStyle w:val="Heading3"/>
      </w:pPr>
      <w:r>
        <w:t xml:space="preserve">2.2 Compliance-Framed Experimental Design</w:t>
      </w:r>
    </w:p>
    <w:p>
      <w:pPr>
        <w:pStyle w:val="FirstParagraph"/>
      </w:pPr>
      <w:r>
        <w:t xml:space="preserve">Our experimental approach is fundamentally reframed around industrial and regulatory reality. The primary response variable will not be the conventional metric of "percent removal," but rather the "final residual concentration (mg/L)" of each contaminant measured directly against regulatory discharge limits. This compliance-centric framework ensures that the results are immediately translatable to real-world engineering applications and directly answer the question of whether the technology can meet legal requirements. Optimization will utilize multi-response desirability functions that are programmed to minimize the deviation from these legal discharge limits simultaneously.</w:t>
      </w:r>
    </w:p>
    <w:bookmarkEnd w:id="26"/>
    <w:bookmarkStart w:id="27" w:name="X0b7d1f1d2d04deaa092f7ca63fa14dc906fc88c"/>
    <w:p>
      <w:pPr>
        <w:pStyle w:val="Heading3"/>
      </w:pPr>
      <w:r>
        <w:t xml:space="preserve">2.3 Statistically Rigorous Two-Stage DOE</w:t>
      </w:r>
    </w:p>
    <w:p>
      <w:pPr>
        <w:pStyle w:val="FirstParagraph"/>
      </w:pPr>
      <w:r>
        <w:t xml:space="preserve">The project replaces the inefficient one-factor-at-a-time (OFAT) approach, common in biosorption literature, with a powerful two-stage statistical Design of Experiments (DOE). In Stage 1, a Definitive Screening Design (DSD) will be used to efficiently screen seven different factors across six microalgae species in 270 runs, identifying the most critical process variables. In Stage 2, a Box-Behnken or Central Composite Design (BBD/CCD) will be employed to develop a detailed Response Surface Methodology (RSM) model, mapping the "compliance window" and identifying optimal conditions with high statistical confidence. This rigorous, statistically-driven approach is a significant methodological innovation in this research area.</w:t>
      </w:r>
    </w:p>
    <w:bookmarkEnd w:id="27"/>
    <w:bookmarkStart w:id="28" w:name="Xc9235bfc871ad9b2306138d2ee0713e33d30a57"/>
    <w:p>
      <w:pPr>
        <w:pStyle w:val="Heading3"/>
      </w:pPr>
      <w:r>
        <w:t xml:space="preserve">2.4 Integrated Boron Co-Treatment Strategy</w:t>
      </w:r>
    </w:p>
    <w:p>
      <w:pPr>
        <w:pStyle w:val="FirstParagraph"/>
      </w:pPr>
      <w:r>
        <w:t xml:space="preserve">Recognizing boron as a uniquely challenging contaminant for biological systems, this project is the first to explicitly test whether microalgae can contribute to achieving stringent boron compliance in a complex, multi-metal industrial waste stream. Furthermore, the project innovatively plans for a hybrid system by integrating biosorption with a targeted polishing step (boron-selective ion exchange resin) to determine the most cost-effective pathway to full compliance.</w:t>
      </w:r>
    </w:p>
    <w:bookmarkEnd w:id="28"/>
    <w:bookmarkStart w:id="29" w:name="X67d6886cbff135d3978224994bded8ed116ef0a"/>
    <w:p>
      <w:pPr>
        <w:pStyle w:val="Heading3"/>
      </w:pPr>
      <w:r>
        <w:t xml:space="preserve">2.5 Pilot Validation with Real Industrial Waste</w:t>
      </w:r>
    </w:p>
    <w:p>
      <w:pPr>
        <w:pStyle w:val="FirstParagraph"/>
      </w:pPr>
      <w:r>
        <w:t xml:space="preserve">While the majority of biosorption studies are confined to bench-scale experiments with synthetic solutions, this project culminates in a pilot-scale validation. The optimized process will be tested in a 50-100 L continuous-flow reactor using real industrial wastewater for 30 consecutive days. This crucial step will provide robust data on long-term performance, process stability, and sludge characteristics, advancing the technology from a laboratory concept to a TRL 4-5 validation.</w:t>
      </w:r>
    </w:p>
    <w:bookmarkEnd w:id="29"/>
    <w:bookmarkEnd w:id="30"/>
    <w:bookmarkStart w:id="39" w:name="X7eb79177aa2c574dfeb196b15e20e9339bc152e"/>
    <w:p>
      <w:pPr>
        <w:pStyle w:val="Heading2"/>
      </w:pPr>
      <w:r>
        <w:t xml:space="preserve">3. APPROACH</w:t>
      </w:r>
    </w:p>
    <w:bookmarkStart w:id="31" w:name="X0d99df7ff6b5e1e273afda0993578a43da5ac14"/>
    <w:p>
      <w:pPr>
        <w:pStyle w:val="Heading3"/>
      </w:pPr>
      <w:r>
        <w:t xml:space="preserve">3.1 Overview and Rationale</w:t>
      </w:r>
    </w:p>
    <w:p>
      <w:pPr>
        <w:pStyle w:val="FirstParagraph"/>
      </w:pPr>
      <w:r>
        <w:t xml:space="preserve">This project will be executed over a 24-month period through a four-phase program designed to systematically de-risk the technology and generate a definitive assessment of its industrial viability. The research plan integrates five go/no-go decision gates at months 4, 6, 9, 13, and 22, ensuring a milestone-driven approach and responsible use of funds. The overall approach follows the logical progression from fundamental characterization to pilot-scale validation, guided by the Specific Aims outlined in the proposal.</w:t>
      </w:r>
    </w:p>
    <w:bookmarkEnd w:id="31"/>
    <w:bookmarkStart w:id="32" w:name="X1782f8eada5c8f78c28418fdde5c1109ca4f206"/>
    <w:p>
      <w:pPr>
        <w:pStyle w:val="Heading3"/>
      </w:pPr>
      <w:r>
        <w:t xml:space="preserve">3.2 Aim 1: Waste Stream Characterization (Months 1-4)</w:t>
      </w:r>
    </w:p>
    <w:p>
      <w:pPr>
        <w:pStyle w:val="FirstParagraph"/>
      </w:pPr>
      <w:r>
        <w:t xml:space="preserve">We will procure authentic waste samples from an industrial partner, including grinding sludge, polishing slurry, spent coolant, and cleaning agent waste. Each stream will be leached under controlled conditions and subjected to comprehensive chemical analysis. A full suite of 15+ analytes (including Fe, B, Co, Cu, Ni, Al, and all relevant REEs) will be quantified using ICP-MS/OES according to EPA methods 200.8/6010D. Standard methods will be used for COD, BOD, TOC, oil and grease, and surfactant assays. Based on this analysis, we will formulate a synthetic leachate recipe that accurately mimics the composition of the real waste. This synthetic analog will be validated by comparing the biosorption response of a reference alga (</w:t>
      </w:r>
      <w:r>
        <w:rPr>
          <w:i/>
          <w:iCs/>
        </w:rPr>
        <w:t xml:space="preserve">C. vulgaris</w:t>
      </w:r>
      <w:r>
        <w:t xml:space="preserve">) in both real and synthetic leachates. The primary deliverable will be a comprehensive composition report, the validated synthetic leachate recipe, and a compliance target matrix detailing the most stringent discharge limits from EU and US regulations.</w:t>
      </w:r>
      <w:r>
        <w:t xml:space="preserve"> </w:t>
      </w:r>
      <w:r>
        <w:rPr>
          <w:i/>
          <w:iCs/>
        </w:rPr>
        <w:t xml:space="preserve">Risk &amp; Mitigation:</w:t>
      </w:r>
      <w:r>
        <w:t xml:space="preserve"> </w:t>
      </w:r>
      <w:r>
        <w:t xml:space="preserve">Delays in obtaining industrial samples are possible. To mitigate this, we will begin initial screening experiments using the synthetic recipe based on extensive data from the literature while awaiting real samples.</w:t>
      </w:r>
    </w:p>
    <w:bookmarkEnd w:id="32"/>
    <w:bookmarkStart w:id="33" w:name="Xbf641040ce7d34d41f37afcda0f33dff938b75c"/>
    <w:p>
      <w:pPr>
        <w:pStyle w:val="Heading3"/>
      </w:pPr>
      <w:r>
        <w:t xml:space="preserve">3.3 Aim 2: DSD Screening (Months 4-9)</w:t>
      </w:r>
    </w:p>
    <w:p>
      <w:pPr>
        <w:pStyle w:val="FirstParagraph"/>
      </w:pPr>
      <w:r>
        <w:t xml:space="preserve">A 7-factor Definitive Screening Design will be executed to efficiently identify the most critical variables influencing compliance. The design will consist of 270 runs (+24 QC runs), evaluating seven factors across six species.</w:t>
      </w:r>
    </w:p>
    <w:p>
      <w:pPr>
        <w:pStyle w:val="Compact"/>
        <w:numPr>
          <w:ilvl w:val="0"/>
          <w:numId w:val="1001"/>
        </w:numPr>
      </w:pPr>
      <w:r>
        <w:rPr>
          <w:b/>
          <w:bCs/>
        </w:rPr>
        <w:t xml:space="preserve">Factors:</w:t>
      </w:r>
      <w:r>
        <w:t xml:space="preserve"> </w:t>
      </w:r>
      <w:r>
        <w:t xml:space="preserve">(1) pH (3-7); (2) Leachate Dilution (10-100%); (3) Fe Pre-removal (Yes/No via pH 3.5 precipitation); (4) Coolant Concentration (0-5% v/v); (5) EDTA Concentration (0-1.0 mM); (6) Biomass Dosage (0.5-5.0 g/L); (7) Contact Time (15-240 min).</w:t>
      </w:r>
    </w:p>
    <w:p>
      <w:pPr>
        <w:pStyle w:val="Compact"/>
        <w:numPr>
          <w:ilvl w:val="0"/>
          <w:numId w:val="1001"/>
        </w:numPr>
      </w:pPr>
      <w:r>
        <w:rPr>
          <w:b/>
          <w:bCs/>
        </w:rPr>
        <w:t xml:space="preserve">Species (as a blocking factor):</w:t>
      </w:r>
      <w:r>
        <w:t xml:space="preserve"> </w:t>
      </w:r>
      <w:r>
        <w:t xml:space="preserve">Six species will be tested based on demonstrated robustness and REE biosorption capacity in the literature:</w:t>
      </w:r>
      <w:r>
        <w:t xml:space="preserve"> </w:t>
      </w:r>
      <w:r>
        <w:rPr>
          <w:i/>
          <w:iCs/>
        </w:rPr>
        <w:t xml:space="preserve">Chlorella vulgaris</w:t>
      </w:r>
      <w:r>
        <w:t xml:space="preserve">, the extremophile</w:t>
      </w:r>
      <w:r>
        <w:t xml:space="preserve"> </w:t>
      </w:r>
      <w:r>
        <w:rPr>
          <w:i/>
          <w:iCs/>
        </w:rPr>
        <w:t xml:space="preserve">Galdieria sulphuraria</w:t>
      </w:r>
      <w:r>
        <w:t xml:space="preserve">,</w:t>
      </w:r>
      <w:r>
        <w:t xml:space="preserve"> </w:t>
      </w:r>
      <w:r>
        <w:rPr>
          <w:i/>
          <w:iCs/>
        </w:rPr>
        <w:t xml:space="preserve">Desmodesmus sp.</w:t>
      </w:r>
      <w:r>
        <w:t xml:space="preserve">,</w:t>
      </w:r>
      <w:r>
        <w:t xml:space="preserve"> </w:t>
      </w:r>
      <w:r>
        <w:rPr>
          <w:i/>
          <w:iCs/>
        </w:rPr>
        <w:t xml:space="preserve">Arthrospira platensis</w:t>
      </w:r>
      <w:r>
        <w:t xml:space="preserve">,</w:t>
      </w:r>
      <w:r>
        <w:t xml:space="preserve"> </w:t>
      </w:r>
      <w:r>
        <w:rPr>
          <w:i/>
          <w:iCs/>
        </w:rPr>
        <w:t xml:space="preserve">Nostoc sp.</w:t>
      </w:r>
      <w:r>
        <w:t xml:space="preserve">, and</w:t>
      </w:r>
      <w:r>
        <w:t xml:space="preserve"> </w:t>
      </w:r>
      <w:r>
        <w:rPr>
          <w:i/>
          <w:iCs/>
        </w:rPr>
        <w:t xml:space="preserve">Coccomyxa sp.</w:t>
      </w:r>
      <w:r>
        <w:t xml:space="preserve">.</w:t>
      </w:r>
      <w:r>
        <w:t xml:space="preserve"> </w:t>
      </w:r>
      <w:r>
        <w:t xml:space="preserve">The total analytical workload will be substantial, requiring approximately 2,646 ICP-MS determinations. Data will be analyzed via forward stepwise model selection (AICc) and half-normal plots to identify the top 3-4 significant factors and the top 1-2 species for optimization.</w:t>
      </w:r>
      <w:r>
        <w:t xml:space="preserve"> </w:t>
      </w:r>
      <w:r>
        <w:rPr>
          <w:i/>
          <w:iCs/>
        </w:rPr>
        <w:t xml:space="preserve">Go/No-Go Gate 3 (Month 9):</w:t>
      </w:r>
      <w:r>
        <w:t xml:space="preserve"> </w:t>
      </w:r>
      <w:r>
        <w:t xml:space="preserve">The project will be terminated if no tested species achieves a residual concentration less than 50% above the discharge limit for at least one regulated metal under any condition.</w:t>
      </w:r>
    </w:p>
    <w:bookmarkEnd w:id="33"/>
    <w:bookmarkStart w:id="34" w:name="Xe83baaf52bf4b524f04ad7c4d6409a69a754979"/>
    <w:p>
      <w:pPr>
        <w:pStyle w:val="Heading3"/>
      </w:pPr>
      <w:r>
        <w:t xml:space="preserve">3.4 Aim 3: RSM Optimization (Months 9-15)</w:t>
      </w:r>
    </w:p>
    <w:p>
      <w:pPr>
        <w:pStyle w:val="FirstParagraph"/>
      </w:pPr>
      <w:r>
        <w:t xml:space="preserve">Using the top species and factors from Aim 2, we will conduct a Response Surface Methodology study using a Box-Behnken Design (90-162 runs). This will generate a quadratic model of the compliance response surface. The primary response variables will remain the residual concentrations (mg/L) of each regulated metal. We will employ a Derringer-Suich desirability function to numerically optimize the process for simultaneous compliance across all contaminants. In parallel, continuous-flow column studies using immobilized biomass will be performed to generate breakthrough curves and assess performance under dynamic conditions. Finally, we will test the integration of a polishing step using a boron-selective ion exchange resin (e.g., Amberlite IRA-743) downstream of the biosorption step to evaluate the feasibility of a hybrid system for complete boron removal.</w:t>
      </w:r>
    </w:p>
    <w:bookmarkEnd w:id="34"/>
    <w:bookmarkStart w:id="35" w:name="X0ae631442e06f9c4746f1faa3b035a474c4137f"/>
    <w:p>
      <w:pPr>
        <w:pStyle w:val="Heading3"/>
      </w:pPr>
      <w:r>
        <w:t xml:space="preserve">3.5 Aim 4: Pilot Validation (Months 15-24)</w:t>
      </w:r>
    </w:p>
    <w:p>
      <w:pPr>
        <w:pStyle w:val="FirstParagraph"/>
      </w:pPr>
      <w:r>
        <w:t xml:space="preserve">The fully optimized process will be validated at a 50-100 L pilot scale using a continuous-flow reactor (either packed-bed or CSTR, depending on Aim 3 results). The reactor will be fed with real NdFeB manufacturing wastewater from our industrial partner and operated continuously for 30 days. Influent and effluent will be sampled daily and analyzed via ICP-MS to confirm sustained performance against the regulatory compliance matrix. The metal-laden biomass sludge produced will be systematically collected and subjected to Toxicity Characteristic Leaching Procedure (TCLP, EPA Method 1311) and EN 12457 testing to determine its classification under US RCRA and EU Waste Framework Directive regulations. A full mass balance will be conducted, and the process will be assessed to determine a final Technology Readiness Level (TRL), with a target of TRL 4-5.</w:t>
      </w:r>
    </w:p>
    <w:bookmarkEnd w:id="35"/>
    <w:bookmarkStart w:id="36" w:name="Xb6eaf5f72c709b51f8d0d8ede490059317578f4"/>
    <w:p>
      <w:pPr>
        <w:pStyle w:val="Heading3"/>
      </w:pPr>
      <w:r>
        <w:t xml:space="preserve">3.6 Potential Problems and Alternative Strategies</w:t>
      </w:r>
    </w:p>
    <w:p>
      <w:pPr>
        <w:pStyle w:val="Compact"/>
        <w:numPr>
          <w:ilvl w:val="0"/>
          <w:numId w:val="1002"/>
        </w:numPr>
      </w:pPr>
      <w:r>
        <w:rPr>
          <w:b/>
          <w:bCs/>
        </w:rPr>
        <w:t xml:space="preserve">Problem 1: High Leachate Toxicity.</w:t>
      </w:r>
      <w:r>
        <w:t xml:space="preserve"> </w:t>
      </w:r>
      <w:r>
        <w:t xml:space="preserve">If all tested species show no viability at &gt;10% leachate concentration, we will pivot to testing non-living (dried or chemically pre-treated) biomass, which is not susceptible to toxicity.</w:t>
      </w:r>
    </w:p>
    <w:p>
      <w:pPr>
        <w:pStyle w:val="Compact"/>
        <w:numPr>
          <w:ilvl w:val="0"/>
          <w:numId w:val="1002"/>
        </w:numPr>
      </w:pPr>
      <w:r>
        <w:rPr>
          <w:b/>
          <w:bCs/>
        </w:rPr>
        <w:t xml:space="preserve">Problem 2: Insufficient Boron Removal.</w:t>
      </w:r>
      <w:r>
        <w:t xml:space="preserve"> </w:t>
      </w:r>
      <w:r>
        <w:t xml:space="preserve">If microalgae alone cannot achieve boron compliance, we will focus on optimizing the hybrid system developed in Aim 3, conducting a cost-effectiveness analysis against an ion-exchange-only treatment train.</w:t>
      </w:r>
    </w:p>
    <w:p>
      <w:pPr>
        <w:pStyle w:val="Compact"/>
        <w:numPr>
          <w:ilvl w:val="0"/>
          <w:numId w:val="1002"/>
        </w:numPr>
      </w:pPr>
      <w:r>
        <w:rPr>
          <w:b/>
          <w:bCs/>
        </w:rPr>
        <w:t xml:space="preserve">Problem 3: Iron Interference Overwhelms Biosorption.</w:t>
      </w:r>
      <w:r>
        <w:t xml:space="preserve"> </w:t>
      </w:r>
      <w:r>
        <w:t xml:space="preserve">If high iron concentrations saturate all biomass binding sites, we will mandate iron pre-removal via pH 3.5 precipitation as a required pre-treatment step for all further experiments.</w:t>
      </w:r>
    </w:p>
    <w:p>
      <w:pPr>
        <w:pStyle w:val="Compact"/>
        <w:numPr>
          <w:ilvl w:val="0"/>
          <w:numId w:val="1002"/>
        </w:numPr>
      </w:pPr>
      <w:r>
        <w:rPr>
          <w:b/>
          <w:bCs/>
        </w:rPr>
        <w:t xml:space="preserve">Problem 4: Organic Co-Contaminants Prove Acutely Toxic.</w:t>
      </w:r>
      <w:r>
        <w:t xml:space="preserve"> </w:t>
      </w:r>
      <w:r>
        <w:t xml:space="preserve">If process chemicals like EDTA or coolants are found to be acutely toxic, we will investigate an activated carbon pre-treatment step to remove organic compounds prior to the biosorption stage.</w:t>
      </w:r>
    </w:p>
    <w:bookmarkEnd w:id="36"/>
    <w:bookmarkStart w:id="37" w:name="Xec51c94bec59a6667d2aa298a05024c65803780"/>
    <w:p>
      <w:pPr>
        <w:pStyle w:val="Heading3"/>
      </w:pPr>
      <w:r>
        <w:t xml:space="preserve">3.7 Timeline and Milestones</w:t>
      </w:r>
    </w:p>
    <w:p>
      <w:pPr>
        <w:pStyle w:val="FirstParagraph"/>
      </w:pPr>
      <w:r>
        <w:t xml:space="preserve">The project will adhere to the 24-month Gantt timeline detailed in previous project documents, which includes five critical go/no-go gates. The critical path runs through the sequence of Aims 1 through 4, with zero float, ensuring a focused and timely execution of the research plan.</w:t>
      </w:r>
    </w:p>
    <w:bookmarkEnd w:id="37"/>
    <w:bookmarkStart w:id="38" w:name="Xf86021bbdfdde50ccf56bd371afbe4d7eaea22b"/>
    <w:p>
      <w:pPr>
        <w:pStyle w:val="Heading3"/>
      </w:pPr>
      <w:r>
        <w:t xml:space="preserve">3.8 Evaluation Plan</w:t>
      </w:r>
    </w:p>
    <w:p>
      <w:pPr>
        <w:pStyle w:val="FirstParagraph"/>
      </w:pPr>
      <w:r>
        <w:t xml:space="preserve">The success of this project will be evaluated based on the final compliance matrix generated in Aim 4.</w:t>
      </w:r>
    </w:p>
    <w:p>
      <w:pPr>
        <w:pStyle w:val="Compact"/>
        <w:numPr>
          <w:ilvl w:val="0"/>
          <w:numId w:val="1003"/>
        </w:numPr>
      </w:pPr>
      <w:r>
        <w:rPr>
          <w:b/>
          <w:bCs/>
        </w:rPr>
        <w:t xml:space="preserve">Full Success:</w:t>
      </w:r>
      <w:r>
        <w:t xml:space="preserve"> </w:t>
      </w:r>
      <w:r>
        <w:t xml:space="preserve">The optimized microalgae-based process (alone or in a cost-effective hybrid configuration) achieves compliance for ≥6 of the 9 regulated metals at the pilot scale.</w:t>
      </w:r>
    </w:p>
    <w:p>
      <w:pPr>
        <w:pStyle w:val="Compact"/>
        <w:numPr>
          <w:ilvl w:val="0"/>
          <w:numId w:val="1003"/>
        </w:numPr>
      </w:pPr>
      <w:r>
        <w:rPr>
          <w:b/>
          <w:bCs/>
        </w:rPr>
        <w:t xml:space="preserve">Partial Success:</w:t>
      </w:r>
      <w:r>
        <w:t xml:space="preserve"> </w:t>
      </w:r>
      <w:r>
        <w:t xml:space="preserve">The process achieves compliance for 3-5 of the regulated metals, providing a strong proof-of-concept and a clear pathway for developing a more comprehensive hybrid system.</w:t>
      </w:r>
    </w:p>
    <w:p>
      <w:pPr>
        <w:pStyle w:val="Compact"/>
        <w:numPr>
          <w:ilvl w:val="0"/>
          <w:numId w:val="1003"/>
        </w:numPr>
      </w:pPr>
      <w:r>
        <w:rPr>
          <w:b/>
          <w:bCs/>
        </w:rPr>
        <w:t xml:space="preserve">Valuable Failure:</w:t>
      </w:r>
      <w:r>
        <w:t xml:space="preserve"> </w:t>
      </w:r>
      <w:r>
        <w:t xml:space="preserve">The process achieves compliance for &lt;3 metals, definitively establishing the lower-bound capabilities of biological treatment for this waste stream. This negative result would be highly valuable to the field and would be published to guide future research.</w:t>
      </w:r>
    </w:p>
    <w:p>
      <w:pPr>
        <w:pStyle w:val="SourceCode"/>
      </w:pP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2026-02-12T18:45:41Z</dcterms:created>
  <dcterms:modified xsi:type="dcterms:W3CDTF">2026-02-12T18:45:41Z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