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f9b7c5c55d730046154378713ac6023db141460"/>
    <w:p>
      <w:pPr>
        <w:pStyle w:val="Heading1"/>
      </w:pPr>
      <w:r>
        <w:t xml:space="preserve">SOP: Synthetic NdFeB Magnet Manufacturing Leachate Preparation</w:t>
      </w:r>
    </w:p>
    <w:bookmarkStart w:id="20" w:name="X4666c8db187a468bd7c4d1efd69e1ca31a62544"/>
    <w:p>
      <w:pPr>
        <w:pStyle w:val="Heading2"/>
      </w:pPr>
      <w:r>
        <w:t xml:space="preserve">1. Purpose and Scope</w:t>
      </w:r>
    </w:p>
    <w:p>
      <w:pPr>
        <w:pStyle w:val="FirstParagraph"/>
      </w:pPr>
      <w:r>
        <w:t xml:space="preserve">This Standard Operating Procedure (SOP) provides step-by-step instructions for preparing a consistent and reproducible synthetic wastewater that chemically replicates the leachate from NdFeB permanent magnet manufacturing waste, specifically grinding sludge. This synthetic leachate is intended for use in laboratory-scale experiments, including Definitive Screening Designs (DSD), Response Surface Methodology (RSM) optimization, column studies, and as a control solution. The total volume required for the planned 24-month research program is estimated to be 200–300 liters.</w:t>
      </w:r>
    </w:p>
    <w:bookmarkEnd w:id="20"/>
    <w:bookmarkStart w:id="24" w:name="Xe70adbd006a1d1aa6fe4ce128884295d7803205"/>
    <w:p>
      <w:pPr>
        <w:pStyle w:val="Heading2"/>
      </w:pPr>
      <w:r>
        <w:t xml:space="preserve">2. Target Composition</w:t>
      </w:r>
    </w:p>
    <w:bookmarkStart w:id="21" w:name="X75552cfc8e4aad500ea5108c9304f9619e67742"/>
    <w:p>
      <w:pPr>
        <w:pStyle w:val="Heading3"/>
      </w:pPr>
      <w:r>
        <w:t xml:space="preserve">2.1 Base Recipe (100% Strength Grinding Sludge Leachate Analog)</w:t>
      </w:r>
    </w:p>
    <w:p>
      <w:pPr>
        <w:pStyle w:val="FirstParagraph"/>
      </w:pPr>
      <w:r>
        <w:t xml:space="preserve">The base recipe is formulated to match the high-iron, multi-REE, and multi-metal composition reported in literature for acidic leachates of NdFeB magnet production waste.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Target (mg/L)</w:t>
            </w:r>
          </w:p>
        </w:tc>
        <w:tc>
          <w:tcPr/>
          <w:p>
            <w:pPr>
              <w:pStyle w:val="Compact"/>
              <w:jc w:val="left"/>
            </w:pPr>
            <w:r>
              <w:t xml:space="preserve">Source Salt</w:t>
            </w:r>
          </w:p>
        </w:tc>
        <w:tc>
          <w:tcPr/>
          <w:p>
            <w:pPr>
              <w:pStyle w:val="Compact"/>
              <w:jc w:val="left"/>
            </w:pPr>
            <w:r>
              <w:t xml:space="preserve">Salt Conc. (g/L)</w:t>
            </w:r>
          </w:p>
        </w:tc>
        <w:tc>
          <w:tcPr/>
          <w:p>
            <w:pPr>
              <w:pStyle w:val="Compact"/>
              <w:jc w:val="left"/>
            </w:pPr>
            <w:r>
              <w:t xml:space="preserve">CAS No.</w:t>
            </w:r>
          </w:p>
        </w:tc>
        <w:tc>
          <w:tcPr/>
          <w:p>
            <w:pPr>
              <w:pStyle w:val="Compact"/>
              <w:jc w:val="left"/>
            </w:pPr>
            <w:r>
              <w:t xml:space="preserve">MW (g/mol)</w:t>
            </w:r>
          </w:p>
        </w:tc>
      </w:tr>
      <w:tr>
        <w:tc>
          <w:tcPr/>
          <w:p>
            <w:pPr>
              <w:pStyle w:val="Compact"/>
              <w:jc w:val="left"/>
            </w:pPr>
            <w:r>
              <w:t xml:space="preserve">Fe(III)</w:t>
            </w:r>
          </w:p>
        </w:tc>
        <w:tc>
          <w:tcPr/>
          <w:p>
            <w:pPr>
              <w:pStyle w:val="Compact"/>
              <w:jc w:val="left"/>
            </w:pPr>
            <w:r>
              <w:t xml:space="preserve">5000</w:t>
            </w:r>
          </w:p>
        </w:tc>
        <w:tc>
          <w:tcPr/>
          <w:p>
            <w:pPr>
              <w:pStyle w:val="Compact"/>
              <w:jc w:val="left"/>
            </w:pPr>
            <w:r>
              <w:t xml:space="preserve">Ferric Chloride Hexahydrate (FeCl₃·6H₂O)</w:t>
            </w:r>
          </w:p>
        </w:tc>
        <w:tc>
          <w:tcPr/>
          <w:p>
            <w:pPr>
              <w:pStyle w:val="Compact"/>
              <w:jc w:val="left"/>
            </w:pPr>
            <w:r>
              <w:t xml:space="preserve">24.17</w:t>
            </w:r>
          </w:p>
        </w:tc>
        <w:tc>
          <w:tcPr/>
          <w:p>
            <w:pPr>
              <w:pStyle w:val="Compact"/>
              <w:jc w:val="left"/>
            </w:pPr>
            <w:r>
              <w:t xml:space="preserve">10025-77-1</w:t>
            </w:r>
          </w:p>
        </w:tc>
        <w:tc>
          <w:tcPr/>
          <w:p>
            <w:pPr>
              <w:pStyle w:val="Compact"/>
              <w:jc w:val="left"/>
            </w:pPr>
            <w:r>
              <w:t xml:space="preserve">270.30</w:t>
            </w:r>
          </w:p>
        </w:tc>
      </w:tr>
      <w:tr>
        <w:tc>
          <w:tcPr/>
          <w:p>
            <w:pPr>
              <w:pStyle w:val="Compact"/>
              <w:jc w:val="left"/>
            </w:pPr>
            <w:r>
              <w:t xml:space="preserve">Nd(III)</w:t>
            </w:r>
          </w:p>
        </w:tc>
        <w:tc>
          <w:tcPr/>
          <w:p>
            <w:pPr>
              <w:pStyle w:val="Compact"/>
              <w:jc w:val="left"/>
            </w:pPr>
            <w:r>
              <w:t xml:space="preserve">1500</w:t>
            </w:r>
          </w:p>
        </w:tc>
        <w:tc>
          <w:tcPr/>
          <w:p>
            <w:pPr>
              <w:pStyle w:val="Compact"/>
              <w:jc w:val="left"/>
            </w:pPr>
            <w:r>
              <w:t xml:space="preserve">Neodymium(III) Chloride Hexahydrate (NdCl₃·6H₂O)</w:t>
            </w:r>
          </w:p>
        </w:tc>
        <w:tc>
          <w:tcPr/>
          <w:p>
            <w:pPr>
              <w:pStyle w:val="Compact"/>
              <w:jc w:val="left"/>
            </w:pPr>
            <w:r>
              <w:t xml:space="preserve">5.50</w:t>
            </w:r>
          </w:p>
        </w:tc>
        <w:tc>
          <w:tcPr/>
          <w:p>
            <w:pPr>
              <w:pStyle w:val="Compact"/>
              <w:jc w:val="left"/>
            </w:pPr>
            <w:r>
              <w:t xml:space="preserve">13544-93-7</w:t>
            </w:r>
          </w:p>
        </w:tc>
        <w:tc>
          <w:tcPr/>
          <w:p>
            <w:pPr>
              <w:pStyle w:val="Compact"/>
              <w:jc w:val="left"/>
            </w:pPr>
            <w:r>
              <w:t xml:space="preserve">358.69</w:t>
            </w:r>
          </w:p>
        </w:tc>
      </w:tr>
      <w:tr>
        <w:tc>
          <w:tcPr/>
          <w:p>
            <w:pPr>
              <w:pStyle w:val="Compact"/>
              <w:jc w:val="left"/>
            </w:pPr>
            <w:r>
              <w:t xml:space="preserve">Dy(III)</w:t>
            </w:r>
          </w:p>
        </w:tc>
        <w:tc>
          <w:tcPr/>
          <w:p>
            <w:pPr>
              <w:pStyle w:val="Compact"/>
              <w:jc w:val="left"/>
            </w:pPr>
            <w:r>
              <w:t xml:space="preserve">120</w:t>
            </w:r>
          </w:p>
        </w:tc>
        <w:tc>
          <w:tcPr/>
          <w:p>
            <w:pPr>
              <w:pStyle w:val="Compact"/>
              <w:jc w:val="left"/>
            </w:pPr>
            <w:r>
              <w:t xml:space="preserve">Dysprosium(III) Chloride Hexahydrate (DyCl₃·6H₂O)</w:t>
            </w:r>
          </w:p>
        </w:tc>
        <w:tc>
          <w:tcPr/>
          <w:p>
            <w:pPr>
              <w:pStyle w:val="Compact"/>
              <w:jc w:val="left"/>
            </w:pPr>
            <w:r>
              <w:t xml:space="preserve">0.42</w:t>
            </w:r>
          </w:p>
        </w:tc>
        <w:tc>
          <w:tcPr/>
          <w:p>
            <w:pPr>
              <w:pStyle w:val="Compact"/>
              <w:jc w:val="left"/>
            </w:pPr>
            <w:r>
              <w:t xml:space="preserve">15059-52-6</w:t>
            </w:r>
          </w:p>
        </w:tc>
        <w:tc>
          <w:tcPr/>
          <w:p>
            <w:pPr>
              <w:pStyle w:val="Compact"/>
              <w:jc w:val="left"/>
            </w:pPr>
            <w:r>
              <w:t xml:space="preserve">371.95</w:t>
            </w:r>
          </w:p>
        </w:tc>
      </w:tr>
      <w:tr>
        <w:tc>
          <w:tcPr/>
          <w:p>
            <w:pPr>
              <w:pStyle w:val="Compact"/>
              <w:jc w:val="left"/>
            </w:pPr>
            <w:r>
              <w:t xml:space="preserve">Pr(III)</w:t>
            </w:r>
          </w:p>
        </w:tc>
        <w:tc>
          <w:tcPr/>
          <w:p>
            <w:pPr>
              <w:pStyle w:val="Compact"/>
              <w:jc w:val="left"/>
            </w:pPr>
            <w:r>
              <w:t xml:space="preserve">300</w:t>
            </w:r>
          </w:p>
        </w:tc>
        <w:tc>
          <w:tcPr/>
          <w:p>
            <w:pPr>
              <w:pStyle w:val="Compact"/>
              <w:jc w:val="left"/>
            </w:pPr>
            <w:r>
              <w:t xml:space="preserve">Praseodymium(III) Chloride Hexahydrate (PrCl₃·6H₂O)</w:t>
            </w:r>
          </w:p>
        </w:tc>
        <w:tc>
          <w:tcPr/>
          <w:p>
            <w:pPr>
              <w:pStyle w:val="Compact"/>
              <w:jc w:val="left"/>
            </w:pPr>
            <w:r>
              <w:t xml:space="preserve">1.14</w:t>
            </w:r>
          </w:p>
        </w:tc>
        <w:tc>
          <w:tcPr/>
          <w:p>
            <w:pPr>
              <w:pStyle w:val="Compact"/>
              <w:jc w:val="left"/>
            </w:pPr>
            <w:r>
              <w:t xml:space="preserve">19423-77-9</w:t>
            </w:r>
          </w:p>
        </w:tc>
        <w:tc>
          <w:tcPr/>
          <w:p>
            <w:pPr>
              <w:pStyle w:val="Compact"/>
              <w:jc w:val="left"/>
            </w:pPr>
            <w:r>
              <w:t xml:space="preserve">350.36</w:t>
            </w:r>
          </w:p>
        </w:tc>
      </w:tr>
      <w:tr>
        <w:tc>
          <w:tcPr/>
          <w:p>
            <w:pPr>
              <w:pStyle w:val="Compact"/>
              <w:jc w:val="left"/>
            </w:pPr>
            <w:r>
              <w:t xml:space="preserve">B</w:t>
            </w:r>
          </w:p>
        </w:tc>
        <w:tc>
          <w:tcPr/>
          <w:p>
            <w:pPr>
              <w:pStyle w:val="Compact"/>
              <w:jc w:val="left"/>
            </w:pPr>
            <w:r>
              <w:t xml:space="preserve">500</w:t>
            </w:r>
          </w:p>
        </w:tc>
        <w:tc>
          <w:tcPr/>
          <w:p>
            <w:pPr>
              <w:pStyle w:val="Compact"/>
              <w:jc w:val="left"/>
            </w:pPr>
            <w:r>
              <w:t xml:space="preserve">Boric Acid (H₃BO₃)</w:t>
            </w:r>
          </w:p>
        </w:tc>
        <w:tc>
          <w:tcPr/>
          <w:p>
            <w:pPr>
              <w:pStyle w:val="Compact"/>
              <w:jc w:val="left"/>
            </w:pPr>
            <w:r>
              <w:t xml:space="preserve">2.86</w:t>
            </w:r>
          </w:p>
        </w:tc>
        <w:tc>
          <w:tcPr/>
          <w:p>
            <w:pPr>
              <w:pStyle w:val="Compact"/>
              <w:jc w:val="left"/>
            </w:pPr>
            <w:r>
              <w:t xml:space="preserve">10043-35-3</w:t>
            </w:r>
          </w:p>
        </w:tc>
        <w:tc>
          <w:tcPr/>
          <w:p>
            <w:pPr>
              <w:pStyle w:val="Compact"/>
              <w:jc w:val="left"/>
            </w:pPr>
            <w:r>
              <w:t xml:space="preserve">61.83</w:t>
            </w:r>
          </w:p>
        </w:tc>
      </w:tr>
      <w:tr>
        <w:tc>
          <w:tcPr/>
          <w:p>
            <w:pPr>
              <w:pStyle w:val="Compact"/>
              <w:jc w:val="left"/>
            </w:pPr>
            <w:r>
              <w:t xml:space="preserve">Co(II)</w:t>
            </w:r>
          </w:p>
        </w:tc>
        <w:tc>
          <w:tcPr/>
          <w:p>
            <w:pPr>
              <w:pStyle w:val="Compact"/>
              <w:jc w:val="left"/>
            </w:pPr>
            <w:r>
              <w:t xml:space="preserve">100</w:t>
            </w:r>
          </w:p>
        </w:tc>
        <w:tc>
          <w:tcPr/>
          <w:p>
            <w:pPr>
              <w:pStyle w:val="Compact"/>
              <w:jc w:val="left"/>
            </w:pPr>
            <w:r>
              <w:t xml:space="preserve">Cobalt(II) Chloride Hexahydrate (CoCl₂·6H₂O)</w:t>
            </w:r>
          </w:p>
        </w:tc>
        <w:tc>
          <w:tcPr/>
          <w:p>
            <w:pPr>
              <w:pStyle w:val="Compact"/>
              <w:jc w:val="left"/>
            </w:pPr>
            <w:r>
              <w:t xml:space="preserve">0.40</w:t>
            </w:r>
          </w:p>
        </w:tc>
        <w:tc>
          <w:tcPr/>
          <w:p>
            <w:pPr>
              <w:pStyle w:val="Compact"/>
              <w:jc w:val="left"/>
            </w:pPr>
            <w:r>
              <w:t xml:space="preserve">7791-13-1</w:t>
            </w:r>
          </w:p>
        </w:tc>
        <w:tc>
          <w:tcPr/>
          <w:p>
            <w:pPr>
              <w:pStyle w:val="Compact"/>
              <w:jc w:val="left"/>
            </w:pPr>
            <w:r>
              <w:t xml:space="preserve">237.93</w:t>
            </w:r>
          </w:p>
        </w:tc>
      </w:tr>
      <w:tr>
        <w:tc>
          <w:tcPr/>
          <w:p>
            <w:pPr>
              <w:pStyle w:val="Compact"/>
              <w:jc w:val="left"/>
            </w:pPr>
            <w:r>
              <w:t xml:space="preserve">Cu(II)</w:t>
            </w:r>
          </w:p>
        </w:tc>
        <w:tc>
          <w:tcPr/>
          <w:p>
            <w:pPr>
              <w:pStyle w:val="Compact"/>
              <w:jc w:val="left"/>
            </w:pPr>
            <w:r>
              <w:t xml:space="preserve">50</w:t>
            </w:r>
          </w:p>
        </w:tc>
        <w:tc>
          <w:tcPr/>
          <w:p>
            <w:pPr>
              <w:pStyle w:val="Compact"/>
              <w:jc w:val="left"/>
            </w:pPr>
            <w:r>
              <w:t xml:space="preserve">Copper(II) Chloride Dihydrate (CuCl₂·2H₂O)</w:t>
            </w:r>
          </w:p>
        </w:tc>
        <w:tc>
          <w:tcPr/>
          <w:p>
            <w:pPr>
              <w:pStyle w:val="Compact"/>
              <w:jc w:val="left"/>
            </w:pPr>
            <w:r>
              <w:t xml:space="preserve">0.13</w:t>
            </w:r>
          </w:p>
        </w:tc>
        <w:tc>
          <w:tcPr/>
          <w:p>
            <w:pPr>
              <w:pStyle w:val="Compact"/>
              <w:jc w:val="left"/>
            </w:pPr>
            <w:r>
              <w:t xml:space="preserve">10125-13-0</w:t>
            </w:r>
          </w:p>
        </w:tc>
        <w:tc>
          <w:tcPr/>
          <w:p>
            <w:pPr>
              <w:pStyle w:val="Compact"/>
              <w:jc w:val="left"/>
            </w:pPr>
            <w:r>
              <w:t xml:space="preserve">170.48</w:t>
            </w:r>
          </w:p>
        </w:tc>
      </w:tr>
      <w:tr>
        <w:tc>
          <w:tcPr/>
          <w:p>
            <w:pPr>
              <w:pStyle w:val="Compact"/>
              <w:jc w:val="left"/>
            </w:pPr>
            <w:r>
              <w:t xml:space="preserve">Ni(II)</w:t>
            </w:r>
          </w:p>
        </w:tc>
        <w:tc>
          <w:tcPr/>
          <w:p>
            <w:pPr>
              <w:pStyle w:val="Compact"/>
              <w:jc w:val="left"/>
            </w:pPr>
            <w:r>
              <w:t xml:space="preserve">50</w:t>
            </w:r>
          </w:p>
        </w:tc>
        <w:tc>
          <w:tcPr/>
          <w:p>
            <w:pPr>
              <w:pStyle w:val="Compact"/>
              <w:jc w:val="left"/>
            </w:pPr>
            <w:r>
              <w:t xml:space="preserve">Nickel(II) Chloride Hexahydrate (NiCl₂·6H₂O)</w:t>
            </w:r>
          </w:p>
        </w:tc>
        <w:tc>
          <w:tcPr/>
          <w:p>
            <w:pPr>
              <w:pStyle w:val="Compact"/>
              <w:jc w:val="left"/>
            </w:pPr>
            <w:r>
              <w:t xml:space="preserve">0.20</w:t>
            </w:r>
          </w:p>
        </w:tc>
        <w:tc>
          <w:tcPr/>
          <w:p>
            <w:pPr>
              <w:pStyle w:val="Compact"/>
              <w:jc w:val="left"/>
            </w:pPr>
            <w:r>
              <w:t xml:space="preserve">7791-20-0</w:t>
            </w:r>
          </w:p>
        </w:tc>
        <w:tc>
          <w:tcPr/>
          <w:p>
            <w:pPr>
              <w:pStyle w:val="Compact"/>
              <w:jc w:val="left"/>
            </w:pPr>
            <w:r>
              <w:t xml:space="preserve">237.69</w:t>
            </w:r>
          </w:p>
        </w:tc>
      </w:tr>
      <w:tr>
        <w:tc>
          <w:tcPr/>
          <w:p>
            <w:pPr>
              <w:pStyle w:val="Compact"/>
              <w:jc w:val="left"/>
            </w:pPr>
            <w:r>
              <w:t xml:space="preserve">Al(III)</w:t>
            </w:r>
          </w:p>
        </w:tc>
        <w:tc>
          <w:tcPr/>
          <w:p>
            <w:pPr>
              <w:pStyle w:val="Compact"/>
              <w:jc w:val="left"/>
            </w:pPr>
            <w:r>
              <w:t xml:space="preserve">50</w:t>
            </w:r>
          </w:p>
        </w:tc>
        <w:tc>
          <w:tcPr/>
          <w:p>
            <w:pPr>
              <w:pStyle w:val="Compact"/>
              <w:jc w:val="left"/>
            </w:pPr>
            <w:r>
              <w:t xml:space="preserve">Aluminum Chloride Hexahydrate (AlCl₃·6H₂O)</w:t>
            </w:r>
          </w:p>
        </w:tc>
        <w:tc>
          <w:tcPr/>
          <w:p>
            <w:pPr>
              <w:pStyle w:val="Compact"/>
              <w:jc w:val="left"/>
            </w:pPr>
            <w:r>
              <w:t xml:space="preserve">0.41</w:t>
            </w:r>
          </w:p>
        </w:tc>
        <w:tc>
          <w:tcPr/>
          <w:p>
            <w:pPr>
              <w:pStyle w:val="Compact"/>
              <w:jc w:val="left"/>
            </w:pPr>
            <w:r>
              <w:t xml:space="preserve">7784-13-6</w:t>
            </w:r>
          </w:p>
        </w:tc>
        <w:tc>
          <w:tcPr/>
          <w:p>
            <w:pPr>
              <w:pStyle w:val="Compact"/>
              <w:jc w:val="left"/>
            </w:pPr>
            <w:r>
              <w:t xml:space="preserve">241.43</w:t>
            </w:r>
          </w:p>
        </w:tc>
      </w:tr>
      <w:tr>
        <w:tc>
          <w:tcPr/>
          <w:p>
            <w:pPr>
              <w:pStyle w:val="Compact"/>
              <w:jc w:val="left"/>
            </w:pPr>
            <w:r>
              <w:t xml:space="preserve">pH</w:t>
            </w:r>
          </w:p>
        </w:tc>
        <w:tc>
          <w:tcPr/>
          <w:p>
            <w:pPr>
              <w:pStyle w:val="Compact"/>
              <w:jc w:val="left"/>
            </w:pPr>
            <w:r>
              <w:t xml:space="preserve">1.5-2.0</w:t>
            </w:r>
          </w:p>
        </w:tc>
        <w:tc>
          <w:tcPr/>
          <w:p>
            <w:pPr>
              <w:pStyle w:val="Compact"/>
              <w:jc w:val="left"/>
            </w:pPr>
            <w:r>
              <w:t xml:space="preserve">Hydrochloric Acid (HCl), conc.</w:t>
            </w:r>
          </w:p>
        </w:tc>
        <w:tc>
          <w:tcPr/>
          <w:p>
            <w:pPr>
              <w:pStyle w:val="Compact"/>
              <w:jc w:val="left"/>
            </w:pPr>
            <w:r>
              <w:t xml:space="preserve">As needed</w:t>
            </w:r>
          </w:p>
        </w:tc>
        <w:tc>
          <w:tcPr/>
          <w:p>
            <w:pPr>
              <w:pStyle w:val="Compact"/>
              <w:jc w:val="left"/>
            </w:pPr>
            <w:r>
              <w:t xml:space="preserve">7647-01-0</w:t>
            </w:r>
          </w:p>
        </w:tc>
        <w:tc>
          <w:tcPr/>
          <w:p>
            <w:pPr>
              <w:pStyle w:val="Compact"/>
              <w:jc w:val="left"/>
            </w:pPr>
            <w:r>
              <w:t xml:space="preserve">36.46</w:t>
            </w:r>
          </w:p>
        </w:tc>
      </w:tr>
    </w:tbl>
    <w:bookmarkEnd w:id="21"/>
    <w:bookmarkStart w:id="22" w:name="X8176a895661636025a220745cf83c658331bdad"/>
    <w:p>
      <w:pPr>
        <w:pStyle w:val="Heading3"/>
      </w:pPr>
      <w:r>
        <w:t xml:space="preserve">2.2 Optional Organic Additive Package</w:t>
      </w:r>
    </w:p>
    <w:p>
      <w:pPr>
        <w:pStyle w:val="FirstParagraph"/>
      </w:pPr>
      <w:r>
        <w:t xml:space="preserve">To simulate process chemical carryover, the following can be added to the base recipe:</w:t>
      </w:r>
    </w:p>
    <w:p>
      <w:pPr>
        <w:pStyle w:val="Compact"/>
        <w:numPr>
          <w:ilvl w:val="0"/>
          <w:numId w:val="1001"/>
        </w:numPr>
      </w:pPr>
      <w:r>
        <w:rPr>
          <w:b/>
          <w:bCs/>
        </w:rPr>
        <w:t xml:space="preserve">EDTA:</w:t>
      </w:r>
      <w:r>
        <w:t xml:space="preserve"> </w:t>
      </w:r>
      <w:r>
        <w:t xml:space="preserve">0-1.0 mM (from a stock of Disodium EDTA dihydrate, Na₂EDTA·2H₂O)</w:t>
      </w:r>
    </w:p>
    <w:p>
      <w:pPr>
        <w:pStyle w:val="Compact"/>
        <w:numPr>
          <w:ilvl w:val="0"/>
          <w:numId w:val="1001"/>
        </w:numPr>
      </w:pPr>
      <w:r>
        <w:rPr>
          <w:b/>
          <w:bCs/>
        </w:rPr>
        <w:t xml:space="preserve">Metalworking Fluid:</w:t>
      </w:r>
      <w:r>
        <w:t xml:space="preserve"> </w:t>
      </w:r>
      <w:r>
        <w:t xml:space="preserve">0-5% v/v (e.g., a water-soluble or semi-synthetic commercial coolant)</w:t>
      </w:r>
    </w:p>
    <w:p>
      <w:pPr>
        <w:pStyle w:val="Compact"/>
        <w:numPr>
          <w:ilvl w:val="0"/>
          <w:numId w:val="1001"/>
        </w:numPr>
      </w:pPr>
      <w:r>
        <w:rPr>
          <w:b/>
          <w:bCs/>
        </w:rPr>
        <w:t xml:space="preserve">Surfactant:</w:t>
      </w:r>
      <w:r>
        <w:t xml:space="preserve"> </w:t>
      </w:r>
      <w:r>
        <w:t xml:space="preserve">0-50 mg/L (e.g., Sodium Dodecyl Sulfate, SDS)</w:t>
      </w:r>
    </w:p>
    <w:bookmarkEnd w:id="22"/>
    <w:bookmarkStart w:id="23" w:name="Xd458842adb4ff00925a668f6de6326298ee9b69"/>
    <w:p>
      <w:pPr>
        <w:pStyle w:val="Heading3"/>
      </w:pPr>
      <w:r>
        <w:t xml:space="preserve">2.3 Dilution Series</w:t>
      </w:r>
    </w:p>
    <w:p>
      <w:pPr>
        <w:pStyle w:val="FirstParagraph"/>
      </w:pPr>
      <w:r>
        <w:t xml:space="preserve">For experimental screening, prepare dilutions of the 100% strength stock solution at 10%, 25%, and 50% using ultrapure water acidified to pH &lt;2 with HCl.</w:t>
      </w:r>
    </w:p>
    <w:bookmarkEnd w:id="23"/>
    <w:bookmarkEnd w:id="24"/>
    <w:bookmarkStart w:id="25" w:name="Xf87b12d8da6069b7b80ca783b05cad61372acad"/>
    <w:p>
      <w:pPr>
        <w:pStyle w:val="Heading2"/>
      </w:pPr>
      <w:r>
        <w:t xml:space="preserve">3. Materials and Equipment</w:t>
      </w:r>
    </w:p>
    <w:p>
      <w:pPr>
        <w:pStyle w:val="Compact"/>
        <w:numPr>
          <w:ilvl w:val="0"/>
          <w:numId w:val="1002"/>
        </w:numPr>
      </w:pPr>
      <w:r>
        <w:rPr>
          <w:b/>
          <w:bCs/>
        </w:rPr>
        <w:t xml:space="preserve">Reagents:</w:t>
      </w:r>
      <w:r>
        <w:t xml:space="preserve"> </w:t>
      </w:r>
      <w:r>
        <w:t xml:space="preserve">All salts should be ACS reagent grade or better. Acids must be trace-metal grade. Use ultrapure deionized water (resistivity &gt;18 MΩ·cm).</w:t>
      </w:r>
    </w:p>
    <w:p>
      <w:pPr>
        <w:pStyle w:val="Compact"/>
        <w:numPr>
          <w:ilvl w:val="0"/>
          <w:numId w:val="1002"/>
        </w:numPr>
      </w:pPr>
      <w:r>
        <w:rPr>
          <w:b/>
          <w:bCs/>
        </w:rPr>
        <w:t xml:space="preserve">Equipment:</w:t>
      </w:r>
      <w:r>
        <w:t xml:space="preserve"> </w:t>
      </w:r>
      <w:r>
        <w:t xml:space="preserve">Analytical balance (4-decimal place), magnetic stirrer and stir bars, overhead stirrer (for &gt;5 L), volumetric flasks (Class A), graduated cylinders (polypropylene or PTFE), HDPE or PP carboys/flasks for mixing and storage, calibrated pH meter with combination electrode, fume hood, hot plate (optional for boric acid dissolution).</w:t>
      </w:r>
    </w:p>
    <w:p>
      <w:pPr>
        <w:pStyle w:val="Compact"/>
        <w:numPr>
          <w:ilvl w:val="0"/>
          <w:numId w:val="1002"/>
        </w:numPr>
      </w:pPr>
      <w:r>
        <w:rPr>
          <w:b/>
          <w:bCs/>
        </w:rPr>
        <w:t xml:space="preserve">Labware:</w:t>
      </w:r>
      <w:r>
        <w:t xml:space="preserve"> </w:t>
      </w:r>
      <w:r>
        <w:t xml:space="preserve">Use polypropylene (PP), polytetrafluoroethylene (PTFE), or perfluoroalkoxy (PFA) labware for all operations involving boron to prevent contamination from borosilicate glass.</w:t>
      </w:r>
    </w:p>
    <w:p>
      <w:pPr>
        <w:pStyle w:val="Compact"/>
        <w:numPr>
          <w:ilvl w:val="0"/>
          <w:numId w:val="1002"/>
        </w:numPr>
      </w:pPr>
      <w:r>
        <w:rPr>
          <w:b/>
          <w:bCs/>
        </w:rPr>
        <w:t xml:space="preserve">Personal Protective Equipment (PPE):</w:t>
      </w:r>
      <w:r>
        <w:t xml:space="preserve"> </w:t>
      </w:r>
      <w:r>
        <w:t xml:space="preserve">Safety glasses with side shields or splash goggles, acid-resistant nitrile gloves (double-gloving recommended), lab coat. All operations involving concentrated acids or weighing powders must be performed in a chemical fume hood.</w:t>
      </w:r>
    </w:p>
    <w:bookmarkEnd w:id="25"/>
    <w:bookmarkStart w:id="30" w:name="Xf13108c68990c1f996c9b790b9e56069d48a49e"/>
    <w:p>
      <w:pPr>
        <w:pStyle w:val="Heading2"/>
      </w:pPr>
      <w:r>
        <w:t xml:space="preserve">4. Preparation Procedure</w:t>
      </w:r>
    </w:p>
    <w:bookmarkStart w:id="26" w:name="X7ac196b4b0ed234fa7c14c84570c68305a81cf7"/>
    <w:p>
      <w:pPr>
        <w:pStyle w:val="Heading3"/>
      </w:pPr>
      <w:r>
        <w:t xml:space="preserve">4.1 Critical Principle: Dissolution Order and pH Control</w:t>
      </w:r>
    </w:p>
    <w:p>
      <w:pPr>
        <w:pStyle w:val="FirstParagraph"/>
      </w:pPr>
      <w:r>
        <w:t xml:space="preserve">Maintaining a highly acidic environment (pH &lt; 2) during preparation is critical to prevent metal hydroxide precipitation. Ferric iron (Fe(III)) begins to precipitate as Fe(OH)₃ at a pH around 3.5, while REE hydroxides precipitate at higher pH (&gt;7). Furthermore, EDTA forms an extremely stable complex with Fe(III) (log K = 25.1), which is significantly stronger than its complexes with REEs like Nd(III) (log K ≈ 16.6). Therefore, all metal salts must be fully dissolved in a strongly acidic solution before any optional EDTA is added.</w:t>
      </w:r>
    </w:p>
    <w:bookmarkEnd w:id="26"/>
    <w:bookmarkStart w:id="27" w:name="X2368851666ffc5e360874a9654800d203888dc3"/>
    <w:p>
      <w:pPr>
        <w:pStyle w:val="Heading3"/>
      </w:pPr>
      <w:r>
        <w:t xml:space="preserve">4.2 Step-by-Step for 1 Liter of 100% Leachate</w:t>
      </w:r>
    </w:p>
    <w:p>
      <w:pPr>
        <w:pStyle w:val="Compact"/>
        <w:numPr>
          <w:ilvl w:val="0"/>
          <w:numId w:val="1003"/>
        </w:numPr>
      </w:pPr>
      <w:r>
        <w:t xml:space="preserve">Add approximately 800 mL of ultrapure DI water to a 1 L HDPE or PP beaker/flask with a magnetic stir bar.</w:t>
      </w:r>
    </w:p>
    <w:p>
      <w:pPr>
        <w:pStyle w:val="Compact"/>
        <w:numPr>
          <w:ilvl w:val="0"/>
          <w:numId w:val="1003"/>
        </w:numPr>
      </w:pPr>
      <w:r>
        <w:rPr>
          <w:b/>
          <w:bCs/>
        </w:rPr>
        <w:t xml:space="preserve">Acidification:</w:t>
      </w:r>
      <w:r>
        <w:t xml:space="preserve"> </w:t>
      </w:r>
      <w:r>
        <w:t xml:space="preserve">In a fume hood, carefully add ~5 mL of concentrated HCl to the water to lower the pH to ~1.0.</w:t>
      </w:r>
      <w:r>
        <w:t xml:space="preserve"> </w:t>
      </w:r>
      <w:r>
        <w:rPr>
          <w:b/>
          <w:bCs/>
        </w:rPr>
        <w:t xml:space="preserve">Always add acid to water</w:t>
      </w:r>
      <w:r>
        <w:t xml:space="preserve">.</w:t>
      </w:r>
    </w:p>
    <w:p>
      <w:pPr>
        <w:pStyle w:val="Compact"/>
        <w:numPr>
          <w:ilvl w:val="0"/>
          <w:numId w:val="1003"/>
        </w:numPr>
      </w:pPr>
      <w:r>
        <w:rPr>
          <w:b/>
          <w:bCs/>
        </w:rPr>
        <w:t xml:space="preserve">Iron Dissolution:</w:t>
      </w:r>
      <w:r>
        <w:t xml:space="preserve"> </w:t>
      </w:r>
      <w:r>
        <w:t xml:space="preserve">While stirring, slowly add 24.17 g of FeCl₃·6H₂O. The dissolution is exothermic, and the solution will warm and turn a dark orange/brown color. Stir for 5-10 minutes until fully dissolved.</w:t>
      </w:r>
    </w:p>
    <w:p>
      <w:pPr>
        <w:pStyle w:val="Compact"/>
        <w:numPr>
          <w:ilvl w:val="0"/>
          <w:numId w:val="1003"/>
        </w:numPr>
      </w:pPr>
      <w:r>
        <w:rPr>
          <w:b/>
          <w:bCs/>
        </w:rPr>
        <w:t xml:space="preserve">Boric Acid Dissolution:</w:t>
      </w:r>
      <w:r>
        <w:t xml:space="preserve"> </w:t>
      </w:r>
      <w:r>
        <w:t xml:space="preserve">Add 2.86 g of H₃BO₃. This may dissolve slowly. If necessary, gently warm the solution to 40-50 °C to aid dissolution, but do not boil.</w:t>
      </w:r>
    </w:p>
    <w:p>
      <w:pPr>
        <w:pStyle w:val="Compact"/>
        <w:numPr>
          <w:ilvl w:val="0"/>
          <w:numId w:val="1003"/>
        </w:numPr>
      </w:pPr>
      <w:r>
        <w:rPr>
          <w:b/>
          <w:bCs/>
        </w:rPr>
        <w:t xml:space="preserve">REE Salt Dissolution:</w:t>
      </w:r>
      <w:r>
        <w:t xml:space="preserve"> </w:t>
      </w:r>
      <w:r>
        <w:t xml:space="preserve">Sequentially add the REE salts: 5.50 g NdCl₃·6H₂O, 1.14 g PrCl₃·6H₂O, and 0.42 g DyCl₃·6H₂O. Allow each to dissolve completely.</w:t>
      </w:r>
    </w:p>
    <w:p>
      <w:pPr>
        <w:pStyle w:val="Compact"/>
        <w:numPr>
          <w:ilvl w:val="0"/>
          <w:numId w:val="1003"/>
        </w:numPr>
      </w:pPr>
      <w:r>
        <w:rPr>
          <w:b/>
          <w:bCs/>
        </w:rPr>
        <w:t xml:space="preserve">Transition Metal Salt Dissolution:</w:t>
      </w:r>
      <w:r>
        <w:t xml:space="preserve"> </w:t>
      </w:r>
      <w:r>
        <w:t xml:space="preserve">Sequentially add the remaining metal salts: 0.40 g CoCl₂·6H₂O, 0.13 g CuCl₂·2H₂O, and 0.20 g NiCl₂·6H₂O.</w:t>
      </w:r>
    </w:p>
    <w:p>
      <w:pPr>
        <w:pStyle w:val="Compact"/>
        <w:numPr>
          <w:ilvl w:val="0"/>
          <w:numId w:val="1003"/>
        </w:numPr>
      </w:pPr>
      <w:r>
        <w:rPr>
          <w:b/>
          <w:bCs/>
        </w:rPr>
        <w:t xml:space="preserve">Aluminum Salt Dissolution:</w:t>
      </w:r>
      <w:r>
        <w:t xml:space="preserve"> </w:t>
      </w:r>
      <w:r>
        <w:t xml:space="preserve">In the fume hood, add 0.41 g of AlCl₃·6H₂O.</w:t>
      </w:r>
    </w:p>
    <w:p>
      <w:pPr>
        <w:pStyle w:val="Compact"/>
        <w:numPr>
          <w:ilvl w:val="0"/>
          <w:numId w:val="1003"/>
        </w:numPr>
      </w:pPr>
      <w:r>
        <w:rPr>
          <w:b/>
          <w:bCs/>
        </w:rPr>
        <w:t xml:space="preserve">pH Verification:</w:t>
      </w:r>
      <w:r>
        <w:t xml:space="preserve"> </w:t>
      </w:r>
      <w:r>
        <w:t xml:space="preserve">After all salts are dissolved, check the pH to ensure it remains &lt; 2. Adjust with a few drops of concentrated HCl if necessary.</w:t>
      </w:r>
    </w:p>
    <w:p>
      <w:pPr>
        <w:pStyle w:val="Compact"/>
        <w:numPr>
          <w:ilvl w:val="0"/>
          <w:numId w:val="1003"/>
        </w:numPr>
      </w:pPr>
      <w:r>
        <w:rPr>
          <w:b/>
          <w:bCs/>
        </w:rPr>
        <w:t xml:space="preserve">Final Volume:</w:t>
      </w:r>
      <w:r>
        <w:t xml:space="preserve"> </w:t>
      </w:r>
      <w:r>
        <w:t xml:space="preserve">Quantitatively transfer the solution to a 1 L volumetric flask (polypropylene or PFA recommended) and bring to volume with ultrapure DI water. Mix thoroughly.</w:t>
      </w:r>
    </w:p>
    <w:p>
      <w:pPr>
        <w:pStyle w:val="Compact"/>
        <w:numPr>
          <w:ilvl w:val="0"/>
          <w:numId w:val="1003"/>
        </w:numPr>
      </w:pPr>
      <w:r>
        <w:rPr>
          <w:b/>
          <w:bCs/>
        </w:rPr>
        <w:t xml:space="preserve">Record:</w:t>
      </w:r>
      <w:r>
        <w:t xml:space="preserve"> </w:t>
      </w:r>
      <w:r>
        <w:t xml:space="preserve">Label the container with the preparation date, batch ID, and final measured pH.</w:t>
      </w:r>
    </w:p>
    <w:bookmarkEnd w:id="27"/>
    <w:bookmarkStart w:id="28" w:name="X483eb52a7e2851852d8fedc1b7438f23d5709b7"/>
    <w:p>
      <w:pPr>
        <w:pStyle w:val="Heading3"/>
      </w:pPr>
      <w:r>
        <w:t xml:space="preserve">4.3 Adding Optional Organics</w:t>
      </w:r>
    </w:p>
    <w:p>
      <w:pPr>
        <w:pStyle w:val="Compact"/>
        <w:numPr>
          <w:ilvl w:val="0"/>
          <w:numId w:val="1004"/>
        </w:numPr>
      </w:pPr>
      <w:r>
        <w:rPr>
          <w:b/>
          <w:bCs/>
        </w:rPr>
        <w:t xml:space="preserve">EDTA:</w:t>
      </w:r>
      <w:r>
        <w:t xml:space="preserve"> </w:t>
      </w:r>
      <w:r>
        <w:t xml:space="preserve">If required, add EDTA from a prepared stock solution (e.g., 100 mM) after all metal salts are fully dissolved.</w:t>
      </w:r>
    </w:p>
    <w:p>
      <w:pPr>
        <w:pStyle w:val="Compact"/>
        <w:numPr>
          <w:ilvl w:val="0"/>
          <w:numId w:val="1004"/>
        </w:numPr>
      </w:pPr>
      <w:r>
        <w:rPr>
          <w:b/>
          <w:bCs/>
        </w:rPr>
        <w:t xml:space="preserve">Metalworking Fluid:</w:t>
      </w:r>
      <w:r>
        <w:t xml:space="preserve"> </w:t>
      </w:r>
      <w:r>
        <w:t xml:space="preserve">Add the required volume of coolant concentrate (e.g., 10 mL for 1% v/v in 1 L) to the final solution and stir for 10-15 minutes to ensure emulsification.</w:t>
      </w:r>
    </w:p>
    <w:bookmarkEnd w:id="28"/>
    <w:bookmarkStart w:id="29" w:name="Xc033088302c9ebe080952ea1626d3d588d64457"/>
    <w:p>
      <w:pPr>
        <w:pStyle w:val="Heading3"/>
      </w:pPr>
      <w:r>
        <w:t xml:space="preserve">4.4 Scaling</w:t>
      </w:r>
    </w:p>
    <w:p>
      <w:pPr>
        <w:pStyle w:val="FirstParagraph"/>
      </w:pPr>
      <w:r>
        <w:t xml:space="preserve">For larger volumes (e.g., 10 L or 20 L), use an appropriate-sized HDPE carboy and an overhead mechanical stirrer. Increase dissolution times to 30-60 minutes to ensure complete mixing.</w:t>
      </w:r>
    </w:p>
    <w:bookmarkEnd w:id="29"/>
    <w:bookmarkEnd w:id="30"/>
    <w:bookmarkStart w:id="31" w:name="Xfd78ac5a4833492e87e07304f74513360ce0429"/>
    <w:p>
      <w:pPr>
        <w:pStyle w:val="Heading2"/>
      </w:pPr>
      <w:r>
        <w:t xml:space="preserve">5. Stability Testing</w:t>
      </w:r>
    </w:p>
    <w:p>
      <w:pPr>
        <w:pStyle w:val="FirstParagraph"/>
      </w:pPr>
      <w:r>
        <w:t xml:space="preserve">Prepared synthetic leachate should be tested for stability before use in experiments.</w:t>
      </w:r>
    </w:p>
    <w:p>
      <w:pPr>
        <w:pStyle w:val="Compact"/>
        <w:numPr>
          <w:ilvl w:val="0"/>
          <w:numId w:val="1005"/>
        </w:numPr>
      </w:pPr>
      <w:r>
        <w:rPr>
          <w:b/>
          <w:bCs/>
        </w:rPr>
        <w:t xml:space="preserve">Visual Inspection:</w:t>
      </w:r>
      <w:r>
        <w:t xml:space="preserve"> </w:t>
      </w:r>
      <w:r>
        <w:t xml:space="preserve">Check for any signs of cloudiness, turbidity, or precipitation at t=0, 1h, 4h, 24h, and 7 days.</w:t>
      </w:r>
    </w:p>
    <w:p>
      <w:pPr>
        <w:pStyle w:val="Compact"/>
        <w:numPr>
          <w:ilvl w:val="0"/>
          <w:numId w:val="1005"/>
        </w:numPr>
      </w:pPr>
      <w:r>
        <w:rPr>
          <w:b/>
          <w:bCs/>
        </w:rPr>
        <w:t xml:space="preserve">ICP-MS Verification:</w:t>
      </w:r>
      <w:r>
        <w:t xml:space="preserve"> </w:t>
      </w:r>
      <w:r>
        <w:t xml:space="preserve">Take aliquots at the same time points, filter (0.45 µm), and analyze for key metals (Fe, Nd, B) to confirm concentrations remain stable.</w:t>
      </w:r>
    </w:p>
    <w:p>
      <w:pPr>
        <w:pStyle w:val="Compact"/>
        <w:numPr>
          <w:ilvl w:val="0"/>
          <w:numId w:val="1005"/>
        </w:numPr>
      </w:pPr>
      <w:r>
        <w:rPr>
          <w:b/>
          <w:bCs/>
        </w:rPr>
        <w:t xml:space="preserve">Acceptance Criteria:</w:t>
      </w:r>
      <w:r>
        <w:t xml:space="preserve"> </w:t>
      </w:r>
      <w:r>
        <w:t xml:space="preserve">Concentrations should remain within 90-110% of the initial (t=0) values.</w:t>
      </w:r>
    </w:p>
    <w:p>
      <w:pPr>
        <w:pStyle w:val="Compact"/>
        <w:numPr>
          <w:ilvl w:val="0"/>
          <w:numId w:val="1005"/>
        </w:numPr>
      </w:pPr>
      <w:r>
        <w:rPr>
          <w:b/>
          <w:bCs/>
        </w:rPr>
        <w:t xml:space="preserve">Shelf Life:</w:t>
      </w:r>
      <w:r>
        <w:t xml:space="preserve"> </w:t>
      </w:r>
      <w:r>
        <w:t xml:space="preserve">Due to the high concentration and complexity, the solution is prone to aging effects, particularly Fe(III) hydrolysis if the pH rises above 2.5. It is recommended to use the stock solution within 7 days of preparation when stored at 4 °C in the dark. Diluted solutions should be prepared fresh daily.</w:t>
      </w:r>
    </w:p>
    <w:bookmarkEnd w:id="31"/>
    <w:bookmarkStart w:id="32" w:name="X773625ad40e2b4413e84585515bc3f2c7f25425"/>
    <w:p>
      <w:pPr>
        <w:pStyle w:val="Heading2"/>
      </w:pPr>
      <w:r>
        <w:t xml:space="preserve">6. pH Adjustment for Experiments</w:t>
      </w:r>
    </w:p>
    <w:p>
      <w:pPr>
        <w:pStyle w:val="FirstParagraph"/>
      </w:pPr>
      <w:r>
        <w:t xml:space="preserve">For experiments requiring higher pH values, adjust the leachate pH slowly and immediately before use.</w:t>
      </w:r>
    </w:p>
    <w:p>
      <w:pPr>
        <w:pStyle w:val="Compact"/>
        <w:numPr>
          <w:ilvl w:val="0"/>
          <w:numId w:val="1006"/>
        </w:numPr>
      </w:pPr>
      <w:r>
        <w:t xml:space="preserve">Use dropwise addition of 1 M or 5 M NaOH while stirring vigorously and monitoring with a calibrated pH meter.</w:t>
      </w:r>
    </w:p>
    <w:p>
      <w:pPr>
        <w:pStyle w:val="Compact"/>
        <w:numPr>
          <w:ilvl w:val="0"/>
          <w:numId w:val="1006"/>
        </w:numPr>
      </w:pPr>
      <w:r>
        <w:rPr>
          <w:b/>
          <w:bCs/>
        </w:rPr>
        <w:t xml:space="preserve">Fe Pre-Removal Protocol:</w:t>
      </w:r>
      <w:r>
        <w:t xml:space="preserve"> </w:t>
      </w:r>
      <w:r>
        <w:t xml:space="preserve">To test the effect of iron removal, adjust the leachate pH to 3.5 using NaOH. A reddish-brown precipitate of Fe(OH)₃ will form. Allow the solution to settle for 30 minutes, then filter through a 0.45 µm membrane. Measure the residual Fe in the filtrate by ICP-MS before re-adjusting the pH for the experiment.</w:t>
      </w:r>
    </w:p>
    <w:bookmarkEnd w:id="32"/>
    <w:bookmarkStart w:id="33" w:name="X5958ebf591cbbf247bcc588094f6b89cf14ff5d"/>
    <w:p>
      <w:pPr>
        <w:pStyle w:val="Heading2"/>
      </w:pPr>
      <w:r>
        <w:t xml:space="preserve">7. Quality Control</w:t>
      </w:r>
    </w:p>
    <w:p>
      <w:pPr>
        <w:pStyle w:val="Compact"/>
        <w:numPr>
          <w:ilvl w:val="0"/>
          <w:numId w:val="1007"/>
        </w:numPr>
      </w:pPr>
      <w:r>
        <w:t xml:space="preserve">Verify the concentration of each prepared batch by ICP-MS/OES analysis, ensuring key analytes are within ±10% of the target concentration.</w:t>
      </w:r>
    </w:p>
    <w:p>
      <w:pPr>
        <w:pStyle w:val="Compact"/>
        <w:numPr>
          <w:ilvl w:val="0"/>
          <w:numId w:val="1007"/>
        </w:numPr>
      </w:pPr>
      <w:r>
        <w:t xml:space="preserve">If possible, matrix-match with a real, fully characterized leachate sample by comparing biosorption performance to ensure the synthetic analog behaves similarly.</w:t>
      </w:r>
    </w:p>
    <w:bookmarkEnd w:id="33"/>
    <w:bookmarkStart w:id="34" w:name="Xa50528ce22fcd0ebab52c1ab33b1eced7fea8c0"/>
    <w:p>
      <w:pPr>
        <w:pStyle w:val="Heading2"/>
      </w:pPr>
      <w:r>
        <w:t xml:space="preserve">8. Safety</w:t>
      </w:r>
    </w:p>
    <w:p>
      <w:pPr>
        <w:pStyle w:val="Compact"/>
        <w:numPr>
          <w:ilvl w:val="0"/>
          <w:numId w:val="1008"/>
        </w:numPr>
      </w:pPr>
      <w:r>
        <w:rPr>
          <w:b/>
          <w:bCs/>
        </w:rPr>
        <w:t xml:space="preserve">Chemical Hazards:</w:t>
      </w:r>
      <w:r>
        <w:t xml:space="preserve"> </w:t>
      </w:r>
      <w:r>
        <w:t xml:space="preserve">Concentrated HCl and FeCl₃ are corrosive. CoCl₂ and NiCl₂ are suspected carcinogens. H₃BO₃ is a reproductive toxin. Handle all solid powders and concentrated acids in a chemical fume hood.</w:t>
      </w:r>
    </w:p>
    <w:p>
      <w:pPr>
        <w:pStyle w:val="Compact"/>
        <w:numPr>
          <w:ilvl w:val="0"/>
          <w:numId w:val="1008"/>
        </w:numPr>
      </w:pPr>
      <w:r>
        <w:rPr>
          <w:b/>
          <w:bCs/>
        </w:rPr>
        <w:t xml:space="preserve">Waste Disposal:</w:t>
      </w:r>
      <w:r>
        <w:t xml:space="preserve"> </w:t>
      </w:r>
      <w:r>
        <w:t xml:space="preserve">All prepared solutions and resulting experimental waste containing these metals are classified as hazardous waste and must be disposed of according to institutional and local environmental regulations.</w:t>
      </w:r>
    </w:p>
    <w:bookmarkEnd w:id="34"/>
    <w:bookmarkStart w:id="35" w:name="Xce18a2ef018f44bb153a3f4504bc54c45c013b2"/>
    <w:p>
      <w:pPr>
        <w:pStyle w:val="Heading2"/>
      </w:pPr>
      <w:r>
        <w:t xml:space="preserve">9. Record Keeping</w:t>
      </w:r>
    </w:p>
    <w:p>
      <w:pPr>
        <w:pStyle w:val="FirstParagraph"/>
      </w:pPr>
      <w:r>
        <w:t xml:space="preserve">A batch record must be maintained for each preparation, including:</w:t>
      </w:r>
    </w:p>
    <w:p>
      <w:pPr>
        <w:pStyle w:val="Compact"/>
        <w:numPr>
          <w:ilvl w:val="0"/>
          <w:numId w:val="1009"/>
        </w:numPr>
      </w:pPr>
      <w:r>
        <w:t xml:space="preserve">Date of preparation and preparer's initials.</w:t>
      </w:r>
    </w:p>
    <w:p>
      <w:pPr>
        <w:pStyle w:val="Compact"/>
        <w:numPr>
          <w:ilvl w:val="0"/>
          <w:numId w:val="1009"/>
        </w:numPr>
      </w:pPr>
      <w:r>
        <w:t xml:space="preserve">Lot numbers and masses of all salts and reagents used.</w:t>
      </w:r>
    </w:p>
    <w:p>
      <w:pPr>
        <w:pStyle w:val="Compact"/>
        <w:numPr>
          <w:ilvl w:val="0"/>
          <w:numId w:val="1009"/>
        </w:numPr>
      </w:pPr>
      <w:r>
        <w:t xml:space="preserve">Final volume.</w:t>
      </w:r>
    </w:p>
    <w:p>
      <w:pPr>
        <w:pStyle w:val="Compact"/>
        <w:numPr>
          <w:ilvl w:val="0"/>
          <w:numId w:val="1009"/>
        </w:numPr>
      </w:pPr>
      <w:r>
        <w:t xml:space="preserve">Initial and final pH and temperature readings.</w:t>
      </w:r>
    </w:p>
    <w:p>
      <w:pPr>
        <w:pStyle w:val="Compact"/>
        <w:numPr>
          <w:ilvl w:val="0"/>
          <w:numId w:val="1009"/>
        </w:numPr>
      </w:pPr>
      <w:r>
        <w:t xml:space="preserve">Appearance (color, clarity).</w:t>
      </w:r>
    </w:p>
    <w:p>
      <w:pPr>
        <w:pStyle w:val="Compact"/>
        <w:numPr>
          <w:ilvl w:val="0"/>
          <w:numId w:val="1009"/>
        </w:numPr>
      </w:pPr>
      <w:r>
        <w:t xml:space="preserve">ICP-MS QC verification results.</w:t>
      </w:r>
    </w:p>
    <w:p>
      <w:pPr>
        <w:pStyle w:val="Compact"/>
        <w:numPr>
          <w:ilvl w:val="0"/>
          <w:numId w:val="1009"/>
        </w:numPr>
      </w:pPr>
      <w:r>
        <w:t xml:space="preserve">Unique Batch ID.</w:t>
      </w:r>
    </w:p>
    <w:bookmarkEnd w:id="35"/>
    <w:bookmarkStart w:id="36" w:name="X6323106f85507562a544533481c2824e17f49fa"/>
    <w:p>
      <w:pPr>
        <w:pStyle w:val="Heading2"/>
      </w:pPr>
      <w:r>
        <w:t xml:space="preserve">10. References and Stability Constants</w:t>
      </w:r>
    </w:p>
    <w:p>
      <w:pPr>
        <w:pStyle w:val="FirstParagraph"/>
      </w:pPr>
      <w:r>
        <w:t xml:space="preserve">This SOP is based on typical compositions found in academic literature and guidance from standard analytical methods. For detailed calculations involving chelating agents, consult critically evaluated stability constant databases such as those from NIST. Always refer to the Safety Data Sheet (SDS) for each chemical before use.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2026-02-12T18:45:41Z</dcterms:created>
  <dcterms:modified xsi:type="dcterms:W3CDTF">2026-02-12T18:45:41Z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