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e9bc3e3f2e23008c270cec60ed5bbcba16580e0"/>
    <w:p>
      <w:pPr>
        <w:pStyle w:val="Heading1"/>
      </w:pPr>
      <w:r>
        <w:t xml:space="preserve">BSR Column Sizing Calculation for Boron Polishing in a 1,000 tpy NdFeB Magnet Facility</w:t>
      </w:r>
    </w:p>
    <w:bookmarkStart w:id="20" w:name="summary"/>
    <w:p>
      <w:pPr>
        <w:pStyle w:val="Heading2"/>
      </w:pPr>
      <w:r>
        <w:t xml:space="preserve">Summary</w:t>
      </w:r>
    </w:p>
    <w:p>
      <w:pPr>
        <w:pStyle w:val="FirstParagraph"/>
      </w:pPr>
      <w:r>
        <w:t xml:space="preserve">This deliverable sizes a boron-selective resin (BSR) polishing system as a post-treatment step downstream of a conventional metals-precipitation WWTP, using an N-methylglucamine (NMG, “glucamine”) chelating resin such as Purolite S108 or Amberlite/AmberSep IRA743 for boron (boric acid/borate) removal. The sizing approach uses (i) a mass load basis (kg B/day), (ii) a resin capacity basis (mol B per bed-liter), and (iii) a hydraulic basis expressed as bed volumes per hour (BV/h), with BV defined as 1 m³ water per m³ resin.</w:t>
      </w:r>
    </w:p>
    <w:p>
      <w:pPr>
        <w:pStyle w:val="BodyText"/>
      </w:pPr>
      <w:r>
        <w:t xml:space="preserve">Because boric acid is weak (pKa ≈ 9.23) and speciation changes strongly with pH, boron capture performance is typically sensitive to operating pH and competing ions; at higher pH, tetrahydroxyborate becomes dominant and column breakthrough can shift to larger treated volumes (e.g., pH 6→11 increased breakthrough volume in a fixed-bed study). The BSR configuration recommended by the resin supplier is a lead–lag (primary + polisher) vessel arrangement, with an optional third equal-sized standby vessel for continuous operation during regeneration.</w:t>
      </w:r>
    </w:p>
    <w:bookmarkEnd w:id="20"/>
    <w:bookmarkStart w:id="24" w:name="design-basis"/>
    <w:p>
      <w:pPr>
        <w:pStyle w:val="Heading2"/>
      </w:pPr>
      <w:r>
        <w:t xml:space="preserve">Design basis</w:t>
      </w:r>
    </w:p>
    <w:p>
      <w:pPr>
        <w:pStyle w:val="FirstParagraph"/>
      </w:pPr>
      <w:r>
        <w:t xml:space="preserve">The sizing basis below is an engineering “basis-of-design” example intended to produce a concrete set of column dimensions and operating envelopes; actual final sizing should be validated with site-specific pilot column breakthrough data and vendor modeling (e.g., Purolite’s PRSM guidance).</w:t>
      </w:r>
    </w:p>
    <w:bookmarkStart w:id="21" w:name="wastewater-flow"/>
    <w:p>
      <w:pPr>
        <w:pStyle w:val="Heading3"/>
      </w:pPr>
      <w:r>
        <w:t xml:space="preserve">Wastewater flow</w:t>
      </w:r>
    </w:p>
    <w:p>
      <w:pPr>
        <w:pStyle w:val="FirstParagraph"/>
      </w:pPr>
      <w:r>
        <w:t xml:space="preserve">For this worked example, the WWTP effluent flow routed to boron polishing is set at</w:t>
      </w:r>
      <w:r>
        <w:t xml:space="preserve"> </w:t>
      </w:r>
      <w:r>
        <w:rPr>
          <w:b/>
          <w:bCs/>
        </w:rPr>
        <w:t xml:space="preserve">60 m³/day</w:t>
      </w:r>
      <w:r>
        <w:t xml:space="preserve">, equivalent to</w:t>
      </w:r>
      <w:r>
        <w:t xml:space="preserve"> </w:t>
      </w:r>
      <w:r>
        <w:rPr>
          <w:b/>
          <w:bCs/>
        </w:rPr>
        <w:t xml:space="preserve">2.5 m³/h</w:t>
      </w:r>
      <w:r>
        <w:t xml:space="preserve"> </w:t>
      </w:r>
      <w:r>
        <w:t xml:space="preserve">on a continuous basis, with a</w:t>
      </w:r>
      <w:r>
        <w:t xml:space="preserve"> </w:t>
      </w:r>
      <w:r>
        <w:rPr>
          <w:b/>
          <w:bCs/>
        </w:rPr>
        <w:t xml:space="preserve">1.5× peak factor</w:t>
      </w:r>
      <w:r>
        <w:t xml:space="preserve"> </w:t>
      </w:r>
      <w:r>
        <w:t xml:space="preserve">for hydraulics (</w:t>
      </w:r>
      <w:r>
        <w:rPr>
          <w:b/>
          <w:bCs/>
        </w:rPr>
        <w:t xml:space="preserve">3.75 m³/h</w:t>
      </w:r>
      <w:r>
        <w:t xml:space="preserve">). Bed-volume–based hydraulic calculations use the standard definition</w:t>
      </w:r>
      <w:r>
        <w:t xml:space="preserve"> </w:t>
      </w:r>
      <w:r>
        <w:rPr>
          <w:b/>
          <w:bCs/>
        </w:rPr>
        <w:t xml:space="preserve">BV = 1 m³ water per m³ resin</w:t>
      </w:r>
      <w:r>
        <w:t xml:space="preserve">.</w:t>
      </w:r>
    </w:p>
    <w:bookmarkEnd w:id="21"/>
    <w:bookmarkStart w:id="22" w:name="boron-inlet-and-outlet"/>
    <w:p>
      <w:pPr>
        <w:pStyle w:val="Heading3"/>
      </w:pPr>
      <w:r>
        <w:t xml:space="preserve">Boron inlet and outlet</w:t>
      </w:r>
    </w:p>
    <w:p>
      <w:pPr>
        <w:pStyle w:val="FirstParagraph"/>
      </w:pPr>
      <w:r>
        <w:t xml:space="preserve">The boron concentration entering the BSR system (i.e., after conventional hydroxide precipitation / clarification) is assumed as</w:t>
      </w:r>
      <w:r>
        <w:t xml:space="preserve"> </w:t>
      </w:r>
      <w:r>
        <w:rPr>
          <w:b/>
          <w:bCs/>
        </w:rPr>
        <w:t xml:space="preserve">C_in = 10 mg/L B</w:t>
      </w:r>
      <w:r>
        <w:t xml:space="preserve">, with a compliance requirement of</w:t>
      </w:r>
      <w:r>
        <w:t xml:space="preserve"> </w:t>
      </w:r>
      <w:r>
        <w:rPr>
          <w:b/>
          <w:bCs/>
        </w:rPr>
        <w:t xml:space="preserve">C_out &lt; 1.0 mg/L B</w:t>
      </w:r>
      <w:r>
        <w:t xml:space="preserve"> </w:t>
      </w:r>
      <w:r>
        <w:t xml:space="preserve">and a design target of</w:t>
      </w:r>
      <w:r>
        <w:t xml:space="preserve"> </w:t>
      </w:r>
      <w:r>
        <w:rPr>
          <w:b/>
          <w:bCs/>
        </w:rPr>
        <w:t xml:space="preserve">C_out &lt; 0.5 mg/L B</w:t>
      </w:r>
      <w:r>
        <w:t xml:space="preserve">. Achieving &lt;0.5 mg/L B is demonstrably feasible with precipitation + adsorption trains in the literature (e.g., 545 mg/L reduced to &lt;0.5 mg/L by precipitation–adsorption).</w:t>
      </w:r>
    </w:p>
    <w:bookmarkEnd w:id="22"/>
    <w:bookmarkStart w:id="23" w:name="wwtp-effluent-matrix"/>
    <w:p>
      <w:pPr>
        <w:pStyle w:val="Heading3"/>
      </w:pPr>
      <w:r>
        <w:t xml:space="preserve">WWTP effluent matrix</w:t>
      </w:r>
    </w:p>
    <w:p>
      <w:pPr>
        <w:pStyle w:val="FirstParagraph"/>
      </w:pPr>
      <w:r>
        <w:t xml:space="preserve">The assumed WWTP effluent matrix for resin protection and performance is neutral to mildly alkaline and low-solids, consistent with the need to avoid premature breakthrough (which is known to be impacted by flow rate and column operating time/throughput in fixed beds). In practical terms, the BSR feed should be filtered (e.g., sand filter or cartridge filtration) such that solids carryover does not cause channeling, pressure drop growth, or resin fouling; fixed-bed modeling and breakthrough monitoring are conventionally used to manage this risk.</w:t>
      </w:r>
    </w:p>
    <w:bookmarkEnd w:id="23"/>
    <w:bookmarkEnd w:id="24"/>
    <w:bookmarkStart w:id="25" w:name="resin-selection"/>
    <w:p>
      <w:pPr>
        <w:pStyle w:val="Heading2"/>
      </w:pPr>
      <w:r>
        <w:t xml:space="preserve">Resin selection</w:t>
      </w:r>
    </w:p>
    <w:p>
      <w:pPr>
        <w:pStyle w:val="FirstParagraph"/>
      </w:pPr>
      <w:r>
        <w:t xml:space="preserve">NMG-functional resins are designed to remove boric acid/borate from water and brines in packed-bed columns, and are regenerated with dilute mineral acids (HCl or H_2SO_4), followed by caustic conversion steps back to the sodium form depending on resin type and supplier practice. Purolite states that S108 is an N-glucamine resin that is “largely unimpacted by other ions” and is intended to operate in slightly acidic to slightly alkaline pH, with regeneration via dilute sulfuric or hydrochloric acid, and either co-flow or counter-flow regeneration modes acceptable to achieve low boron leakages (≈0.01–1 ppm B).</w:t>
      </w:r>
    </w:p>
    <w:p>
      <w:pPr>
        <w:pStyle w:val="BodyText"/>
      </w:pPr>
      <w:r>
        <w:t xml:space="preserve">For capacity-based sizing (rather than only mg/g lab adsorption numbers), a supplier-reported boron capacity for Purolite S108 is</w:t>
      </w:r>
      <w:r>
        <w:t xml:space="preserve"> </w:t>
      </w:r>
      <w:r>
        <w:rPr>
          <w:b/>
          <w:bCs/>
        </w:rPr>
        <w:t xml:space="preserve">0.35 mol B per bed-liter</w:t>
      </w:r>
      <w:r>
        <w:t xml:space="preserve"> </w:t>
      </w:r>
      <w:r>
        <w:t xml:space="preserve">(0.35 mol·L_bed⁻¹). This molar capacity is particularly useful for full-scale sizing because it is already normalized to bed volume (L of resin), matching the BV concept used in ion exchange engineering.</w:t>
      </w:r>
    </w:p>
    <w:bookmarkEnd w:id="25"/>
    <w:bookmarkStart w:id="33" w:name="column-sizing"/>
    <w:p>
      <w:pPr>
        <w:pStyle w:val="Heading2"/>
      </w:pPr>
      <w:r>
        <w:t xml:space="preserve">Column sizing</w:t>
      </w:r>
    </w:p>
    <w:bookmarkStart w:id="26" w:name="operating-capacity-calculation"/>
    <w:p>
      <w:pPr>
        <w:pStyle w:val="Heading3"/>
      </w:pPr>
      <w:r>
        <w:t xml:space="preserve">Operating capacity calculation</w:t>
      </w:r>
    </w:p>
    <w:p>
      <w:pPr>
        <w:pStyle w:val="FirstParagraph"/>
      </w:pPr>
      <w:r>
        <w:t xml:space="preserve">The supplier-reported boron capacity is taken as</w:t>
      </w:r>
      <w:r>
        <w:t xml:space="preserve"> </w:t>
      </w:r>
      <w:r>
        <w:rPr>
          <w:b/>
          <w:bCs/>
        </w:rPr>
        <w:t xml:space="preserve">q_total = 0.35 mol B/L_bed</w:t>
      </w:r>
      <w:r>
        <w:t xml:space="preserve"> </w:t>
      </w:r>
      <w:r>
        <w:t xml:space="preserve">for S108. Converting to a mass basis using boron atomic mass (10.81 g/mol) gives:</w:t>
      </w:r>
    </w:p>
    <w:p>
      <w:pPr>
        <w:pStyle w:val="Compact"/>
        <w:numPr>
          <w:ilvl w:val="0"/>
          <w:numId w:val="1001"/>
        </w:numPr>
      </w:pPr>
      <w:r>
        <w:rPr>
          <w:b/>
          <w:bCs/>
        </w:rPr>
        <w:t xml:space="preserve">q_total = 0.35 mol/L × 10.81 g/mol = 3.78 g B/L_bed</w:t>
      </w:r>
      <w:r>
        <w:t xml:space="preserve"> </w:t>
      </w:r>
      <w:r>
        <w:t xml:space="preserve">(≈3.78 kg B/m³ resin)</w:t>
      </w:r>
    </w:p>
    <w:p>
      <w:pPr>
        <w:pStyle w:val="FirstParagraph"/>
      </w:pPr>
      <w:r>
        <w:t xml:space="preserve">To translate total capacity into a conservative design operating capacity at breakthrough, an engineer typically applies utilization and safety factors (e.g., to account for mass-transfer-zone length, competing ions, resin aging, and conservative switching of lead–lag beds); fixed-bed studies show capacity can decline with regeneration cycling and/or co-solutes (e.g., capacity range during five regenerations; silicon competition reducing boron capacity). In this worked example, we apply a combined conservative utilization factor of</w:t>
      </w:r>
      <w:r>
        <w:t xml:space="preserve"> </w:t>
      </w:r>
      <w:r>
        <w:rPr>
          <w:b/>
          <w:bCs/>
        </w:rPr>
        <w:t xml:space="preserve">0.68</w:t>
      </w:r>
      <w:r>
        <w:t xml:space="preserve"> </w:t>
      </w:r>
      <w:r>
        <w:t xml:space="preserve">(0.8 safety × 0.85 competing-ion derate), yielding:</w:t>
      </w:r>
    </w:p>
    <w:p>
      <w:pPr>
        <w:pStyle w:val="Compact"/>
        <w:numPr>
          <w:ilvl w:val="0"/>
          <w:numId w:val="1002"/>
        </w:numPr>
      </w:pPr>
      <w:r>
        <w:rPr>
          <w:b/>
          <w:bCs/>
        </w:rPr>
        <w:t xml:space="preserve">q_design = 0.35 mol/L × 0.68 = 0.238 mol/L_bed</w:t>
      </w:r>
    </w:p>
    <w:p>
      <w:pPr>
        <w:pStyle w:val="Compact"/>
        <w:numPr>
          <w:ilvl w:val="0"/>
          <w:numId w:val="1002"/>
        </w:numPr>
      </w:pPr>
      <w:r>
        <w:rPr>
          <w:b/>
          <w:bCs/>
        </w:rPr>
        <w:t xml:space="preserve">q_design = 0.238 mol/L × 10.81 g/mol = 2.57 g B/L_bed</w:t>
      </w:r>
      <w:r>
        <w:t xml:space="preserve"> </w:t>
      </w:r>
      <w:r>
        <w:t xml:space="preserve">(≈2.57 kg B/m³ resin)</w:t>
      </w:r>
    </w:p>
    <w:bookmarkEnd w:id="26"/>
    <w:bookmarkStart w:id="27" w:name="boron-mass-load"/>
    <w:p>
      <w:pPr>
        <w:pStyle w:val="Heading3"/>
      </w:pPr>
      <w:r>
        <w:t xml:space="preserve">Boron mass load</w:t>
      </w:r>
    </w:p>
    <w:p>
      <w:pPr>
        <w:pStyle w:val="FirstParagraph"/>
      </w:pPr>
      <w:r>
        <w:t xml:space="preserve">The boron mass removal duty is based on the daily treated volume and the concentration reduction required.</w:t>
      </w:r>
    </w:p>
    <w:p>
      <w:pPr>
        <w:pStyle w:val="BodyText"/>
      </w:pPr>
      <w:r>
        <w:t xml:space="preserve">With</w:t>
      </w:r>
      <w:r>
        <w:t xml:space="preserve"> </w:t>
      </w:r>
      <w:r>
        <w:rPr>
          <w:b/>
          <w:bCs/>
        </w:rPr>
        <w:t xml:space="preserve">Q = 60 m³/day = 60,000 L/day</w:t>
      </w:r>
      <w:r>
        <w:t xml:space="preserve">,</w:t>
      </w:r>
      <w:r>
        <w:t xml:space="preserve"> </w:t>
      </w:r>
      <w:r>
        <w:rPr>
          <w:b/>
          <w:bCs/>
        </w:rPr>
        <w:t xml:space="preserve">C_in = 10 mg/L</w:t>
      </w:r>
      <w:r>
        <w:t xml:space="preserve">, and</w:t>
      </w:r>
      <w:r>
        <w:t xml:space="preserve"> </w:t>
      </w:r>
      <w:r>
        <w:rPr>
          <w:b/>
          <w:bCs/>
        </w:rPr>
        <w:t xml:space="preserve">C_out,target = 0.5 mg/L</w:t>
      </w:r>
      <w:r>
        <w:t xml:space="preserve">, the boron mass removed per day is:</w:t>
      </w:r>
    </w:p>
    <w:p>
      <w:pPr>
        <w:pStyle w:val="Compact"/>
        <w:numPr>
          <w:ilvl w:val="0"/>
          <w:numId w:val="1003"/>
        </w:numPr>
      </w:pPr>
      <w:r>
        <w:rPr>
          <w:b/>
          <w:bCs/>
        </w:rPr>
        <w:t xml:space="preserve">m_B,removed/day = 60,000 L/day × (10 − 0.5) mg/L × 10⁻³ = 0.57 kg/day</w:t>
      </w:r>
    </w:p>
    <w:bookmarkEnd w:id="27"/>
    <w:bookmarkStart w:id="28" w:name="resin-volume-required"/>
    <w:p>
      <w:pPr>
        <w:pStyle w:val="Heading3"/>
      </w:pPr>
      <w:r>
        <w:t xml:space="preserve">Resin volume required</w:t>
      </w:r>
    </w:p>
    <w:p>
      <w:pPr>
        <w:pStyle w:val="FirstParagraph"/>
      </w:pPr>
      <w:r>
        <w:t xml:space="preserve">Using the conservative design operating capacity</w:t>
      </w:r>
      <w:r>
        <w:t xml:space="preserve"> </w:t>
      </w:r>
      <w:r>
        <w:rPr>
          <w:b/>
          <w:bCs/>
        </w:rPr>
        <w:t xml:space="preserve">q_design = 2.57 kg B/m³ resin</w:t>
      </w:r>
      <w:r>
        <w:t xml:space="preserve">, the resin volume required to carry</w:t>
      </w:r>
      <w:r>
        <w:t xml:space="preserve"> </w:t>
      </w:r>
      <w:r>
        <w:rPr>
          <w:b/>
          <w:bCs/>
        </w:rPr>
        <w:t xml:space="preserve">one day</w:t>
      </w:r>
      <w:r>
        <w:t xml:space="preserve"> </w:t>
      </w:r>
      <w:r>
        <w:t xml:space="preserve">of boron load to breakthrough-equivalent capacity is:</w:t>
      </w:r>
    </w:p>
    <w:p>
      <w:pPr>
        <w:pStyle w:val="Compact"/>
        <w:numPr>
          <w:ilvl w:val="0"/>
          <w:numId w:val="1004"/>
        </w:numPr>
      </w:pPr>
      <w:r>
        <w:rPr>
          <w:b/>
          <w:bCs/>
        </w:rPr>
        <w:t xml:space="preserve">V_resin,1day = 0.57 kg/day ÷ 2.57 kg/m³ = 0.22 m³ resin</w:t>
      </w:r>
    </w:p>
    <w:p>
      <w:pPr>
        <w:pStyle w:val="FirstParagraph"/>
      </w:pPr>
      <w:r>
        <w:t xml:space="preserve">In practice, a lead–lag system is sized for a multi-day service run to reduce regeneration frequency and operational risk, and a third standby vessel is used when continuous operation is required during regeneration (merry-go-round operation described by Purolite). For this worked example, set a</w:t>
      </w:r>
      <w:r>
        <w:t xml:space="preserve"> </w:t>
      </w:r>
      <w:r>
        <w:rPr>
          <w:b/>
          <w:bCs/>
        </w:rPr>
        <w:t xml:space="preserve">7-day</w:t>
      </w:r>
      <w:r>
        <w:t xml:space="preserve"> </w:t>
      </w:r>
      <w:r>
        <w:t xml:space="preserve">target primary-bed service cycle for the lead vessel before it is removed for regeneration, while the polisher becomes the new lead and the standby becomes the new polisher.</w:t>
      </w:r>
    </w:p>
    <w:p>
      <w:pPr>
        <w:pStyle w:val="BodyText"/>
      </w:pPr>
      <w:r>
        <w:t xml:space="preserve">The required resin per vessel (lead capacity basis) is then:</w:t>
      </w:r>
    </w:p>
    <w:p>
      <w:pPr>
        <w:pStyle w:val="Compact"/>
        <w:numPr>
          <w:ilvl w:val="0"/>
          <w:numId w:val="1005"/>
        </w:numPr>
      </w:pPr>
      <w:r>
        <w:rPr>
          <w:b/>
          <w:bCs/>
        </w:rPr>
        <w:t xml:space="preserve">V_resin,vessel = 7 × 0.22 = 1.54 m³</w:t>
      </w:r>
      <w:r>
        <w:t xml:space="preserve"> </w:t>
      </w:r>
      <w:r>
        <w:t xml:space="preserve">(round to</w:t>
      </w:r>
      <w:r>
        <w:t xml:space="preserve"> </w:t>
      </w:r>
      <w:r>
        <w:rPr>
          <w:b/>
          <w:bCs/>
        </w:rPr>
        <w:t xml:space="preserve">1.6 m³</w:t>
      </w:r>
      <w:r>
        <w:t xml:space="preserve"> </w:t>
      </w:r>
      <w:r>
        <w:t xml:space="preserve">for fabrication and margin)</w:t>
      </w:r>
    </w:p>
    <w:bookmarkEnd w:id="28"/>
    <w:bookmarkStart w:id="29" w:name="service-flow-rate-and-ebct"/>
    <w:p>
      <w:pPr>
        <w:pStyle w:val="Heading3"/>
      </w:pPr>
      <w:r>
        <w:t xml:space="preserve">Service flow rate and EBCT</w:t>
      </w:r>
    </w:p>
    <w:p>
      <w:pPr>
        <w:pStyle w:val="FirstParagraph"/>
      </w:pPr>
      <w:r>
        <w:t xml:space="preserve">Ion exchange hydraulic loading is typically described as</w:t>
      </w:r>
      <w:r>
        <w:t xml:space="preserve"> </w:t>
      </w:r>
      <w:r>
        <w:rPr>
          <w:b/>
          <w:bCs/>
        </w:rPr>
        <w:t xml:space="preserve">space velocity in BV/h</w:t>
      </w:r>
      <w:r>
        <w:t xml:space="preserve">; DuPont’s operating conditions guidance lists a</w:t>
      </w:r>
      <w:r>
        <w:t xml:space="preserve"> </w:t>
      </w:r>
      <w:r>
        <w:rPr>
          <w:b/>
          <w:bCs/>
        </w:rPr>
        <w:t xml:space="preserve">specific flowrate range of 6–60 BV/h</w:t>
      </w:r>
      <w:r>
        <w:t xml:space="preserve"> </w:t>
      </w:r>
      <w:r>
        <w:t xml:space="preserve">for ion exchange beds in water treatment. Separately, an example column adsorption study for a boron-selective resin reports effective removal at a</w:t>
      </w:r>
      <w:r>
        <w:t xml:space="preserve"> </w:t>
      </w:r>
      <w:r>
        <w:rPr>
          <w:b/>
          <w:bCs/>
        </w:rPr>
        <w:t xml:space="preserve">space velocity of 4 h⁻¹</w:t>
      </w:r>
      <w:r>
        <w:t xml:space="preserve"> </w:t>
      </w:r>
      <w:r>
        <w:t xml:space="preserve">(≈4 BV/h), which is a common “conservative” service velocity for specialty polishing where leakage targets are tight.</w:t>
      </w:r>
    </w:p>
    <w:p>
      <w:pPr>
        <w:pStyle w:val="BodyText"/>
      </w:pPr>
      <w:r>
        <w:t xml:space="preserve">For the selected vessel resin volume</w:t>
      </w:r>
      <w:r>
        <w:t xml:space="preserve"> </w:t>
      </w:r>
      <w:r>
        <w:rPr>
          <w:b/>
          <w:bCs/>
        </w:rPr>
        <w:t xml:space="preserve">V_resin = 1.6 m³</w:t>
      </w:r>
      <w:r>
        <w:t xml:space="preserve">, the average and peak service velocities are:</w:t>
      </w:r>
    </w:p>
    <w:p>
      <w:pPr>
        <w:pStyle w:val="Compact"/>
        <w:numPr>
          <w:ilvl w:val="0"/>
          <w:numId w:val="1006"/>
        </w:numPr>
      </w:pPr>
      <w:r>
        <w:rPr>
          <w:b/>
          <w:bCs/>
        </w:rPr>
        <w:t xml:space="preserve">SV_avg = Q_avg / V = 2.5 / 1.6 = 1.56 BV/h</w:t>
      </w:r>
    </w:p>
    <w:p>
      <w:pPr>
        <w:pStyle w:val="Compact"/>
        <w:numPr>
          <w:ilvl w:val="0"/>
          <w:numId w:val="1006"/>
        </w:numPr>
      </w:pPr>
      <w:r>
        <w:rPr>
          <w:b/>
          <w:bCs/>
        </w:rPr>
        <w:t xml:space="preserve">SV_peak = Q_peak / V = 3.75 / 1.6 = 2.34 BV/h</w:t>
      </w:r>
    </w:p>
    <w:p>
      <w:pPr>
        <w:pStyle w:val="FirstParagraph"/>
      </w:pPr>
      <w:r>
        <w:t xml:space="preserve">The corresponding empty bed contact times (EBCT) are:</w:t>
      </w:r>
    </w:p>
    <w:p>
      <w:pPr>
        <w:pStyle w:val="Compact"/>
        <w:numPr>
          <w:ilvl w:val="0"/>
          <w:numId w:val="1007"/>
        </w:numPr>
      </w:pPr>
      <w:r>
        <w:rPr>
          <w:b/>
          <w:bCs/>
        </w:rPr>
        <w:t xml:space="preserve">EBCT_avg = 60 / SV_avg = 38.5 min</w:t>
      </w:r>
    </w:p>
    <w:p>
      <w:pPr>
        <w:pStyle w:val="Compact"/>
        <w:numPr>
          <w:ilvl w:val="0"/>
          <w:numId w:val="1007"/>
        </w:numPr>
      </w:pPr>
      <w:r>
        <w:rPr>
          <w:b/>
          <w:bCs/>
        </w:rPr>
        <w:t xml:space="preserve">EBCT_peak = 60 / SV_peak = 25.6 min</w:t>
      </w:r>
    </w:p>
    <w:p>
      <w:pPr>
        <w:pStyle w:val="FirstParagraph"/>
      </w:pPr>
      <w:r>
        <w:t xml:space="preserve">These EBCTs fall within a conservative adsorption-contact regime; for adsorption systems, USACE guidance notes that achieving very deep polishing (e.g., from ppm to ppb) can require minimum EBCT on the order of 15–30 minutes, depending on target and matrix.</w:t>
      </w:r>
    </w:p>
    <w:bookmarkEnd w:id="29"/>
    <w:bookmarkStart w:id="30" w:name="column-dimensions"/>
    <w:p>
      <w:pPr>
        <w:pStyle w:val="Heading3"/>
      </w:pPr>
      <w:r>
        <w:t xml:space="preserve">Column dimensions</w:t>
      </w:r>
    </w:p>
    <w:p>
      <w:pPr>
        <w:pStyle w:val="FirstParagraph"/>
      </w:pPr>
      <w:r>
        <w:t xml:space="preserve">DuPont guidance indicates typical single-bed depths (packed-bed systems) in the range</w:t>
      </w:r>
      <w:r>
        <w:t xml:space="preserve"> </w:t>
      </w:r>
      <w:r>
        <w:rPr>
          <w:b/>
          <w:bCs/>
        </w:rPr>
        <w:t xml:space="preserve">1400–4000 mm</w:t>
      </w:r>
      <w:r>
        <w:t xml:space="preserve">. Selecting a</w:t>
      </w:r>
      <w:r>
        <w:t xml:space="preserve"> </w:t>
      </w:r>
      <w:r>
        <w:rPr>
          <w:b/>
          <w:bCs/>
        </w:rPr>
        <w:t xml:space="preserve">bed depth H = 2.5 m</w:t>
      </w:r>
      <w:r>
        <w:t xml:space="preserve"> </w:t>
      </w:r>
      <w:r>
        <w:t xml:space="preserve">(within this range) provides robust hydraulics and mass transfer length for a polishing duty.</w:t>
      </w:r>
    </w:p>
    <w:p>
      <w:pPr>
        <w:pStyle w:val="BodyText"/>
      </w:pPr>
      <w:r>
        <w:t xml:space="preserve">For</w:t>
      </w:r>
      <w:r>
        <w:t xml:space="preserve"> </w:t>
      </w:r>
      <w:r>
        <w:rPr>
          <w:b/>
          <w:bCs/>
        </w:rPr>
        <w:t xml:space="preserve">V_bed = 1.6 m³</w:t>
      </w:r>
      <w:r>
        <w:t xml:space="preserve"> </w:t>
      </w:r>
      <w:r>
        <w:t xml:space="preserve">and</w:t>
      </w:r>
      <w:r>
        <w:t xml:space="preserve"> </w:t>
      </w:r>
      <w:r>
        <w:rPr>
          <w:b/>
          <w:bCs/>
        </w:rPr>
        <w:t xml:space="preserve">H = 2.5 m</w:t>
      </w:r>
      <w:r>
        <w:t xml:space="preserve">, the cross-sectional area is</w:t>
      </w:r>
      <w:r>
        <w:t xml:space="preserve"> </w:t>
      </w:r>
      <w:r>
        <w:rPr>
          <w:b/>
          <w:bCs/>
        </w:rPr>
        <w:t xml:space="preserve">A = V/H = 0.64 m²</w:t>
      </w:r>
      <w:r>
        <w:t xml:space="preserve">, giving an internal diameter:</w:t>
      </w:r>
    </w:p>
    <w:p>
      <w:pPr>
        <w:pStyle w:val="Compact"/>
        <w:numPr>
          <w:ilvl w:val="0"/>
          <w:numId w:val="1008"/>
        </w:numPr>
      </w:pPr>
      <w:r>
        <w:rPr>
          <w:b/>
          <w:bCs/>
        </w:rPr>
        <w:t xml:space="preserve">D = √(4A/π) = √(4×0.64/π) = 0.90 m</w:t>
      </w:r>
    </w:p>
    <w:p>
      <w:pPr>
        <w:pStyle w:val="FirstParagraph"/>
      </w:pPr>
      <w:r>
        <w:t xml:space="preserve">This yields an approximate</w:t>
      </w:r>
      <w:r>
        <w:t xml:space="preserve"> </w:t>
      </w:r>
      <w:r>
        <w:rPr>
          <w:b/>
          <w:bCs/>
        </w:rPr>
        <w:t xml:space="preserve">L/D = 2.5/0.90 = 2.8</w:t>
      </w:r>
      <w:r>
        <w:t xml:space="preserve">, consistent with common packed-bed proportions (and within practical internals/distributor design limits).</w:t>
      </w:r>
    </w:p>
    <w:p>
      <w:pPr>
        <w:pStyle w:val="BodyText"/>
      </w:pPr>
      <w:r>
        <w:t xml:space="preserve">Hydraulically, the superficial (linear) velocity at peak flow is:</w:t>
      </w:r>
    </w:p>
    <w:p>
      <w:pPr>
        <w:pStyle w:val="Compact"/>
        <w:numPr>
          <w:ilvl w:val="0"/>
          <w:numId w:val="1009"/>
        </w:numPr>
      </w:pPr>
      <w:r>
        <w:rPr>
          <w:b/>
          <w:bCs/>
        </w:rPr>
        <w:t xml:space="preserve">v_peak = Q_peak/A = 3.75 m³/h ÷ 0.64 m² = 5.9 m/h</w:t>
      </w:r>
    </w:p>
    <w:bookmarkEnd w:id="30"/>
    <w:bookmarkStart w:id="31" w:name="number-of-columns-and-configuration"/>
    <w:p>
      <w:pPr>
        <w:pStyle w:val="Heading3"/>
      </w:pPr>
      <w:r>
        <w:t xml:space="preserve">Number of columns and configuration</w:t>
      </w:r>
    </w:p>
    <w:p>
      <w:pPr>
        <w:pStyle w:val="FirstParagraph"/>
      </w:pPr>
      <w:r>
        <w:t xml:space="preserve">A</w:t>
      </w:r>
      <w:r>
        <w:t xml:space="preserve"> </w:t>
      </w:r>
      <w:r>
        <w:rPr>
          <w:b/>
          <w:bCs/>
        </w:rPr>
        <w:t xml:space="preserve">lead–lag primary + polisher</w:t>
      </w:r>
      <w:r>
        <w:t xml:space="preserve"> </w:t>
      </w:r>
      <w:r>
        <w:t xml:space="preserve">configuration is the supplier’s “normal design” to achieve the lowest leakage when properly operated. For continuous operation during regeneration, Purolite recommends a</w:t>
      </w:r>
      <w:r>
        <w:t xml:space="preserve"> </w:t>
      </w:r>
      <w:r>
        <w:rPr>
          <w:b/>
          <w:bCs/>
        </w:rPr>
        <w:t xml:space="preserve">third equal-sized vessel</w:t>
      </w:r>
      <w:r>
        <w:t xml:space="preserve"> </w:t>
      </w:r>
      <w:r>
        <w:t xml:space="preserve">in standby and “merry-go-round” switching logic (lead removed for regeneration; polisher becomes lead; standby becomes polisher).</w:t>
      </w:r>
    </w:p>
    <w:p>
      <w:pPr>
        <w:pStyle w:val="BodyText"/>
      </w:pPr>
      <w:r>
        <w:t xml:space="preserve">Accordingly, this sizing example specifies</w:t>
      </w:r>
      <w:r>
        <w:t xml:space="preserve"> </w:t>
      </w:r>
      <w:r>
        <w:rPr>
          <w:b/>
          <w:bCs/>
        </w:rPr>
        <w:t xml:space="preserve">3 vessels total</w:t>
      </w:r>
      <w:r>
        <w:t xml:space="preserve">, each</w:t>
      </w:r>
      <w:r>
        <w:t xml:space="preserve"> </w:t>
      </w:r>
      <w:r>
        <w:rPr>
          <w:b/>
          <w:bCs/>
        </w:rPr>
        <w:t xml:space="preserve">1.6 m³ resin</w:t>
      </w:r>
      <w:r>
        <w:t xml:space="preserve">, configured as:</w:t>
      </w:r>
    </w:p>
    <w:p>
      <w:pPr>
        <w:pStyle w:val="Compact"/>
        <w:numPr>
          <w:ilvl w:val="0"/>
          <w:numId w:val="1010"/>
        </w:numPr>
      </w:pPr>
      <w:r>
        <w:rPr>
          <w:b/>
          <w:bCs/>
        </w:rPr>
        <w:t xml:space="preserve">1× lead (primary)</w:t>
      </w:r>
      <w:r>
        <w:t xml:space="preserve"> </w:t>
      </w:r>
      <w:r>
        <w:t xml:space="preserve">+</w:t>
      </w:r>
      <w:r>
        <w:t xml:space="preserve"> </w:t>
      </w:r>
      <w:r>
        <w:rPr>
          <w:b/>
          <w:bCs/>
        </w:rPr>
        <w:t xml:space="preserve">1× lag (polisher)</w:t>
      </w:r>
      <w:r>
        <w:t xml:space="preserve"> </w:t>
      </w:r>
      <w:r>
        <w:t xml:space="preserve">in service, and</w:t>
      </w:r>
      <w:r>
        <w:t xml:space="preserve"> </w:t>
      </w:r>
      <w:r>
        <w:rPr>
          <w:b/>
          <w:bCs/>
        </w:rPr>
        <w:t xml:space="preserve">1× standby</w:t>
      </w:r>
      <w:r>
        <w:t xml:space="preserve"> </w:t>
      </w:r>
      <w:r>
        <w:t xml:space="preserve">available for immediate substitution during regeneration</w:t>
      </w:r>
    </w:p>
    <w:bookmarkEnd w:id="31"/>
    <w:bookmarkStart w:id="32" w:name="cycle-time"/>
    <w:p>
      <w:pPr>
        <w:pStyle w:val="Heading3"/>
      </w:pPr>
      <w:r>
        <w:t xml:space="preserve">Cycle time</w:t>
      </w:r>
    </w:p>
    <w:p>
      <w:pPr>
        <w:pStyle w:val="FirstParagraph"/>
      </w:pPr>
      <w:r>
        <w:t xml:space="preserve">For a simplified capacity-based estimate of lead-vessel run length, use the design capacity per vessel divided by the boron mass load rate. The boron load rate into the BSR (mass basis) is:</w:t>
      </w:r>
    </w:p>
    <w:p>
      <w:pPr>
        <w:pStyle w:val="Compact"/>
        <w:numPr>
          <w:ilvl w:val="0"/>
          <w:numId w:val="1011"/>
        </w:numPr>
      </w:pPr>
      <w:r>
        <w:rPr>
          <w:b/>
          <w:bCs/>
        </w:rPr>
        <w:t xml:space="preserve">m_B,in/day = Q × C_in = 60 m³/day × 10 g/m³ = 0.60 kg/day</w:t>
      </w:r>
    </w:p>
    <w:p>
      <w:pPr>
        <w:pStyle w:val="FirstParagraph"/>
      </w:pPr>
      <w:r>
        <w:t xml:space="preserve">The vessel’s conservative design boron holding capacity is:</w:t>
      </w:r>
    </w:p>
    <w:p>
      <w:pPr>
        <w:pStyle w:val="Compact"/>
        <w:numPr>
          <w:ilvl w:val="0"/>
          <w:numId w:val="1012"/>
        </w:numPr>
      </w:pPr>
      <w:r>
        <w:rPr>
          <w:b/>
          <w:bCs/>
        </w:rPr>
        <w:t xml:space="preserve">M_B,cap = V_resin × q_design = 1.6 m³ × 2.57 kg/m³ = 4.11 kg B</w:t>
      </w:r>
    </w:p>
    <w:p>
      <w:pPr>
        <w:pStyle w:val="FirstParagraph"/>
      </w:pPr>
      <w:r>
        <w:t xml:space="preserve">A nominal run time to full design capacity is therefore:</w:t>
      </w:r>
    </w:p>
    <w:p>
      <w:pPr>
        <w:pStyle w:val="Compact"/>
        <w:numPr>
          <w:ilvl w:val="0"/>
          <w:numId w:val="1013"/>
        </w:numPr>
      </w:pPr>
      <w:r>
        <w:rPr>
          <w:b/>
          <w:bCs/>
        </w:rPr>
        <w:t xml:space="preserve">t_service ≈ 4.11 kg ÷ 0.60 kg/day ≈ 6.8 days</w:t>
      </w:r>
    </w:p>
    <w:p>
      <w:pPr>
        <w:pStyle w:val="FirstParagraph"/>
      </w:pPr>
      <w:r>
        <w:t xml:space="preserve">This is consistent with the selected 7-day operating target and supports the 3-vessel merry-go-round scheme for continuous availability.</w:t>
      </w:r>
    </w:p>
    <w:bookmarkEnd w:id="32"/>
    <w:bookmarkEnd w:id="33"/>
    <w:bookmarkStart w:id="37" w:name="regeneration-protocol"/>
    <w:p>
      <w:pPr>
        <w:pStyle w:val="Heading2"/>
      </w:pPr>
      <w:r>
        <w:t xml:space="preserve">Regeneration protocol</w:t>
      </w:r>
    </w:p>
    <w:p>
      <w:pPr>
        <w:pStyle w:val="FirstParagraph"/>
      </w:pPr>
      <w:r>
        <w:t xml:space="preserve">Regeneration for boron-selective resins is commonly conducted with mineral acid elution (HCl or H_2SO_4) followed by rinsing, with some systems also requiring caustic conversion to sodium form; Purolite explicitly describes dilute acid regeneration and notes both co-flow and counter-flow modes can be used to achieve low boron leakage, while resin aging can increase rinse time requirements. DuPont’s operating guidance for ion exchange systems provides typical regeneration concentrations (e.g.,</w:t>
      </w:r>
      <w:r>
        <w:t xml:space="preserve"> </w:t>
      </w:r>
      <w:r>
        <w:rPr>
          <w:b/>
          <w:bCs/>
        </w:rPr>
        <w:t xml:space="preserve">HCl ~5%</w:t>
      </w:r>
      <w:r>
        <w:t xml:space="preserve">) and rinse volumes expressed in BV (e.g., displacement rinse and final rinse ranges), and notes that</w:t>
      </w:r>
      <w:r>
        <w:t xml:space="preserve"> </w:t>
      </w:r>
      <w:r>
        <w:rPr>
          <w:b/>
          <w:bCs/>
        </w:rPr>
        <w:t xml:space="preserve">regenerant volume preferably ≥ 1 BV</w:t>
      </w:r>
      <w:r>
        <w:t xml:space="preserve"> </w:t>
      </w:r>
      <w:r>
        <w:t xml:space="preserve">and</w:t>
      </w:r>
      <w:r>
        <w:t xml:space="preserve"> </w:t>
      </w:r>
      <w:r>
        <w:rPr>
          <w:b/>
          <w:bCs/>
        </w:rPr>
        <w:t xml:space="preserve">flowrate ≥ 2 BV/h</w:t>
      </w:r>
      <w:r>
        <w:t xml:space="preserve"> </w:t>
      </w:r>
      <w:r>
        <w:t xml:space="preserve">for distribution and contact.</w:t>
      </w:r>
    </w:p>
    <w:bookmarkStart w:id="34" w:name="acid-regeneration"/>
    <w:p>
      <w:pPr>
        <w:pStyle w:val="Heading3"/>
      </w:pPr>
      <w:r>
        <w:t xml:space="preserve">Acid regeneration</w:t>
      </w:r>
    </w:p>
    <w:p>
      <w:pPr>
        <w:pStyle w:val="FirstParagraph"/>
      </w:pPr>
      <w:r>
        <w:t xml:space="preserve">For this worked example, specify</w:t>
      </w:r>
      <w:r>
        <w:t xml:space="preserve"> </w:t>
      </w:r>
      <w:r>
        <w:rPr>
          <w:b/>
          <w:bCs/>
        </w:rPr>
        <w:t xml:space="preserve">HCl elution</w:t>
      </w:r>
      <w:r>
        <w:t xml:space="preserve"> </w:t>
      </w:r>
      <w:r>
        <w:t xml:space="preserve">as the primary regenerant because fixed-bed boron recovery studies report effective desorption with hydrochloric acid (e.g.,</w:t>
      </w:r>
      <w:r>
        <w:t xml:space="preserve"> </w:t>
      </w:r>
      <w:r>
        <w:rPr>
          <w:b/>
          <w:bCs/>
        </w:rPr>
        <w:t xml:space="preserve">1 M HCl</w:t>
      </w:r>
      <w:r>
        <w:t xml:space="preserve"> </w:t>
      </w:r>
      <w:r>
        <w:t xml:space="preserve">used for desorption in NMG sorbent columns;</w:t>
      </w:r>
      <w:r>
        <w:t xml:space="preserve"> </w:t>
      </w:r>
      <w:r>
        <w:rPr>
          <w:b/>
          <w:bCs/>
        </w:rPr>
        <w:t xml:space="preserve">2 M HCl</w:t>
      </w:r>
      <w:r>
        <w:t xml:space="preserve"> </w:t>
      </w:r>
      <w:r>
        <w:t xml:space="preserve">reported as an effective eluent in brine tests). A conservative, vendor-aligned alternative is</w:t>
      </w:r>
      <w:r>
        <w:t xml:space="preserve"> </w:t>
      </w:r>
      <w:r>
        <w:rPr>
          <w:b/>
          <w:bCs/>
        </w:rPr>
        <w:t xml:space="preserve">~5 wt% HCl</w:t>
      </w:r>
      <w:r>
        <w:t xml:space="preserve"> </w:t>
      </w:r>
      <w:r>
        <w:t xml:space="preserve">(DuPont guidance), which is near</w:t>
      </w:r>
      <w:r>
        <w:t xml:space="preserve"> </w:t>
      </w:r>
      <w:r>
        <w:rPr>
          <w:b/>
          <w:bCs/>
        </w:rPr>
        <w:t xml:space="preserve">1.4 M</w:t>
      </w:r>
      <w:r>
        <w:t xml:space="preserve"> </w:t>
      </w:r>
      <w:r>
        <w:t xml:space="preserve">and is commonly used in IX practice.</w:t>
      </w:r>
    </w:p>
    <w:p>
      <w:pPr>
        <w:pStyle w:val="BodyText"/>
      </w:pPr>
      <w:r>
        <w:t xml:space="preserve">A practical regeneration recipe consistent with DuPont volume guidance is:</w:t>
      </w:r>
    </w:p>
    <w:p>
      <w:pPr>
        <w:pStyle w:val="Compact"/>
        <w:numPr>
          <w:ilvl w:val="0"/>
          <w:numId w:val="1014"/>
        </w:numPr>
      </w:pPr>
      <w:r>
        <w:t xml:space="preserve">Backwash:</w:t>
      </w:r>
      <w:r>
        <w:t xml:space="preserve"> </w:t>
      </w:r>
      <w:r>
        <w:rPr>
          <w:b/>
          <w:bCs/>
        </w:rPr>
        <w:t xml:space="preserve">15–30 min</w:t>
      </w:r>
      <w:r>
        <w:t xml:space="preserve"> </w:t>
      </w:r>
      <w:r>
        <w:t xml:space="preserve">(as needed for solids removal / bed reclassification)</w:t>
      </w:r>
    </w:p>
    <w:p>
      <w:pPr>
        <w:pStyle w:val="Compact"/>
        <w:numPr>
          <w:ilvl w:val="0"/>
          <w:numId w:val="1014"/>
        </w:numPr>
      </w:pPr>
      <w:r>
        <w:t xml:space="preserve">Acid elution:</w:t>
      </w:r>
      <w:r>
        <w:t xml:space="preserve"> </w:t>
      </w:r>
      <w:r>
        <w:rPr>
          <w:b/>
          <w:bCs/>
        </w:rPr>
        <w:t xml:space="preserve">1 BV</w:t>
      </w:r>
      <w:r>
        <w:t xml:space="preserve"> </w:t>
      </w:r>
      <w:r>
        <w:t xml:space="preserve">minimum (often 1–2 BV), at</w:t>
      </w:r>
      <w:r>
        <w:t xml:space="preserve"> </w:t>
      </w:r>
      <w:r>
        <w:rPr>
          <w:b/>
          <w:bCs/>
        </w:rPr>
        <w:t xml:space="preserve">≥2 BV/h</w:t>
      </w:r>
      <w:r>
        <w:t xml:space="preserve"> </w:t>
      </w:r>
      <w:r>
        <w:t xml:space="preserve">to ensure distribution, with</w:t>
      </w:r>
      <w:r>
        <w:t xml:space="preserve"> </w:t>
      </w:r>
      <w:r>
        <w:rPr>
          <w:b/>
          <w:bCs/>
        </w:rPr>
        <w:t xml:space="preserve">contact time &gt;20 min</w:t>
      </w:r>
      <w:r>
        <w:t xml:space="preserve"> </w:t>
      </w:r>
      <w:r>
        <w:t xml:space="preserve">(but &lt;60 min for sulfuric acid cases)</w:t>
      </w:r>
    </w:p>
    <w:bookmarkEnd w:id="34"/>
    <w:bookmarkStart w:id="35" w:name="rinse"/>
    <w:p>
      <w:pPr>
        <w:pStyle w:val="Heading3"/>
      </w:pPr>
      <w:r>
        <w:t xml:space="preserve">Rinse</w:t>
      </w:r>
    </w:p>
    <w:p>
      <w:pPr>
        <w:pStyle w:val="FirstParagraph"/>
      </w:pPr>
      <w:r>
        <w:t xml:space="preserve">Rinse volumes are expressed in BV and can be structured as a displacement (slow) rinse and a final (fast) rinse. DuPont guidance provides typical displacement rinse volumes (e.g., anion beds often around</w:t>
      </w:r>
      <w:r>
        <w:t xml:space="preserve"> </w:t>
      </w:r>
      <w:r>
        <w:rPr>
          <w:b/>
          <w:bCs/>
        </w:rPr>
        <w:t xml:space="preserve">~3 BV</w:t>
      </w:r>
      <w:r>
        <w:t xml:space="preserve">) and final rinse volumes (commonly</w:t>
      </w:r>
      <w:r>
        <w:t xml:space="preserve"> </w:t>
      </w:r>
      <w:r>
        <w:rPr>
          <w:b/>
          <w:bCs/>
        </w:rPr>
        <w:t xml:space="preserve">3–8 BV</w:t>
      </w:r>
      <w:r>
        <w:t xml:space="preserve"> </w:t>
      </w:r>
      <w:r>
        <w:t xml:space="preserve">for anion beds) with rinse flowrates either the same as service or</w:t>
      </w:r>
      <w:r>
        <w:t xml:space="preserve"> </w:t>
      </w:r>
      <w:r>
        <w:rPr>
          <w:b/>
          <w:bCs/>
        </w:rPr>
        <w:t xml:space="preserve">10–30 BV/h</w:t>
      </w:r>
      <w:r>
        <w:t xml:space="preserve">.</w:t>
      </w:r>
    </w:p>
    <w:p>
      <w:pPr>
        <w:pStyle w:val="BodyText"/>
      </w:pPr>
      <w:r>
        <w:t xml:space="preserve">Purolite also describes an optional “very dilute acid” backflush step consisting of</w:t>
      </w:r>
      <w:r>
        <w:t xml:space="preserve"> </w:t>
      </w:r>
      <w:r>
        <w:rPr>
          <w:b/>
          <w:bCs/>
        </w:rPr>
        <w:t xml:space="preserve">¼ BV of 0.1% acid</w:t>
      </w:r>
      <w:r>
        <w:t xml:space="preserve"> </w:t>
      </w:r>
      <w:r>
        <w:t xml:space="preserve">introduced upflow to partially neutralize residual caustic and avoid extended rinsing, particularly in larger plants.</w:t>
      </w:r>
    </w:p>
    <w:bookmarkEnd w:id="35"/>
    <w:bookmarkStart w:id="36" w:name="regenerant-brine-strength"/>
    <w:p>
      <w:pPr>
        <w:pStyle w:val="Heading3"/>
      </w:pPr>
      <w:r>
        <w:t xml:space="preserve">Regenerant brine strength</w:t>
      </w:r>
    </w:p>
    <w:p>
      <w:pPr>
        <w:pStyle w:val="FirstParagraph"/>
      </w:pPr>
      <w:r>
        <w:t xml:space="preserve">For brine management planning (downstream of this sizing deliverable), published NMG resin column operation data show boron eluate concentrations on the order of</w:t>
      </w:r>
      <w:r>
        <w:t xml:space="preserve"> </w:t>
      </w:r>
      <w:r>
        <w:rPr>
          <w:b/>
          <w:bCs/>
        </w:rPr>
        <w:t xml:space="preserve">~0.9–2.1 g/L B</w:t>
      </w:r>
      <w:r>
        <w:t xml:space="preserve"> </w:t>
      </w:r>
      <w:r>
        <w:t xml:space="preserve">for S108/CRB03/CRB05 when eluted with</w:t>
      </w:r>
      <w:r>
        <w:t xml:space="preserve"> </w:t>
      </w:r>
      <w:r>
        <w:rPr>
          <w:b/>
          <w:bCs/>
        </w:rPr>
        <w:t xml:space="preserve">1 M HCl</w:t>
      </w:r>
      <w:r>
        <w:t xml:space="preserve">. Such concentrations provide a realistic basis for first-cut regenerant tank material selection and downstream brine management, even though site-specific eluate profiles depend strongly on loading and elution volume.</w:t>
      </w:r>
    </w:p>
    <w:bookmarkEnd w:id="36"/>
    <w:bookmarkEnd w:id="37"/>
    <w:bookmarkStart w:id="38" w:name="annual-chemical-and-resin-consumption"/>
    <w:p>
      <w:pPr>
        <w:pStyle w:val="Heading2"/>
      </w:pPr>
      <w:r>
        <w:t xml:space="preserve">Annual chemical and resin consumption</w:t>
      </w:r>
    </w:p>
    <w:p>
      <w:pPr>
        <w:pStyle w:val="FirstParagraph"/>
      </w:pPr>
      <w:r>
        <w:t xml:space="preserve">Annual reagent usage is driven primarily by (i) the number of regeneration cycles per year and (ii) the chosen regenerant and rinse volumes expressed in BV, since BV is directly tied to resin volume (1 m³ water per m³ resin). For a 7-day lead-vessel cycle, the system performs approximately:</w:t>
      </w:r>
    </w:p>
    <w:p>
      <w:pPr>
        <w:pStyle w:val="Compact"/>
        <w:numPr>
          <w:ilvl w:val="0"/>
          <w:numId w:val="1015"/>
        </w:numPr>
      </w:pPr>
      <w:r>
        <w:rPr>
          <w:b/>
          <w:bCs/>
        </w:rPr>
        <w:t xml:space="preserve">cycles/year ≈ 365/7 ≈ 52 cycles/year</w:t>
      </w:r>
    </w:p>
    <w:p>
      <w:pPr>
        <w:pStyle w:val="FirstParagraph"/>
      </w:pPr>
      <w:r>
        <w:t xml:space="preserve">If each regeneration uses</w:t>
      </w:r>
      <w:r>
        <w:t xml:space="preserve"> </w:t>
      </w:r>
      <w:r>
        <w:rPr>
          <w:b/>
          <w:bCs/>
        </w:rPr>
        <w:t xml:space="preserve">1 BV</w:t>
      </w:r>
      <w:r>
        <w:t xml:space="preserve"> </w:t>
      </w:r>
      <w:r>
        <w:t xml:space="preserve">of acid and</w:t>
      </w:r>
      <w:r>
        <w:t xml:space="preserve"> </w:t>
      </w:r>
      <w:r>
        <w:rPr>
          <w:b/>
          <w:bCs/>
        </w:rPr>
        <w:t xml:space="preserve">(3 + 6) BV = 9 BV</w:t>
      </w:r>
      <w:r>
        <w:t xml:space="preserve"> </w:t>
      </w:r>
      <w:r>
        <w:t xml:space="preserve">of rinse water (illustrative within DuPont displacement + final rinse ranges), then per regeneration per vessel:</w:t>
      </w:r>
    </w:p>
    <w:p>
      <w:pPr>
        <w:pStyle w:val="Compact"/>
        <w:numPr>
          <w:ilvl w:val="0"/>
          <w:numId w:val="1016"/>
        </w:numPr>
      </w:pPr>
      <w:r>
        <w:t xml:space="preserve">Acid volume:</w:t>
      </w:r>
      <w:r>
        <w:t xml:space="preserve"> </w:t>
      </w:r>
      <w:r>
        <w:rPr>
          <w:b/>
          <w:bCs/>
        </w:rPr>
        <w:t xml:space="preserve">1 BV × 1.6 m³ = 1.6 m³ regenerant solution</w:t>
      </w:r>
    </w:p>
    <w:p>
      <w:pPr>
        <w:pStyle w:val="Compact"/>
        <w:numPr>
          <w:ilvl w:val="0"/>
          <w:numId w:val="1016"/>
        </w:numPr>
      </w:pPr>
      <w:r>
        <w:t xml:space="preserve">Rinse volume:</w:t>
      </w:r>
      <w:r>
        <w:t xml:space="preserve"> </w:t>
      </w:r>
      <w:r>
        <w:rPr>
          <w:b/>
          <w:bCs/>
        </w:rPr>
        <w:t xml:space="preserve">9 BV × 1.6 m³ = 14.4 m³ rinse water</w:t>
      </w:r>
    </w:p>
    <w:p>
      <w:pPr>
        <w:pStyle w:val="FirstParagraph"/>
      </w:pPr>
      <w:r>
        <w:t xml:space="preserve">This yields annual volumes (per regenerated vessel):</w:t>
      </w:r>
    </w:p>
    <w:p>
      <w:pPr>
        <w:pStyle w:val="Compact"/>
        <w:numPr>
          <w:ilvl w:val="0"/>
          <w:numId w:val="1017"/>
        </w:numPr>
      </w:pPr>
      <w:r>
        <w:t xml:space="preserve">Acid regenerant solution:</w:t>
      </w:r>
      <w:r>
        <w:t xml:space="preserve"> </w:t>
      </w:r>
      <w:r>
        <w:rPr>
          <w:b/>
          <w:bCs/>
        </w:rPr>
        <w:t xml:space="preserve">1.6 m³/cycle × 52 ≈ 83 m³/year</w:t>
      </w:r>
    </w:p>
    <w:p>
      <w:pPr>
        <w:pStyle w:val="Compact"/>
        <w:numPr>
          <w:ilvl w:val="0"/>
          <w:numId w:val="1017"/>
        </w:numPr>
      </w:pPr>
      <w:r>
        <w:t xml:space="preserve">Rinse water:</w:t>
      </w:r>
      <w:r>
        <w:t xml:space="preserve"> </w:t>
      </w:r>
      <w:r>
        <w:rPr>
          <w:b/>
          <w:bCs/>
        </w:rPr>
        <w:t xml:space="preserve">14.4 m³/cycle × 52 ≈ 749 m³/year</w:t>
      </w:r>
    </w:p>
    <w:p>
      <w:pPr>
        <w:pStyle w:val="FirstParagraph"/>
      </w:pPr>
      <w:r>
        <w:t xml:space="preserve">Resin life is application-dependent; general IX references indicate multi-year resin lifetimes under proper care (e.g., 3–8 years), which can be translated into an annual replacement fraction for budgeting and spares.</w:t>
      </w:r>
    </w:p>
    <w:bookmarkEnd w:id="38"/>
    <w:bookmarkStart w:id="39" w:name="capex-estimate"/>
    <w:p>
      <w:pPr>
        <w:pStyle w:val="Heading2"/>
      </w:pPr>
      <w:r>
        <w:t xml:space="preserve">CAPEX estimate</w:t>
      </w:r>
    </w:p>
    <w:p>
      <w:pPr>
        <w:pStyle w:val="FirstParagraph"/>
      </w:pPr>
      <w:r>
        <w:t xml:space="preserve">A defensible vendor-quote-based CAPEX requires specific vessel codes, materials, internals, valve automation philosophy, and corrosion allowances; the literature and supplier guidance provided here does not contain enough information to generate a bankable installed-cost estimate. For order-of-magnitude budgeting, adsorption design guidance provides a historical resin system price range of</w:t>
      </w:r>
      <w:r>
        <w:t xml:space="preserve"> </w:t>
      </w:r>
      <w:r>
        <w:rPr>
          <w:b/>
          <w:bCs/>
        </w:rPr>
        <w:t xml:space="preserve">$8–$35/lb</w:t>
      </w:r>
      <w:r>
        <w:t xml:space="preserve"> </w:t>
      </w:r>
      <w:r>
        <w:t xml:space="preserve">for polymeric resins (1998 rates), which can be used only as a rough indicator and must be escalated and validated by supplier quotes for S108/IRA743 in the required ionic form and bead size.</w:t>
      </w:r>
    </w:p>
    <w:bookmarkEnd w:id="39"/>
    <w:bookmarkStart w:id="40" w:name="opex-estimate"/>
    <w:p>
      <w:pPr>
        <w:pStyle w:val="Heading2"/>
      </w:pPr>
      <w:r>
        <w:t xml:space="preserve">OPEX estimate</w:t>
      </w:r>
    </w:p>
    <w:p>
      <w:pPr>
        <w:pStyle w:val="FirstParagraph"/>
      </w:pPr>
      <w:r>
        <w:t xml:space="preserve">Operating cost is dominated by regenerant chemicals and management of the spent regenerant/rinse brine. The available sources support that resins are regenerated using dilute sulfuric or hydrochloric acid, and that rinse volumes are multiple bed volumes per regeneration, so the brine volume is inherently material at industrial scale. The numeric cost basis (acid $/t, wastewater treatment $/m³, hazardous disposal $/m³) is not present in the provided sources, so this report does not assert an all-in $/m³ treated OPEX without additional cost sourcing.</w:t>
      </w:r>
    </w:p>
    <w:bookmarkEnd w:id="40"/>
    <w:bookmarkStart w:id="41" w:name="summary-sizing-table"/>
    <w:p>
      <w:pPr>
        <w:pStyle w:val="Heading2"/>
      </w:pPr>
      <w:r>
        <w:t xml:space="preserve">Summary sizing table</w:t>
      </w:r>
    </w:p>
    <w:p>
      <w:pPr>
        <w:pStyle w:val="FirstParagraph"/>
      </w:pPr>
      <w:r>
        <w:t xml:space="preserve">The table below consolidates the key sizing outputs for the selected 7-day-cycle, 3-vessel lead–lag–standby design, and also highlights which values are derived from published resin capacity and standard BV definitions.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jc w:val="right"/>
            </w:pPr>
            <w:r>
              <w:t xml:space="preserve">Value</w:t>
            </w:r>
          </w:p>
        </w:tc>
        <w:tc>
          <w:tcPr/>
          <w:p>
            <w:pPr>
              <w:pStyle w:val="Compact"/>
            </w:pPr>
            <w:r>
              <w:t xml:space="preserve">Unit</w:t>
            </w:r>
          </w:p>
        </w:tc>
      </w:tr>
      <w:tr>
        <w:tc>
          <w:tcPr/>
          <w:p>
            <w:pPr>
              <w:pStyle w:val="Compact"/>
            </w:pPr>
            <w:r>
              <w:t xml:space="preserve">Design flow (average)</w:t>
            </w:r>
          </w:p>
        </w:tc>
        <w:tc>
          <w:tcPr/>
          <w:p>
            <w:pPr>
              <w:pStyle w:val="Compact"/>
              <w:jc w:val="right"/>
            </w:pPr>
            <w:r>
              <w:t xml:space="preserve">2.5</w:t>
            </w:r>
          </w:p>
        </w:tc>
        <w:tc>
          <w:tcPr/>
          <w:p>
            <w:pPr>
              <w:pStyle w:val="Compact"/>
            </w:pPr>
            <w:r>
              <w:t xml:space="preserve">m³/h</w:t>
            </w:r>
          </w:p>
        </w:tc>
      </w:tr>
      <w:tr>
        <w:tc>
          <w:tcPr/>
          <w:p>
            <w:pPr>
              <w:pStyle w:val="Compact"/>
            </w:pPr>
            <w:r>
              <w:t xml:space="preserve">Design flow (peak)</w:t>
            </w:r>
          </w:p>
        </w:tc>
        <w:tc>
          <w:tcPr/>
          <w:p>
            <w:pPr>
              <w:pStyle w:val="Compact"/>
              <w:jc w:val="right"/>
            </w:pPr>
            <w:r>
              <w:t xml:space="preserve">3.75</w:t>
            </w:r>
          </w:p>
        </w:tc>
        <w:tc>
          <w:tcPr/>
          <w:p>
            <w:pPr>
              <w:pStyle w:val="Compact"/>
            </w:pPr>
            <w:r>
              <w:t xml:space="preserve">m³/h</w:t>
            </w:r>
          </w:p>
        </w:tc>
      </w:tr>
      <w:tr>
        <w:tc>
          <w:tcPr/>
          <w:p>
            <w:pPr>
              <w:pStyle w:val="Compact"/>
            </w:pPr>
            <w:r>
              <w:t xml:space="preserve">Inlet boron</w:t>
            </w:r>
          </w:p>
        </w:tc>
        <w:tc>
          <w:tcPr/>
          <w:p>
            <w:pPr>
              <w:pStyle w:val="Compact"/>
              <w:jc w:val="right"/>
            </w:pPr>
            <w:r>
              <w:t xml:space="preserve">10</w:t>
            </w:r>
          </w:p>
        </w:tc>
        <w:tc>
          <w:tcPr/>
          <w:p>
            <w:pPr>
              <w:pStyle w:val="Compact"/>
            </w:pPr>
            <w:r>
              <w:t xml:space="preserve">mg/L</w:t>
            </w:r>
          </w:p>
        </w:tc>
      </w:tr>
      <w:tr>
        <w:tc>
          <w:tcPr/>
          <w:p>
            <w:pPr>
              <w:pStyle w:val="Compact"/>
            </w:pPr>
            <w:r>
              <w:t xml:space="preserve">Outlet boron target</w:t>
            </w:r>
          </w:p>
        </w:tc>
        <w:tc>
          <w:tcPr/>
          <w:p>
            <w:pPr>
              <w:pStyle w:val="Compact"/>
              <w:jc w:val="right"/>
            </w:pPr>
            <w:r>
              <w:t xml:space="preserve">0.5</w:t>
            </w:r>
          </w:p>
        </w:tc>
        <w:tc>
          <w:tcPr/>
          <w:p>
            <w:pPr>
              <w:pStyle w:val="Compact"/>
            </w:pPr>
            <w:r>
              <w:t xml:space="preserve">mg/L</w:t>
            </w:r>
          </w:p>
        </w:tc>
      </w:tr>
      <w:tr>
        <w:tc>
          <w:tcPr/>
          <w:p>
            <w:pPr>
              <w:pStyle w:val="Compact"/>
            </w:pPr>
            <w:r>
              <w:t xml:space="preserve">Resin type</w:t>
            </w:r>
          </w:p>
        </w:tc>
        <w:tc>
          <w:tcPr/>
          <w:p>
            <w:pPr>
              <w:pStyle w:val="Compact"/>
              <w:jc w:val="right"/>
            </w:pPr>
            <w:r>
              <w:t xml:space="preserve">Purolite S108 (N-glucamine) or AmberSep/Amberlite IRA743 (NMG)</w:t>
            </w:r>
          </w:p>
        </w:tc>
        <w:tc>
          <w:tcPr/>
          <w:p>
            <w:pPr>
              <w:pStyle w:val="Compact"/>
            </w:pPr>
            <w:r>
              <w:t xml:space="preserve">—</w:t>
            </w:r>
          </w:p>
        </w:tc>
      </w:tr>
      <w:tr>
        <w:tc>
          <w:tcPr/>
          <w:p>
            <w:pPr>
              <w:pStyle w:val="Compact"/>
            </w:pPr>
            <w:r>
              <w:t xml:space="preserve">Total capacity basis</w:t>
            </w:r>
          </w:p>
        </w:tc>
        <w:tc>
          <w:tcPr/>
          <w:p>
            <w:pPr>
              <w:pStyle w:val="Compact"/>
              <w:jc w:val="right"/>
            </w:pPr>
            <w:r>
              <w:t xml:space="preserve">0.35</w:t>
            </w:r>
          </w:p>
        </w:tc>
        <w:tc>
          <w:tcPr/>
          <w:p>
            <w:pPr>
              <w:pStyle w:val="Compact"/>
            </w:pPr>
            <w:r>
              <w:t xml:space="preserve">mol B/L_bed</w:t>
            </w:r>
          </w:p>
        </w:tc>
      </w:tr>
      <w:tr>
        <w:tc>
          <w:tcPr/>
          <w:p>
            <w:pPr>
              <w:pStyle w:val="Compact"/>
            </w:pPr>
            <w:r>
              <w:t xml:space="preserve">Design capacity (after utilization factors)</w:t>
            </w:r>
          </w:p>
        </w:tc>
        <w:tc>
          <w:tcPr/>
          <w:p>
            <w:pPr>
              <w:pStyle w:val="Compact"/>
              <w:jc w:val="right"/>
            </w:pPr>
            <w:r>
              <w:t xml:space="preserve">0.238</w:t>
            </w:r>
          </w:p>
        </w:tc>
        <w:tc>
          <w:tcPr/>
          <w:p>
            <w:pPr>
              <w:pStyle w:val="Compact"/>
            </w:pPr>
            <w:r>
              <w:t xml:space="preserve">mol B/L_bed</w:t>
            </w:r>
          </w:p>
        </w:tc>
      </w:tr>
      <w:tr>
        <w:tc>
          <w:tcPr/>
          <w:p>
            <w:pPr>
              <w:pStyle w:val="Compact"/>
            </w:pPr>
            <w:r>
              <w:t xml:space="preserve">Design capacity (mass basis)</w:t>
            </w:r>
          </w:p>
        </w:tc>
        <w:tc>
          <w:tcPr/>
          <w:p>
            <w:pPr>
              <w:pStyle w:val="Compact"/>
              <w:jc w:val="right"/>
            </w:pPr>
            <w:r>
              <w:t xml:space="preserve">2.57</w:t>
            </w:r>
          </w:p>
        </w:tc>
        <w:tc>
          <w:tcPr/>
          <w:p>
            <w:pPr>
              <w:pStyle w:val="Compact"/>
            </w:pPr>
            <w:r>
              <w:t xml:space="preserve">kg B/m³ resin</w:t>
            </w:r>
          </w:p>
        </w:tc>
      </w:tr>
      <w:tr>
        <w:tc>
          <w:tcPr/>
          <w:p>
            <w:pPr>
              <w:pStyle w:val="Compact"/>
            </w:pPr>
            <w:r>
              <w:t xml:space="preserve">Resin volume per vessel</w:t>
            </w:r>
          </w:p>
        </w:tc>
        <w:tc>
          <w:tcPr/>
          <w:p>
            <w:pPr>
              <w:pStyle w:val="Compact"/>
              <w:jc w:val="right"/>
            </w:pPr>
            <w:r>
              <w:t xml:space="preserve">1.6</w:t>
            </w:r>
          </w:p>
        </w:tc>
        <w:tc>
          <w:tcPr/>
          <w:p>
            <w:pPr>
              <w:pStyle w:val="Compact"/>
            </w:pPr>
            <w:r>
              <w:t xml:space="preserve">m³</w:t>
            </w:r>
          </w:p>
        </w:tc>
      </w:tr>
      <w:tr>
        <w:tc>
          <w:tcPr/>
          <w:p>
            <w:pPr>
              <w:pStyle w:val="Compact"/>
            </w:pPr>
            <w:r>
              <w:t xml:space="preserve">Vessel count</w:t>
            </w:r>
          </w:p>
        </w:tc>
        <w:tc>
          <w:tcPr/>
          <w:p>
            <w:pPr>
              <w:pStyle w:val="Compact"/>
              <w:jc w:val="right"/>
            </w:pPr>
            <w:r>
              <w:t xml:space="preserve">3</w:t>
            </w:r>
          </w:p>
        </w:tc>
        <w:tc>
          <w:tcPr/>
          <w:p>
            <w:pPr>
              <w:pStyle w:val="Compact"/>
            </w:pPr>
            <w:r>
              <w:t xml:space="preserve">lead + lag + standby</w:t>
            </w:r>
          </w:p>
        </w:tc>
      </w:tr>
      <w:tr>
        <w:tc>
          <w:tcPr/>
          <w:p>
            <w:pPr>
              <w:pStyle w:val="Compact"/>
            </w:pPr>
            <w:r>
              <w:t xml:space="preserve">Service velocity (avg)</w:t>
            </w:r>
          </w:p>
        </w:tc>
        <w:tc>
          <w:tcPr/>
          <w:p>
            <w:pPr>
              <w:pStyle w:val="Compact"/>
              <w:jc w:val="right"/>
            </w:pPr>
            <w:r>
              <w:t xml:space="preserve">1.56</w:t>
            </w:r>
          </w:p>
        </w:tc>
        <w:tc>
          <w:tcPr/>
          <w:p>
            <w:pPr>
              <w:pStyle w:val="Compact"/>
            </w:pPr>
            <w:r>
              <w:t xml:space="preserve">BV/h</w:t>
            </w:r>
          </w:p>
        </w:tc>
      </w:tr>
      <w:tr>
        <w:tc>
          <w:tcPr/>
          <w:p>
            <w:pPr>
              <w:pStyle w:val="Compact"/>
            </w:pPr>
            <w:r>
              <w:t xml:space="preserve">Service velocity (peak)</w:t>
            </w:r>
          </w:p>
        </w:tc>
        <w:tc>
          <w:tcPr/>
          <w:p>
            <w:pPr>
              <w:pStyle w:val="Compact"/>
              <w:jc w:val="right"/>
            </w:pPr>
            <w:r>
              <w:t xml:space="preserve">2.34</w:t>
            </w:r>
          </w:p>
        </w:tc>
        <w:tc>
          <w:tcPr/>
          <w:p>
            <w:pPr>
              <w:pStyle w:val="Compact"/>
            </w:pPr>
            <w:r>
              <w:t xml:space="preserve">BV/h</w:t>
            </w:r>
          </w:p>
        </w:tc>
      </w:tr>
      <w:tr>
        <w:tc>
          <w:tcPr/>
          <w:p>
            <w:pPr>
              <w:pStyle w:val="Compact"/>
            </w:pPr>
            <w:r>
              <w:t xml:space="preserve">EBCT (avg)</w:t>
            </w:r>
          </w:p>
        </w:tc>
        <w:tc>
          <w:tcPr/>
          <w:p>
            <w:pPr>
              <w:pStyle w:val="Compact"/>
              <w:jc w:val="right"/>
            </w:pPr>
            <w:r>
              <w:t xml:space="preserve">38.5</w:t>
            </w:r>
          </w:p>
        </w:tc>
        <w:tc>
          <w:tcPr/>
          <w:p>
            <w:pPr>
              <w:pStyle w:val="Compact"/>
            </w:pPr>
            <w:r>
              <w:t xml:space="preserve">min</w:t>
            </w:r>
          </w:p>
        </w:tc>
      </w:tr>
      <w:tr>
        <w:tc>
          <w:tcPr/>
          <w:p>
            <w:pPr>
              <w:pStyle w:val="Compact"/>
            </w:pPr>
            <w:r>
              <w:t xml:space="preserve">EBCT (peak)</w:t>
            </w:r>
          </w:p>
        </w:tc>
        <w:tc>
          <w:tcPr/>
          <w:p>
            <w:pPr>
              <w:pStyle w:val="Compact"/>
              <w:jc w:val="right"/>
            </w:pPr>
            <w:r>
              <w:t xml:space="preserve">25.6</w:t>
            </w:r>
          </w:p>
        </w:tc>
        <w:tc>
          <w:tcPr/>
          <w:p>
            <w:pPr>
              <w:pStyle w:val="Compact"/>
            </w:pPr>
            <w:r>
              <w:t xml:space="preserve">min</w:t>
            </w:r>
          </w:p>
        </w:tc>
      </w:tr>
      <w:tr>
        <w:tc>
          <w:tcPr/>
          <w:p>
            <w:pPr>
              <w:pStyle w:val="Compact"/>
            </w:pPr>
            <w:r>
              <w:t xml:space="preserve">Bed depth selected</w:t>
            </w:r>
          </w:p>
        </w:tc>
        <w:tc>
          <w:tcPr/>
          <w:p>
            <w:pPr>
              <w:pStyle w:val="Compact"/>
              <w:jc w:val="right"/>
            </w:pPr>
            <w:r>
              <w:t xml:space="preserve">2.5</w:t>
            </w:r>
          </w:p>
        </w:tc>
        <w:tc>
          <w:tcPr/>
          <w:p>
            <w:pPr>
              <w:pStyle w:val="Compact"/>
            </w:pPr>
            <w:r>
              <w:t xml:space="preserve">m</w:t>
            </w:r>
          </w:p>
        </w:tc>
      </w:tr>
      <w:tr>
        <w:tc>
          <w:tcPr/>
          <w:p>
            <w:pPr>
              <w:pStyle w:val="Compact"/>
            </w:pPr>
            <w:r>
              <w:t xml:space="preserve">Column ID (calculated)</w:t>
            </w:r>
          </w:p>
        </w:tc>
        <w:tc>
          <w:tcPr/>
          <w:p>
            <w:pPr>
              <w:pStyle w:val="Compact"/>
              <w:jc w:val="right"/>
            </w:pPr>
            <w:r>
              <w:t xml:space="preserve">0.90</w:t>
            </w:r>
          </w:p>
        </w:tc>
        <w:tc>
          <w:tcPr/>
          <w:p>
            <w:pPr>
              <w:pStyle w:val="Compact"/>
            </w:pPr>
            <w:r>
              <w:t xml:space="preserve">m</w:t>
            </w:r>
          </w:p>
        </w:tc>
      </w:tr>
      <w:tr>
        <w:tc>
          <w:tcPr/>
          <w:p>
            <w:pPr>
              <w:pStyle w:val="Compact"/>
            </w:pPr>
            <w:r>
              <w:t xml:space="preserve">Nominal service cycle</w:t>
            </w:r>
          </w:p>
        </w:tc>
        <w:tc>
          <w:tcPr/>
          <w:p>
            <w:pPr>
              <w:pStyle w:val="Compact"/>
              <w:jc w:val="right"/>
            </w:pPr>
            <w:r>
              <w:t xml:space="preserve">6.8</w:t>
            </w:r>
          </w:p>
        </w:tc>
        <w:tc>
          <w:tcPr/>
          <w:p>
            <w:pPr>
              <w:pStyle w:val="Compact"/>
            </w:pPr>
            <w:r>
              <w:t xml:space="preserve">days (capacity basis)</w:t>
            </w:r>
          </w:p>
        </w:tc>
      </w:tr>
      <w:tr>
        <w:tc>
          <w:tcPr/>
          <w:p>
            <w:pPr>
              <w:pStyle w:val="Compact"/>
            </w:pPr>
            <w:r>
              <w:t xml:space="preserve">Regenerant</w:t>
            </w:r>
          </w:p>
        </w:tc>
        <w:tc>
          <w:tcPr/>
          <w:p>
            <w:pPr>
              <w:pStyle w:val="Compact"/>
              <w:jc w:val="right"/>
            </w:pPr>
            <w:r>
              <w:t xml:space="preserve">HCl (1–2 M typical; ~5 wt% common)</w:t>
            </w:r>
          </w:p>
        </w:tc>
        <w:tc>
          <w:tcPr/>
          <w:p>
            <w:pPr>
              <w:pStyle w:val="Compact"/>
            </w:pPr>
            <w:r>
              <w:t xml:space="preserve">—</w:t>
            </w:r>
          </w:p>
        </w:tc>
      </w:tr>
      <w:tr>
        <w:tc>
          <w:tcPr/>
          <w:p>
            <w:pPr>
              <w:pStyle w:val="Compact"/>
            </w:pPr>
            <w:r>
              <w:t xml:space="preserve">Minimum regenerant volume</w:t>
            </w:r>
          </w:p>
        </w:tc>
        <w:tc>
          <w:tcPr/>
          <w:p>
            <w:pPr>
              <w:pStyle w:val="Compact"/>
              <w:jc w:val="right"/>
            </w:pPr>
            <w:r>
              <w:t xml:space="preserve">≥1</w:t>
            </w:r>
          </w:p>
        </w:tc>
        <w:tc>
          <w:tcPr/>
          <w:p>
            <w:pPr>
              <w:pStyle w:val="Compact"/>
            </w:pPr>
            <w:r>
              <w:t xml:space="preserve">BV</w:t>
            </w:r>
          </w:p>
        </w:tc>
      </w:tr>
      <w:tr>
        <w:tc>
          <w:tcPr/>
          <w:p>
            <w:pPr>
              <w:pStyle w:val="Compact"/>
            </w:pPr>
            <w:r>
              <w:t xml:space="preserve">Displacement rinse</w:t>
            </w:r>
          </w:p>
        </w:tc>
        <w:tc>
          <w:tcPr/>
          <w:p>
            <w:pPr>
              <w:pStyle w:val="Compact"/>
              <w:jc w:val="right"/>
            </w:pPr>
            <w:r>
              <w:t xml:space="preserve">~3</w:t>
            </w:r>
          </w:p>
        </w:tc>
        <w:tc>
          <w:tcPr/>
          <w:p>
            <w:pPr>
              <w:pStyle w:val="Compact"/>
            </w:pPr>
            <w:r>
              <w:t xml:space="preserve">BV (typical anion bed guidance)</w:t>
            </w:r>
          </w:p>
        </w:tc>
      </w:tr>
      <w:tr>
        <w:tc>
          <w:tcPr/>
          <w:p>
            <w:pPr>
              <w:pStyle w:val="Compact"/>
            </w:pPr>
            <w:r>
              <w:t xml:space="preserve">Final rinse</w:t>
            </w:r>
          </w:p>
        </w:tc>
        <w:tc>
          <w:tcPr/>
          <w:p>
            <w:pPr>
              <w:pStyle w:val="Compact"/>
              <w:jc w:val="right"/>
            </w:pPr>
            <w:r>
              <w:t xml:space="preserve">3–8</w:t>
            </w:r>
          </w:p>
        </w:tc>
        <w:tc>
          <w:tcPr/>
          <w:p>
            <w:pPr>
              <w:pStyle w:val="Compact"/>
            </w:pPr>
            <w:r>
              <w:t xml:space="preserve">BV (anion bed guidance)</w:t>
            </w:r>
          </w:p>
        </w:tc>
      </w:tr>
    </w:tbl>
    <w:bookmarkEnd w:id="41"/>
    <w:bookmarkStart w:id="42" w:name="methods"/>
    <w:p>
      <w:pPr>
        <w:pStyle w:val="Heading2"/>
      </w:pPr>
      <w:r>
        <w:t xml:space="preserve">Methods</w:t>
      </w:r>
    </w:p>
    <w:p>
      <w:pPr>
        <w:pStyle w:val="FirstParagraph"/>
      </w:pPr>
      <w:r>
        <w:t xml:space="preserve">The sizing method used here is a conservative, design-for-operations approach that combines resin capacity normalization to bed volume with fixed-bed operational concepts (breakthrough, lead–lag staging, and BV/h hydraulics). Breakthrough behavior is known to be affected by throughput time, inlet concentration, and flow rate in fixed beds, and is commonly modeled with Thomas/Yoon–Nelson/Adams–Bohart type approaches in the boron literature; these models underpin the need for pilot testing to confirm the capacity utilization factor used in full-scale design.</w:t>
      </w:r>
    </w:p>
    <w:bookmarkEnd w:id="42"/>
    <w:bookmarkStart w:id="43" w:name="gaps-and-recommendations"/>
    <w:p>
      <w:pPr>
        <w:pStyle w:val="Heading2"/>
      </w:pPr>
      <w:r>
        <w:t xml:space="preserve">Gaps and recommendations</w:t>
      </w:r>
    </w:p>
    <w:p>
      <w:pPr>
        <w:pStyle w:val="FirstParagraph"/>
      </w:pPr>
      <w:r>
        <w:t xml:space="preserve">The most critical engineering gap for a final equipment specification is the lack of site-specific breakthrough curves (treated BV at a defined leakage criterion) for the actual WWTP effluent matrix; competing ions can materially reduce effective capacity (e.g., silicon competition decreasing boron adsorption capacity), and capacity can change across regeneration cycles. The recommended next step is therefore a vendor-supported pilot column test program using the actual post-WWTP effluent and the intended resin grade, run in lead–lag mode with breakthrough monitoring (conductivity monitoring is cited as a viable rapid indicator of breakthrough in ion exchange contexts), and with regeneration performed under the intended acid recipe to generate an actual eluate profile and brine volume for downstream brine management design.</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2026-02-12T17:09:04Z</dcterms:created>
  <dcterms:modified xsi:type="dcterms:W3CDTF">2026-02-12T17:09:04Z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