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398eee07b1d39b2603fbdb22a130f6049a4732"/>
    <w:p>
      <w:pPr>
        <w:pStyle w:val="Heading1"/>
      </w:pPr>
      <w:r>
        <w:t xml:space="preserve">BSR Regenerant Brine Management Strategy for a 1,000 tpy NdFeB Magnet Facility</w:t>
      </w:r>
    </w:p>
    <w:bookmarkStart w:id="20" w:name="summary"/>
    <w:p>
      <w:pPr>
        <w:pStyle w:val="Heading2"/>
      </w:pPr>
      <w:r>
        <w:t xml:space="preserve">Summary</w:t>
      </w:r>
    </w:p>
    <w:p>
      <w:pPr>
        <w:pStyle w:val="FirstParagraph"/>
      </w:pPr>
      <w:r>
        <w:t xml:space="preserve">A boron-selective resin (BSR) polishing step is typically configured as a lead–lag (primary + polisher) system, with an optional third standby vessel for continuous operation, and is regenerated by acid elution per vendor practice. The regeneration step produces an acidic regenerant/eluate plus rinse waters that contain the removed boron at concentrations that can reach the g/L range when 1 M HCl is used for elution, as shown by column operation data on N-methylglucamine sorbents (e.g., Purolite S108, Diaion CRB03, CRB05). In the available column data set, boron in eluate reached approximately 0.9 g/L (S108), 1.2 g/L (CRB03), and 2.1 g/L (CRB05) under 1 M HCl elution, and in another test set reached 1.5 g/L (S108), 2.2 g/L (CRB03), and 1.7 g/L (CRB05).</w:t>
      </w:r>
    </w:p>
    <w:p>
      <w:pPr>
        <w:pStyle w:val="BodyText"/>
      </w:pPr>
      <w:r>
        <w:t xml:space="preserve">For a plant-level design, the brine management decision is driven primarily by (i) the total regenerant + rinse volume per regeneration event (in bed volumes, BV), (ii) the extent to which boron is concentrated into an early “high-B cut” of the acid elution, and (iii) the facility’s discharge limit for boron, because conventional neutralization/precipitation is not inherently a boron destruction/removal mechanism and thus blending often simply shifts boron back into the main effluent stream. Three practical pathways are evaluated here: (A) boric acid recovery (concentrate + crystallize), (B) off-site disposal as acidic liquid waste, and (C) neutralization and controlled co-treatment/blending into the WWTP hydraulic stream (feasible only if mass loading remains below the site’s boron discharge limit).</w:t>
      </w:r>
    </w:p>
    <w:bookmarkEnd w:id="20"/>
    <w:bookmarkStart w:id="23" w:name="brine-characterization"/>
    <w:p>
      <w:pPr>
        <w:pStyle w:val="Heading2"/>
      </w:pPr>
      <w:r>
        <w:t xml:space="preserve">Brine characterization</w:t>
      </w:r>
    </w:p>
    <w:bookmarkStart w:id="21" w:name="composition"/>
    <w:p>
      <w:pPr>
        <w:pStyle w:val="Heading3"/>
      </w:pPr>
      <w:r>
        <w:t xml:space="preserve">Composition</w:t>
      </w:r>
    </w:p>
    <w:p>
      <w:pPr>
        <w:pStyle w:val="FirstParagraph"/>
      </w:pPr>
      <w:r>
        <w:t xml:space="preserve">In the sources available for this task, a common and well-documented regeneration/elution condition for boron-chelating systems is hydrochloric acid at 1 M for elution/desorption of boron from N-methylglucamine sorbents, which necessarily produces an acidic eluate stream (i.e., the “brine” for management). Eluate boron concentrations in the cited column operation data reached roughly 0.9–2.2 g/L depending on sorbent type and operating condition, giving an engineering-relevant concentration range for brine handling and potential recovery operations. Where sulfuric acid is used as an alternative regenerant/eluent, the literature includes 0.5 M H\₂SO\₄ elution for Amberlite IRA-743 in a column context and 5% H\₂SO\₄ quantitative elution in an industrial wastewater ion-exchange context, both of which similarly imply an acidic brine stream (sulfate-bearing rather than chloride-bearing).</w:t>
      </w:r>
    </w:p>
    <w:p>
      <w:pPr>
        <w:pStyle w:val="BodyText"/>
      </w:pPr>
      <w:r>
        <w:t xml:space="preserve">Trace metals in the brine depend on the upstream WWTP performance and on whether the resin sorbs/strips other trace elements; in a desalination-brine boron recovery context, trace elements sorbed by resin during boron recovery were reported as “below 0.1 ppm” after column elution compared to boron at “1000 ppm”, indicating that boron can dominate the eluate composition in some applications. For magnet-factory wastewater, the brine may also contain salts generated in upstream neutralization and polishing steps, but quantitative TDS ranges and trace-metal concentrations for NdFeB-factory BSR brines were not found in the provided sources and therefore must be confirmed by site sampling (ICP-OES/ICP-MS + ion chromatography) before final design.</w:t>
      </w:r>
    </w:p>
    <w:bookmarkEnd w:id="21"/>
    <w:bookmarkStart w:id="22" w:name="volume"/>
    <w:p>
      <w:pPr>
        <w:pStyle w:val="Heading3"/>
      </w:pPr>
      <w:r>
        <w:t xml:space="preserve">Volume</w:t>
      </w:r>
    </w:p>
    <w:p>
      <w:pPr>
        <w:pStyle w:val="FirstParagraph"/>
      </w:pPr>
      <w:r>
        <w:t xml:space="preserve">Ion-exchange operating guidance defines 1 bed volume (BV) as 1 m\³ water per m\³ resin (or 7.5 gallons per ft\³ resin), which is the correct normalization for estimating regenerant and rinse volumes independent of plant scale. For efficient hydraulic distribution, DuPont operating guidance recommends a regenerant solution volume of one bed volume or more, and also recommends that regenerant flowrate not be too low (≥2 BV/h), implying that regenerant volume is a first-order determinant of brine volume per cycle. The same guidance gives displacement rinse volumes of 2 BV (cation) or 3 BV (anion) and final rinse volumes of 2–4 BV (cation) or 3–8 BV (anion), with rinse flowrate either the same as service flowrate or 10–30 BV/h, which sets the magnitude of rinse-water contributions to “brine” volume if rinses are sent to the brine tank rather than recycled or returned to the equalization tank.</w:t>
      </w:r>
    </w:p>
    <w:p>
      <w:pPr>
        <w:pStyle w:val="BodyText"/>
      </w:pPr>
      <w:r>
        <w:t xml:space="preserve">If the BSR system is treated as an “anion-style” regeneration sequence for volume planning purposes (acid elution followed by rinses), then a practical per-regeneration-event brine volume bound can be estimated from cited ranges as: regenerant ≥1 BV plus displacement rinse ≈3 BV plus final rinse ≈3–8 BV, giving approximately 7–12 BV total liquid generated per cycle per m\³ of resin inventory, before any optional intermediate steps (e.g., very dilute acid backflush). The Purolite BSR design guidance also describes an optional additional “very dilute acid step” consisting of 1/4 BV of 0.1% acid introduced as an upflow backflush to partially neutralize residual caustic and reduce extended rinsing for aging resins, which may add to the total brine/rinse volume if that step is not recycled within the process.</w:t>
      </w:r>
    </w:p>
    <w:bookmarkEnd w:id="22"/>
    <w:bookmarkEnd w:id="23"/>
    <w:bookmarkStart w:id="28" w:name="option-a"/>
    <w:p>
      <w:pPr>
        <w:pStyle w:val="Heading2"/>
      </w:pPr>
      <w:r>
        <w:t xml:space="preserve">Option A</w:t>
      </w:r>
    </w:p>
    <w:p>
      <w:pPr>
        <w:pStyle w:val="FirstParagraph"/>
      </w:pPr>
      <w:r>
        <w:t xml:space="preserve">Option A is to treat the BSR brine as a resource stream by maximizing boron concentration in a segregated “high-B” eluate cut and then applying concentration and crystallization to produce boric acid (H\₃BO\₃) or a borate product suitable for sale or internal reuse. The core enabling observation is that acid elution can create a boron concentration factor relative to the treated water, with one reported acidic elution (1 M HCl) achieving concentration factors of 11 for boron (and 35 for germanium) in a column setting, demonstrating that eluate concentration is a controllable design lever rather than a fixed property.</w:t>
      </w:r>
    </w:p>
    <w:bookmarkStart w:id="24" w:name="process-sequence"/>
    <w:p>
      <w:pPr>
        <w:pStyle w:val="Heading3"/>
      </w:pPr>
      <w:r>
        <w:t xml:space="preserve">Process sequence</w:t>
      </w:r>
    </w:p>
    <w:p>
      <w:pPr>
        <w:pStyle w:val="FirstParagraph"/>
      </w:pPr>
      <w:r>
        <w:t xml:space="preserve">A practical recovery-focused sequence begins with (1) brine collection and equalization (segregated from normal WWTP influent), followed by (2) fractionation of the elution profile to isolate the highest-boron fraction, since column data show a concentrated eluate boron level in the g/L range under 1 M HCl elution and the objective is to maximize that concentration into the minimum volume for downstream evaporative concentration. The brine can then be (3) conditioned for concentration (e.g., remove suspended solids via cartridge filtration if present, and, if necessary, neutralize partially to reduce corrosion risk), after which (4) evaporation concentrates boron to higher levels suitable for crystallization, and (5) cooling crystallization and solid–liquid separation produce a boric-acid crystal product; however, quantitative solubility curves, crystallization yields, and evaporator energy consumption were not present in the provided sources and thus must be sourced from boric-acid property data and vendor design packages during FEED.</w:t>
      </w:r>
    </w:p>
    <w:p>
      <w:pPr>
        <w:pStyle w:val="BodyText"/>
      </w:pPr>
      <w:r>
        <w:t xml:space="preserve">Where electrodialysis with bipolar membranes (EDBM/BMED) is available, the literature also supports integrating electro-driven concentration and reagent recovery steps in boron recovery schemes, including an EDBM case with Na and B removal of ~97% after 6 h at 9.5 V and current efficiency for H\₃BO\₃ production of ~80%, which may be relevant as a higher-technology alternative to pure thermal evaporation depending on brine flow and energy price.</w:t>
      </w:r>
    </w:p>
    <w:bookmarkEnd w:id="24"/>
    <w:bookmarkStart w:id="25" w:name="product-quality"/>
    <w:p>
      <w:pPr>
        <w:pStyle w:val="Heading3"/>
      </w:pPr>
      <w:r>
        <w:t xml:space="preserve">Product quality</w:t>
      </w:r>
    </w:p>
    <w:p>
      <w:pPr>
        <w:pStyle w:val="FirstParagraph"/>
      </w:pPr>
      <w:r>
        <w:t xml:space="preserve">If the recovery route is implemented via chromatographic separation for boric acid purification (rather than direct crystallization), boric acid purity “99.5–100%” (conforming to Merck KGaA standard grade) has been reported, indicating that high-purity product is achievable in at least some boron-industry wastewater contexts when using ion-exchange/chromatographic separation. A key risk for a magnet-factory brine is trace metal carryover into product, which must be quantified (Ni, Cu, Fe) and controlled using fractionation, polishing, or purge strategies; the available sources indicate that in some brine-valorization column systems, trace elements after elution were below 0.1 ppm while boron was at 1000 ppm, but analogous data for magnet wastewater brines are not available and require pilot testing on real brine to confirm achievable product specifications.</w:t>
      </w:r>
    </w:p>
    <w:bookmarkEnd w:id="25"/>
    <w:bookmarkStart w:id="26" w:name="sizing-basis-and-mass-balance"/>
    <w:p>
      <w:pPr>
        <w:pStyle w:val="Heading3"/>
      </w:pPr>
      <w:r>
        <w:t xml:space="preserve">Sizing basis and mass balance</w:t>
      </w:r>
    </w:p>
    <w:p>
      <w:pPr>
        <w:pStyle w:val="FirstParagraph"/>
      </w:pPr>
      <w:r>
        <w:t xml:space="preserve">The data set provides enough parameters to construct a conservative brine mass-balance framework per unit resin volume even without site-specific wastewater flow: (i) brine volume per regeneration event of ~7–12 BV per m\³ resin inventory, and (ii) eluate boron concentration in the range ~0.9–2.2 g/L for 1 M HCl elution in the cited column work. On that basis, the boron mass generated per regeneration event per m\³ resin is approximately 6.3–26.4 kg B per cycle (i.e., 7–12 m\³ × 0.9–2.2 kg/m\³), which is the loading that the recovery or disposal system must handle per cycle if all regenerant and rinse streams are routed to brine management rather than partially recycled to the equalization tank.</w:t>
      </w:r>
    </w:p>
    <w:bookmarkEnd w:id="26"/>
    <w:bookmarkStart w:id="27" w:name="economics"/>
    <w:p>
      <w:pPr>
        <w:pStyle w:val="Heading3"/>
      </w:pPr>
      <w:r>
        <w:t xml:space="preserve">Economics</w:t>
      </w:r>
    </w:p>
    <w:p>
      <w:pPr>
        <w:pStyle w:val="FirstParagraph"/>
      </w:pPr>
      <w:r>
        <w:t xml:space="preserve">No direct CAPEX/OPEX data for small-scale boric-acid recovery by evaporation/crystallization from BSR regenerant brine were present in the provided sources, so any economic conclusion at 1,000 tpy magnet scale is necessarily preliminary and should be replaced with a vendor-quoted estimate after brine sampling and a heat-and-material balance are completed. Where boron recovery is explicitly framed as economically meaningful, one cited study notes the feasibility of recovering boron at scale through brine management and product generation (e.g., via EDBM and integrated recovery schemes), but the quantitative cost basis is not supplied in the quotes provided here and must be obtained in a follow-on cost-estimating step.</w:t>
      </w:r>
    </w:p>
    <w:bookmarkEnd w:id="27"/>
    <w:bookmarkEnd w:id="28"/>
    <w:bookmarkStart w:id="29" w:name="option-b"/>
    <w:p>
      <w:pPr>
        <w:pStyle w:val="Heading2"/>
      </w:pPr>
      <w:r>
        <w:t xml:space="preserve">Option B</w:t>
      </w:r>
    </w:p>
    <w:p>
      <w:pPr>
        <w:pStyle w:val="FirstParagraph"/>
      </w:pPr>
      <w:r>
        <w:t xml:space="preserve">Option B is to treat the BSR brine as a waste stream and ship it off-site for permitted disposal, which is often the fastest path to compliance when the brine volume is small or when the facility has limited space and utility capacity for an evaporator/crystallizer system. From a regulatory-control standpoint, the brine is clearly an “ion exchange regeneration” liquid containing the removed contaminant, and the literature supports using conductivity-based sensing to detect breakthrough and drive regeneration scheduling, which also enables prediction of brine generation frequency for logistics planning.</w:t>
      </w:r>
    </w:p>
    <w:p>
      <w:pPr>
        <w:pStyle w:val="BodyText"/>
      </w:pPr>
      <w:r>
        <w:t xml:space="preserve">Quantitative disposal cost ranges (e.g., $/m\³), RCRA waste codes, or detailed TSDF unit operations for boron-bearing acidic liquids were not contained in the provided sources, and therefore must be developed from jurisdiction-specific hazardous waste regulations, waste characterization (pH/corrosivity, metals), and hauler/TSDF quotes during project development rather than inferred from the present literature subset.</w:t>
      </w:r>
    </w:p>
    <w:bookmarkEnd w:id="29"/>
    <w:bookmarkStart w:id="31" w:name="option-c"/>
    <w:p>
      <w:pPr>
        <w:pStyle w:val="Heading2"/>
      </w:pPr>
      <w:r>
        <w:t xml:space="preserve">Option C</w:t>
      </w:r>
    </w:p>
    <w:p>
      <w:pPr>
        <w:pStyle w:val="FirstParagraph"/>
      </w:pPr>
      <w:r>
        <w:t xml:space="preserve">Option C is to neutralize the BSR brine (e.g., with NaOH or Ca(OH)\₂) and return it to the WWTP equalization tank for blending and re-treatment, relying on dilution rather than boron removal as the compliance mechanism. This option is only feasible if the mass of boron returned to the WWTP divided by the total treated effluent volume keeps the final discharge concentration below the permit limit, because the cited literature emphasizes that very low boron effluents (e.g., &lt;0.5 mg/L) are achievable with precipitation+adsorption combinations, implying adsorption (or a similarly selective step) is the true “boron removal” mechanism rather than conventional hydroxide precipitation alone.</w:t>
      </w:r>
    </w:p>
    <w:bookmarkStart w:id="30" w:name="feasibility-check"/>
    <w:p>
      <w:pPr>
        <w:pStyle w:val="Heading3"/>
      </w:pPr>
      <w:r>
        <w:t xml:space="preserve">Feasibility check</w:t>
      </w:r>
    </w:p>
    <w:p>
      <w:pPr>
        <w:pStyle w:val="FirstParagraph"/>
      </w:pPr>
      <w:r>
        <w:t xml:space="preserve">A defensible feasibility check can be done on a boron mass-balance basis per m\³ resin without assuming a specific facility flow: the boron mass returned per regeneration event is approximately (brine volume per cycle) × (average brine boron concentration), where the brine volume per cycle is ~7–12 m\³ per m\³ resin and a representative boron concentration can be taken from the cited eluate range of ~0.9–2.2 g/L under 1 M HCl elution. The incremental boron concentration added to the WWTP effluent by blending is then ΔC_B = m_B / V_effluent, where V_effluent is the total effluent volume over the blending period, and if ΔC_B alone approaches the discharge limit then Option C is not viable and simply recycles the boron problem back to the BSR inlet. The need for this calculation is reinforced by the observation that boron speciation changes with pH (pK_a ≈ 9.23), which affects capture on boron-selective media but does not create a precipitation sink by itself, so neutralizing the brine does not eliminate boron mass and typically only changes its speciation and distribution between B(OH)\₃ and B(OH)\₄⁻.</w:t>
      </w:r>
    </w:p>
    <w:bookmarkEnd w:id="30"/>
    <w:bookmarkEnd w:id="31"/>
    <w:bookmarkStart w:id="32" w:name="comparative-analysis"/>
    <w:p>
      <w:pPr>
        <w:pStyle w:val="Heading2"/>
      </w:pPr>
      <w:r>
        <w:t xml:space="preserve">Comparative analysis</w:t>
      </w:r>
    </w:p>
    <w:p>
      <w:pPr>
        <w:pStyle w:val="FirstParagraph"/>
      </w:pPr>
      <w:r>
        <w:t xml:space="preserve">The comparison below summarizes the three options using only attributes supported by the provided sources and flags where quantitative cost data are missing.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Option A Recovery</w:t>
            </w:r>
          </w:p>
        </w:tc>
        <w:tc>
          <w:tcPr/>
          <w:p>
            <w:pPr>
              <w:pStyle w:val="Compact"/>
            </w:pPr>
            <w:r>
              <w:t xml:space="preserve">Option B Disposal</w:t>
            </w:r>
          </w:p>
        </w:tc>
        <w:tc>
          <w:tcPr/>
          <w:p>
            <w:pPr>
              <w:pStyle w:val="Compact"/>
            </w:pPr>
            <w:r>
              <w:t xml:space="preserve">Option C Co-treatment</w:t>
            </w:r>
          </w:p>
        </w:tc>
      </w:tr>
      <w:tr>
        <w:tc>
          <w:tcPr/>
          <w:p>
            <w:pPr>
              <w:pStyle w:val="Compact"/>
            </w:pPr>
            <w:r>
              <w:t xml:space="preserve">Core mechanism</w:t>
            </w:r>
          </w:p>
        </w:tc>
        <w:tc>
          <w:tcPr/>
          <w:p>
            <w:pPr>
              <w:pStyle w:val="Compact"/>
            </w:pPr>
            <w:r>
              <w:t xml:space="preserve">Concentrate boron via acid elution (CF reported ~11) then recover as product (route-specific)</w:t>
            </w:r>
          </w:p>
        </w:tc>
        <w:tc>
          <w:tcPr/>
          <w:p>
            <w:pPr>
              <w:pStyle w:val="Compact"/>
            </w:pPr>
            <w:r>
              <w:t xml:space="preserve">Ship acidic regenerant + rinses off-site; regeneration volume typically ≥1 BV plus rinses</w:t>
            </w:r>
          </w:p>
        </w:tc>
        <w:tc>
          <w:tcPr/>
          <w:p>
            <w:pPr>
              <w:pStyle w:val="Compact"/>
            </w:pPr>
            <w:r>
              <w:t xml:space="preserve">Neutralize and dilute back into WWTP; boron mass conserved so feasibility depends on mass balance vs discharge limit</w:t>
            </w:r>
          </w:p>
        </w:tc>
      </w:tr>
      <w:tr>
        <w:tc>
          <w:tcPr/>
          <w:p>
            <w:pPr>
              <w:pStyle w:val="Compact"/>
            </w:pPr>
            <w:r>
              <w:t xml:space="preserve">Brine B level supported by data</w:t>
            </w:r>
          </w:p>
        </w:tc>
        <w:tc>
          <w:tcPr/>
          <w:p>
            <w:pPr>
              <w:pStyle w:val="Compact"/>
            </w:pPr>
            <w:r>
              <w:t xml:space="preserve">0.9–2.2 g/L B reported in 1 M HCl eluate for NMG sorbents</w:t>
            </w:r>
          </w:p>
        </w:tc>
        <w:tc>
          <w:tcPr/>
          <w:p>
            <w:pPr>
              <w:pStyle w:val="Compact"/>
            </w:pPr>
            <w:r>
              <w:t xml:space="preserve">Same as generated by regeneration/elution chemistry and fractionation choices</w:t>
            </w:r>
          </w:p>
        </w:tc>
        <w:tc>
          <w:tcPr/>
          <w:p>
            <w:pPr>
              <w:pStyle w:val="Compact"/>
            </w:pPr>
            <w:r>
              <w:t xml:space="preserve">Same as generated; returned to equalization tank after neutralization</w:t>
            </w:r>
          </w:p>
        </w:tc>
      </w:tr>
      <w:tr>
        <w:tc>
          <w:tcPr/>
          <w:p>
            <w:pPr>
              <w:pStyle w:val="Compact"/>
            </w:pPr>
            <w:r>
              <w:t xml:space="preserve">Brine volume supported by data</w:t>
            </w:r>
          </w:p>
        </w:tc>
        <w:tc>
          <w:tcPr/>
          <w:p>
            <w:pPr>
              <w:pStyle w:val="Compact"/>
            </w:pPr>
            <w:r>
              <w:t xml:space="preserve">~7–12 BV per cycle per m\³ resin (regenerant ≥1 BV + 3 BV displacement + 3–8 BV final rinse)</w:t>
            </w:r>
          </w:p>
        </w:tc>
        <w:tc>
          <w:tcPr/>
          <w:p>
            <w:pPr>
              <w:pStyle w:val="Compact"/>
            </w:pPr>
            <w:r>
              <w:t xml:space="preserve">Same volume basis; depends on whether rinse streams are segregated or recycled</w:t>
            </w:r>
          </w:p>
        </w:tc>
        <w:tc>
          <w:tcPr/>
          <w:p>
            <w:pPr>
              <w:pStyle w:val="Compact"/>
            </w:pPr>
            <w:r>
              <w:t xml:space="preserve">Same volume basis; depends on equalization tank capacity and WWTP hydraulic load</w:t>
            </w:r>
          </w:p>
        </w:tc>
      </w:tr>
      <w:tr>
        <w:tc>
          <w:tcPr/>
          <w:p>
            <w:pPr>
              <w:pStyle w:val="Compact"/>
            </w:pPr>
            <w:r>
              <w:t xml:space="preserve">Technical risk</w:t>
            </w:r>
          </w:p>
        </w:tc>
        <w:tc>
          <w:tcPr/>
          <w:p>
            <w:pPr>
              <w:pStyle w:val="Compact"/>
            </w:pPr>
            <w:r>
              <w:t xml:space="preserve">Medium due to need for solubility/energy design data not present here; may integrate EDBM (97% Na and B removal after 6 h at 9.5 V; ~80% current efficiency for H\₃BO\₃)</w:t>
            </w:r>
          </w:p>
        </w:tc>
        <w:tc>
          <w:tcPr/>
          <w:p>
            <w:pPr>
              <w:pStyle w:val="Compact"/>
            </w:pPr>
            <w:r>
              <w:t xml:space="preserve">Low technical risk at plant; higher ongoing logistics dependency; costs not in provided sources</w:t>
            </w:r>
          </w:p>
        </w:tc>
        <w:tc>
          <w:tcPr/>
          <w:p>
            <w:pPr>
              <w:pStyle w:val="Compact"/>
            </w:pPr>
            <w:r>
              <w:t xml:space="preserve">High compliance risk if blended boron exceeds permit limit; must be validated by mass-balance and monitoring of breakthrough/leakage</w:t>
            </w:r>
          </w:p>
        </w:tc>
      </w:tr>
      <w:tr>
        <w:tc>
          <w:tcPr/>
          <w:p>
            <w:pPr>
              <w:pStyle w:val="Compact"/>
            </w:pPr>
            <w:r>
              <w:t xml:space="preserve">Sustainability</w:t>
            </w:r>
          </w:p>
        </w:tc>
        <w:tc>
          <w:tcPr/>
          <w:p>
            <w:pPr>
              <w:pStyle w:val="Compact"/>
            </w:pPr>
            <w:r>
              <w:t xml:space="preserve">Highest if product recovery is feasible; high-purity boric acid 99.5–100% has been demonstrated in boric-acid recovery contexts</w:t>
            </w:r>
          </w:p>
        </w:tc>
        <w:tc>
          <w:tcPr/>
          <w:p>
            <w:pPr>
              <w:pStyle w:val="Compact"/>
            </w:pPr>
            <w:r>
              <w:t xml:space="preserve">Lowest because it externalizes the waste burden; quantitative metrics not provided</w:t>
            </w:r>
          </w:p>
        </w:tc>
        <w:tc>
          <w:tcPr/>
          <w:p>
            <w:pPr>
              <w:pStyle w:val="Compact"/>
            </w:pPr>
            <w:r>
              <w:t xml:space="preserve">Moderate; reduces off-site disposal but may be infeasible if discharge limit is stringent</w:t>
            </w:r>
          </w:p>
        </w:tc>
      </w:tr>
      <w:tr>
        <w:tc>
          <w:tcPr/>
          <w:p>
            <w:pPr>
              <w:pStyle w:val="Compact"/>
            </w:pPr>
            <w:r>
              <w:t xml:space="preserve">CAPEX and OPEX evidence in provided sources</w:t>
            </w:r>
          </w:p>
        </w:tc>
        <w:tc>
          <w:tcPr/>
          <w:p>
            <w:pPr>
              <w:pStyle w:val="Compact"/>
            </w:pPr>
            <w:r>
              <w:t xml:space="preserve">Not quantified in provided sources; requires FEED-level design and vendor quotes</w:t>
            </w:r>
          </w:p>
        </w:tc>
        <w:tc>
          <w:tcPr/>
          <w:p>
            <w:pPr>
              <w:pStyle w:val="Compact"/>
            </w:pPr>
            <w:r>
              <w:t xml:space="preserve">Not quantified in provided sources; requires TSDF pricing and transport quotes</w:t>
            </w:r>
          </w:p>
        </w:tc>
        <w:tc>
          <w:tcPr/>
          <w:p>
            <w:pPr>
              <w:pStyle w:val="Compact"/>
            </w:pPr>
            <w:r>
              <w:t xml:space="preserve">Not quantified; depends on neutralization chemical use and WWTP flow; neutralization concentration guidance exists for IX systems but not specific to BSR brine costs</w:t>
            </w:r>
          </w:p>
        </w:tc>
      </w:tr>
    </w:tbl>
    <w:bookmarkEnd w:id="32"/>
    <w:bookmarkStart w:id="33" w:name="recommendation"/>
    <w:p>
      <w:pPr>
        <w:pStyle w:val="Heading2"/>
      </w:pPr>
      <w:r>
        <w:t xml:space="preserve">Recommendation</w:t>
      </w:r>
    </w:p>
    <w:p>
      <w:pPr>
        <w:pStyle w:val="FirstParagraph"/>
      </w:pPr>
      <w:r>
        <w:t xml:space="preserve">For a 1,000 tpy NdFeB facility, the available sources support treating the BSR regenerant as a g/L-boron acidic stream produced by 1 M HCl elution (or comparable acid strengths), but they do not provide enough cost and property data (e.g., boric acid solubility and crystallization energetics) to justify recovery economics without additional site-specific testing and vendor engagement. Accordingly, a conservative near-term recommendation is to implement Option B (off-site disposal) as the compliance baseline while running a brine segregation/fractionation pilot (early high-B cut vs rinse) to generate the data needed to evaluate Option A at a higher-confidence level, including achievable concentration factor, trace metal carryover, and potential product purity. Option C should be treated as a contingency only after a quantitative mass-balance check demonstrates that boron mass returned to the WWTP will not drive final effluent above the permit limit, because boron removal to sub-mg/L levels is explicitly demonstrated when adsorption is included (e.g., from 545 mg/L to &lt;0.5 mg/L via precipitation–adsorption combination), indicating that relying on dilution alone is generally a fragile compliance strategy.</w:t>
      </w:r>
    </w:p>
    <w:bookmarkEnd w:id="33"/>
    <w:bookmarkStart w:id="34" w:name="integration"/>
    <w:p>
      <w:pPr>
        <w:pStyle w:val="Heading2"/>
      </w:pPr>
      <w:r>
        <w:t xml:space="preserve">Integration</w:t>
      </w:r>
    </w:p>
    <w:p>
      <w:pPr>
        <w:pStyle w:val="FirstParagraph"/>
      </w:pPr>
      <w:r>
        <w:t xml:space="preserve">The brine management system must be physically integrated with the BSR skid through dedicated tankage, valves, and instrumentation that supports brine segregation and automated fractionation during regeneration, with operations governed by a predictable regeneration sequence and switching logic for lead–lag vessels. At minimum, integration should include a regenerant preparation tank, a brine collection/equalization tank sized on BV-based cycle volumes, and routing that allows (i) high-B eluate to be isolated for Option A/B and (ii) selected low-boron rinses to be recycled or returned to equalization when permitted by the WWTP mass balance and discharge limit. Breakthrough detection and regeneration timing can be supported by online conductivity monitoring, which has been proposed as a practical control parameter for detecting breakthrough in boron ion-exchange operations and thus can be used to stabilize brine generation frequency for logistics and downstream equipment scheduling.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2026-02-12T17:09:04Z</dcterms:created>
  <dcterms:modified xsi:type="dcterms:W3CDTF">2026-02-12T17:09:04Z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