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37a77e129ce8b632d4cc2425428970e81af8845"/>
    <w:p>
      <w:pPr>
        <w:pStyle w:val="Heading1"/>
      </w:pPr>
      <w:r>
        <w:t xml:space="preserve">Boron Polishing Technologies for NdFeB Magnet Manufacturing Wastewater to &lt;1 mg/L B</w:t>
      </w:r>
    </w:p>
    <w:bookmarkStart w:id="20" w:name="X102b2e9de4183984340b81b0bb402a984d3925a"/>
    <w:p>
      <w:pPr>
        <w:pStyle w:val="Heading2"/>
      </w:pPr>
      <w:r>
        <w:t xml:space="preserve">1. Executive summary</w:t>
      </w:r>
    </w:p>
    <w:p>
      <w:pPr>
        <w:pStyle w:val="FirstParagraph"/>
      </w:pPr>
      <w:r>
        <w:t xml:space="preserve">Industrial boron control to sub‑mg/L levels is routinely framed around a &lt;1.0 mg/L discharge/quality target, with some standards cited at 0.5–1.0 mg/L depending on jurisdiction and end use. Multiple technology families have demonstrated the ability to reach &lt;1 mg/L boron in treated water under specific conditions, including boron‑selective sorbents/resins (reported as capable of &gt;99% removal), multi‑pass reverse osmosis with alkalinity management (reported 99% rejection at pH 10), and hybrid adsorption–membrane or resin–membrane trains (reported permeate 0.43 mg/L and/or 96–99% removal).</w:t>
      </w:r>
    </w:p>
    <w:p>
      <w:pPr>
        <w:pStyle w:val="BodyText"/>
      </w:pPr>
      <w:r>
        <w:t xml:space="preserve">The primary engineering implication for a magnet plant WWTP is that conventional clarification/metal hydroxide precipitation alone is typically insufficient for deep boron removal under neutral conditions; performance for RO is explicitly described as ~50% when non‑ionized boric acid dominates, whereas alkaline conditions and/or complexation can drive rejection toward ~99% in referenced systems. As a result, a two-tier design is common in practice: (1) upstream solids/oil/metals control to protect polishing unit operations, followed by (2) a dedicated boron polishing block using either boron‑selective media (ion exchange / chelating sorbents), high‑pH (often 2‑pass) RO/NF, or electro‑driven membrane processes (EDI/BMED) depending on water reuse vs. discharge objectives and brine disposal constraints.</w:t>
      </w:r>
    </w:p>
    <w:bookmarkEnd w:id="20"/>
    <w:bookmarkStart w:id="21" w:name="X6b24f16c87abd1f77e4195f6f79939506a97927"/>
    <w:p>
      <w:pPr>
        <w:pStyle w:val="Heading2"/>
      </w:pPr>
      <w:r>
        <w:t xml:space="preserve">2. Boron chemistry</w:t>
      </w:r>
    </w:p>
    <w:p>
      <w:pPr>
        <w:pStyle w:val="FirstParagraph"/>
      </w:pPr>
      <w:r>
        <w:t xml:space="preserve">Boron removal is strongly pH‑dependent in membrane systems because the neutral species dominates under neutral or acidic conditions, which is explicitly linked to poor RO performance (~50% removal) in the cited review. The same review reports that under controlled alkaline conditions (feed boron 50 mg/L, pH 10.0) and at a permeation flux of 50 L·m⁻²·h⁻¹, an SW‑30 RO membrane achieved ~99% boron rejection when operated in a boron–D‑mannitol complex system (alcohol/boron molar ratio = 2). pH‑driven speciation effects are also reported for forward osmosis (FO): increasing pH from 4 to 10 increased boron removal from 12%→90% (FTS H₂O membrane), 8%→84% (PSU), and 8%→76% (Aquaporin Inside).</w:t>
      </w:r>
    </w:p>
    <w:p>
      <w:pPr>
        <w:pStyle w:val="BodyText"/>
      </w:pPr>
      <w:r>
        <w:t xml:space="preserve">From an engineering perspective, this establishes two practical levers for deep boron treatment in industrial wastewater polishing: (a) shift boron into a more rejectable/adsorbable form via pH management and/or complexation, and (b) apply a unit operation with intrinsic selectivity for boron (e.g., N‑methylglucamine functional media or boron‑selective resin‑filled EDI).</w:t>
      </w:r>
    </w:p>
    <w:bookmarkEnd w:id="21"/>
    <w:bookmarkStart w:id="22" w:name="X34073b99d95b51faeda47a14a2635a5051e1334"/>
    <w:p>
      <w:pPr>
        <w:pStyle w:val="Heading2"/>
      </w:pPr>
      <w:r>
        <w:t xml:space="preserve">3. Technology comparison</w:t>
      </w:r>
    </w:p>
    <w:p>
      <w:pPr>
        <w:pStyle w:val="FirstParagraph"/>
      </w:pPr>
      <w:r>
        <w:t xml:space="preserve">The table below summarizes representative performance and key operating numbers extracted from the provided sources, emphasizing the ability to meet &lt;1 mg/L boron and the operating “knobs” most relevant to specifying a polishing system.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Technology</w:t>
            </w:r>
          </w:p>
        </w:tc>
        <w:tc>
          <w:tcPr/>
          <w:p>
            <w:pPr>
              <w:pStyle w:val="Compact"/>
            </w:pPr>
            <w:r>
              <w:t xml:space="preserve">Demonstrated performance</w:t>
            </w:r>
          </w:p>
        </w:tc>
        <w:tc>
          <w:tcPr/>
          <w:p>
            <w:pPr>
              <w:pStyle w:val="Compact"/>
            </w:pPr>
            <w:r>
              <w:t xml:space="preserve">Key operating conditions reported</w:t>
            </w:r>
          </w:p>
        </w:tc>
        <w:tc>
          <w:tcPr/>
          <w:p>
            <w:pPr>
              <w:pStyle w:val="Compact"/>
            </w:pPr>
            <w:r>
              <w:t xml:space="preserve">Engineering notes for &lt;1 mg/L B targets</w:t>
            </w:r>
          </w:p>
        </w:tc>
      </w:tr>
      <w:tr>
        <w:tc>
          <w:tcPr/>
          <w:p>
            <w:pPr>
              <w:pStyle w:val="Compact"/>
            </w:pPr>
            <w:r>
              <w:t xml:space="preserve">Boron‑selective resin and related sorbents</w:t>
            </w:r>
          </w:p>
        </w:tc>
        <w:tc>
          <w:tcPr/>
          <w:p>
            <w:pPr>
              <w:pStyle w:val="Compact"/>
            </w:pPr>
            <w:r>
              <w:t xml:space="preserve">Resin methods reported at 93–98% removal; BSR described as capable of &gt;99% removal</w:t>
            </w:r>
          </w:p>
        </w:tc>
        <w:tc>
          <w:tcPr/>
          <w:p>
            <w:pPr>
              <w:pStyle w:val="Compact"/>
            </w:pPr>
            <w:r>
              <w:t xml:space="preserve">Column operation examples include space velocity 4 h⁻¹ with elution by 2 M HCl</w:t>
            </w:r>
          </w:p>
        </w:tc>
        <w:tc>
          <w:tcPr/>
          <w:p>
            <w:pPr>
              <w:pStyle w:val="Compact"/>
            </w:pPr>
            <w:r>
              <w:t xml:space="preserve">Strong candidate for “final polishing” to sub‑mg/L when upstream metals/TSS are controlled; regenerant handling becomes the dominant waste stream consideration (acid/base and high‑B regenerant).</w:t>
            </w:r>
          </w:p>
        </w:tc>
      </w:tr>
      <w:tr>
        <w:tc>
          <w:tcPr/>
          <w:p>
            <w:pPr>
              <w:pStyle w:val="Compact"/>
            </w:pPr>
            <w:r>
              <w:t xml:space="preserve">High‑pH RO and multi‑pass RO</w:t>
            </w:r>
          </w:p>
        </w:tc>
        <w:tc>
          <w:tcPr/>
          <w:p>
            <w:pPr>
              <w:pStyle w:val="Compact"/>
            </w:pPr>
            <w:r>
              <w:t xml:space="preserve">RO at alkaline conditions can reach ~99% rejection at pH 10 in the cited complexation case (SW‑30, flux 50 L·m⁻²·h⁻¹, feed B = 50 mg/L)</w:t>
            </w:r>
          </w:p>
        </w:tc>
        <w:tc>
          <w:tcPr/>
          <w:p>
            <w:pPr>
              <w:pStyle w:val="Compact"/>
            </w:pPr>
            <w:r>
              <w:t xml:space="preserve">Neutral/acid conditions linked to ~50% removal due to non‑ionized boric acid dominance</w:t>
            </w:r>
          </w:p>
        </w:tc>
        <w:tc>
          <w:tcPr/>
          <w:p>
            <w:pPr>
              <w:pStyle w:val="Compact"/>
            </w:pPr>
            <w:r>
              <w:t xml:space="preserve">Effective when brine management is acceptable; pH/complexant dosing and downstream neutralization are key integration issues.</w:t>
            </w:r>
          </w:p>
        </w:tc>
      </w:tr>
      <w:tr>
        <w:tc>
          <w:tcPr/>
          <w:p>
            <w:pPr>
              <w:pStyle w:val="Compact"/>
            </w:pPr>
            <w:r>
              <w:t xml:space="preserve">Nanofiltration hybrids</w:t>
            </w:r>
          </w:p>
        </w:tc>
        <w:tc>
          <w:tcPr/>
          <w:p>
            <w:pPr>
              <w:pStyle w:val="Compact"/>
            </w:pPr>
            <w:r>
              <w:t xml:space="preserve">Double‑stage NF: second stage influent pH 10.5 reduced boron 3.87→0.84 mg/L; two‑stage NF with sorbitol complexation and pH 9.8 achieved final effluent &lt;0.1 mg/L (from influent 2.174 mg/L)</w:t>
            </w:r>
          </w:p>
        </w:tc>
        <w:tc>
          <w:tcPr/>
          <w:p>
            <w:pPr>
              <w:pStyle w:val="Compact"/>
            </w:pPr>
            <w:r>
              <w:t xml:space="preserve">pH elevation and complexation are explicit control parameters</w:t>
            </w:r>
          </w:p>
        </w:tc>
        <w:tc>
          <w:tcPr/>
          <w:p>
            <w:pPr>
              <w:pStyle w:val="Compact"/>
            </w:pPr>
            <w:r>
              <w:t xml:space="preserve">Potentially lower pressure than RO with strong polishing when staged and chemically conditioned; concentrate still requires disposition.</w:t>
            </w:r>
          </w:p>
        </w:tc>
      </w:tr>
      <w:tr>
        <w:tc>
          <w:tcPr/>
          <w:p>
            <w:pPr>
              <w:pStyle w:val="Compact"/>
            </w:pPr>
            <w:r>
              <w:t xml:space="preserve">Electrocoagulation</w:t>
            </w:r>
          </w:p>
        </w:tc>
        <w:tc>
          <w:tcPr/>
          <w:p>
            <w:pPr>
              <w:pStyle w:val="Compact"/>
            </w:pPr>
            <w:r>
              <w:t xml:space="preserve">Example optimum performance: 98% at pH 7, current density 12.5 mA·cm⁻², contact time 90 min</w:t>
            </w:r>
          </w:p>
        </w:tc>
        <w:tc>
          <w:tcPr/>
          <w:p>
            <w:pPr>
              <w:pStyle w:val="Compact"/>
            </w:pPr>
            <w:r>
              <w:t xml:space="preserve">Other EC configurations reported: EC‑Al 70% removal of 100 mg/L B at pH 8, 10 mm electrode distance, 60 min, 5.5 mA·cm⁻²; interelectrode distance 2→0.5 cm increased removal 73%→92% after 150 min</w:t>
            </w:r>
          </w:p>
        </w:tc>
        <w:tc>
          <w:tcPr/>
          <w:p>
            <w:pPr>
              <w:pStyle w:val="Compact"/>
            </w:pPr>
            <w:r>
              <w:t xml:space="preserve">Attractive as pretreatment to reduce boron load and co‑remove some metals/TSS; electrical cost sensitivity is reported (2.7× cost increase when CD increased 2.5→6.25 mA·cm⁻² in one case)</w:t>
            </w:r>
          </w:p>
        </w:tc>
      </w:tr>
      <w:tr>
        <w:tc>
          <w:tcPr/>
          <w:p>
            <w:pPr>
              <w:pStyle w:val="Compact"/>
            </w:pPr>
            <w:r>
              <w:t xml:space="preserve">Chemical precipitation and coagulation</w:t>
            </w:r>
          </w:p>
        </w:tc>
        <w:tc>
          <w:tcPr/>
          <w:p>
            <w:pPr>
              <w:pStyle w:val="Compact"/>
            </w:pPr>
            <w:r>
              <w:t xml:space="preserve">96% removal using Ca(OH)₂ within 25 min; 95% at pH 8.12 using Ca(OH)₂ plus Al₂(SO₄)₃·18H₂O</w:t>
            </w:r>
          </w:p>
        </w:tc>
        <w:tc>
          <w:tcPr/>
          <w:p>
            <w:pPr>
              <w:pStyle w:val="Compact"/>
            </w:pPr>
            <w:r>
              <w:t xml:space="preserve">High removals are reported under the cited conditions, but performance is chemistry‑specific (reagent selection and pH control are critical)</w:t>
            </w:r>
          </w:p>
        </w:tc>
        <w:tc>
          <w:tcPr/>
          <w:p>
            <w:pPr>
              <w:pStyle w:val="Compact"/>
            </w:pPr>
            <w:r>
              <w:t xml:space="preserve">Potentially high sludge generation and chemical consumption; best suited for high‑B, smaller‑volume streams or as a “bulk reduction” stage before polishing.</w:t>
            </w:r>
          </w:p>
        </w:tc>
      </w:tr>
      <w:tr>
        <w:tc>
          <w:tcPr/>
          <w:p>
            <w:pPr>
              <w:pStyle w:val="Compact"/>
            </w:pPr>
            <w:r>
              <w:t xml:space="preserve">Adsorption on Al(OH)₃ and other media</w:t>
            </w:r>
          </w:p>
        </w:tc>
        <w:tc>
          <w:tcPr/>
          <w:p>
            <w:pPr>
              <w:pStyle w:val="Compact"/>
            </w:pPr>
            <w:r>
              <w:t xml:space="preserve">Al(OH)₃ sorption reported 94.7 mg B/g at pH 9.0 (and 27.8 mg B/g at pH 10.5) in high‑B wastewater conditions (980 mg/L at pH 9.0; 635 mg/L at pH 10.5)</w:t>
            </w:r>
          </w:p>
        </w:tc>
        <w:tc>
          <w:tcPr/>
          <w:p>
            <w:pPr>
              <w:pStyle w:val="Compact"/>
            </w:pPr>
            <w:r>
              <w:t xml:space="preserve">Desorption feasible at pH&lt;5.0 enabling reuse; ~55% boron recovery reported; net profit estimated 2.85 $/m³ (case-specific)</w:t>
            </w:r>
          </w:p>
        </w:tc>
        <w:tc>
          <w:tcPr/>
          <w:p>
            <w:pPr>
              <w:pStyle w:val="Compact"/>
            </w:pPr>
            <w:r>
              <w:t xml:space="preserve">Best aligned with high‑boron side streams (e.g., segregated rinses) rather than low‑mg/L polishing; recovery economics depend on site-specific chemical costs and boron value.</w:t>
            </w:r>
          </w:p>
        </w:tc>
      </w:tr>
      <w:tr>
        <w:tc>
          <w:tcPr/>
          <w:p>
            <w:pPr>
              <w:pStyle w:val="Compact"/>
            </w:pPr>
            <w:r>
              <w:t xml:space="preserve">Hybrid adsorption–membrane</w:t>
            </w:r>
          </w:p>
        </w:tc>
        <w:tc>
          <w:tcPr/>
          <w:p>
            <w:pPr>
              <w:pStyle w:val="Compact"/>
            </w:pPr>
            <w:r>
              <w:t xml:space="preserve">Adsorption (nano‑magnetite) achieved 74.39% removal leaving 2.2 mg/L; subsequent membrane polishing achieved 0.43 mg/L</w:t>
            </w:r>
          </w:p>
        </w:tc>
        <w:tc>
          <w:tcPr/>
          <w:p>
            <w:pPr>
              <w:pStyle w:val="Compact"/>
            </w:pPr>
            <w:r>
              <w:t xml:space="preserve">Adsorption contact time 250 min; membrane test included scouring aeration 5 L/min; modified (1.0 wt% TiO₂) membrane reported 94.87% removal to 0.42 mg/L</w:t>
            </w:r>
          </w:p>
        </w:tc>
        <w:tc>
          <w:tcPr/>
          <w:p>
            <w:pPr>
              <w:pStyle w:val="Compact"/>
            </w:pPr>
            <w:r>
              <w:t xml:space="preserve">Demonstrates an integrated approach to reliably cross below 1 mg/L where adsorption alone does not; fouling control and solids management are design-critical.</w:t>
            </w:r>
          </w:p>
        </w:tc>
      </w:tr>
    </w:tbl>
    <w:bookmarkEnd w:id="22"/>
    <w:bookmarkStart w:id="26" w:name="X40039d35677c116c7c2ec715baaf2b4271f04a0"/>
    <w:p>
      <w:pPr>
        <w:pStyle w:val="Heading2"/>
      </w:pPr>
      <w:r>
        <w:t xml:space="preserve">4. Boron selective resins</w:t>
      </w:r>
    </w:p>
    <w:p>
      <w:pPr>
        <w:pStyle w:val="FirstParagraph"/>
      </w:pPr>
      <w:r>
        <w:t xml:space="preserve">Boron‑selective ion exchange and chelating media are widely reported as high‑performance options, with resin methods summarized as 93–98% removal in one review and boron‑selective resin (BSR) described as capable of &gt;99% removal. Amberlite IRA‑743 is specifically referenced with ~85.1% boron elimination at pH 8 and an adsorption capacity of 6.27 mg/g in the cited comparison review. Separate work on brine screening reports boron‑selective media with capacities “above 5 mg/g,” with effective column removal at a space velocity of 4 h⁻¹ and elution using 2 M HCl.</w:t>
      </w:r>
    </w:p>
    <w:p>
      <w:pPr>
        <w:pStyle w:val="BodyText"/>
      </w:pPr>
      <w:r>
        <w:t xml:space="preserve">A critical design reality in discharge polishing is that resin performance and cycle time depend strongly on the inlet boron concentration. In a pilot test using AmberLite PWA‑10 (N‑methylglucamine functional group), a short operation cycle of 0.45 h was reported at very high inlet boron (121,000 ppm), whereas a longer cycle of 41.35 h was reported at lower inlet boron (3,800 ppm), with an average boron removal efficiency of 87.08% yielding 0.491 ppm in the reported case. For magnet manufacturing, this supports the standard engineering approach of source segregation and equalization (minimize “slug loads” of boron into the polishers) rather than relying on resin capacity alone to buffer extreme concentration variability.</w:t>
      </w:r>
    </w:p>
    <w:bookmarkStart w:id="23" w:name="mechanism-and-ph-window"/>
    <w:p>
      <w:pPr>
        <w:pStyle w:val="Heading3"/>
      </w:pPr>
      <w:r>
        <w:t xml:space="preserve">Mechanism and pH window</w:t>
      </w:r>
    </w:p>
    <w:p>
      <w:pPr>
        <w:pStyle w:val="FirstParagraph"/>
      </w:pPr>
      <w:r>
        <w:t xml:space="preserve">The cited resin products are explicitly tied to N‑methylglucamine functionality (e.g., AmberLite PWA‑10) for boron selectivity. Reported performance for Amberlite IRA‑743 is shown at pH 8 (~85.1% removal), and a separate batch study reports maximum performance at pH 9.5 (initial B 40 mg/L; resin dosage 110 g/L), consistent with strong pH sensitivity in practical operation.</w:t>
      </w:r>
    </w:p>
    <w:bookmarkEnd w:id="23"/>
    <w:bookmarkStart w:id="24" w:name="column-process-configuration"/>
    <w:p>
      <w:pPr>
        <w:pStyle w:val="Heading3"/>
      </w:pPr>
      <w:r>
        <w:t xml:space="preserve">Column process configuration</w:t>
      </w:r>
    </w:p>
    <w:p>
      <w:pPr>
        <w:pStyle w:val="FirstParagraph"/>
      </w:pPr>
      <w:r>
        <w:t xml:space="preserve">For polishing to &lt;1 mg/L, lead–lag columns (or duty/standby columns) are typically used in practice, and the provided literature includes multiple column-operating-rate anchors that are usable in preliminary sizing. One column example for a sorbent system uses 2 bed volumes per hour (2 BV/h) at constant flow in a 15 mm i.d. glass column with 150 mm bed height, with regeneration reported using 0.32 mol/dm³ NaOH (98.5% boron elution) and HCl as a secondary eluent for other ions in that system. Another resin column example for boron removal from brine is reported at 4 h⁻¹ space velocity with 2 M HCl elution.</w:t>
      </w:r>
    </w:p>
    <w:p>
      <w:pPr>
        <w:pStyle w:val="BodyText"/>
      </w:pPr>
      <w:r>
        <w:t xml:space="preserve">A separate mine‑drainage case reports a salt‑form boron‑specific resin capacity of 1.5 mg B/mL resin at 10% boron leakage, at a reported flow of 161 h⁻¹ (interpretable as very high space velocity), and discusses a strategy of reusing 90% of regenerant with associated boric acid production (4,400 tons/year) in that application context. While that specific tonnage is not directly transferable to a magnet facility, it is a clear indication that regenerant reuse and boron recovery can dominate resin OPEX and waste generation strategy when inlet concentrations are high and/or discharge limits are stringent.</w:t>
      </w:r>
    </w:p>
    <w:bookmarkEnd w:id="24"/>
    <w:bookmarkStart w:id="25" w:name="Xd30d8711284486dd8bf38739762edf99d34379b"/>
    <w:p>
      <w:pPr>
        <w:pStyle w:val="Heading3"/>
      </w:pPr>
      <w:r>
        <w:t xml:space="preserve">Regeneration chemistry and secondary waste</w:t>
      </w:r>
    </w:p>
    <w:p>
      <w:pPr>
        <w:pStyle w:val="FirstParagraph"/>
      </w:pPr>
      <w:r>
        <w:t xml:space="preserve">Regeneration/elution is explicitly reported using strong acid and/or base in multiple sources, including 2 M HCl for elution in column screening and 0.32 mol/dm³ NaOH for boron desorption from a packed bed (98.5% elution of boron). Another resin study reports regeneration by washing with 7% HCl and 4% NaOH for a boron sorbent (reported saturated adsorption capacity 5 mg/g in that referenced example). These data imply the key mass‑balance consequence of resin polishing: boron is transferred from a dilute continuous wastewater stream into a smaller‑volume, high‑boron regenerant waste (acidic and/or caustic), which then becomes the main discharge/disposal design problem for the polishing block.</w:t>
      </w:r>
    </w:p>
    <w:bookmarkEnd w:id="25"/>
    <w:bookmarkEnd w:id="26"/>
    <w:bookmarkStart w:id="27" w:name="X786ea5ecf4015997401a2b0b194f1cc000b1011"/>
    <w:p>
      <w:pPr>
        <w:pStyle w:val="Heading2"/>
      </w:pPr>
      <w:r>
        <w:t xml:space="preserve">5. High pH reverse osmosis</w:t>
      </w:r>
    </w:p>
    <w:p>
      <w:pPr>
        <w:pStyle w:val="FirstParagraph"/>
      </w:pPr>
      <w:r>
        <w:t xml:space="preserve">The cited review explicitly states that RO can “completely remove the boron under alkaline conditions,” but also that at neutral/acidic conditions the removal rate is “only about 50%” due to dominance of non‑ionized boric acid molecules. This statement is directly aligned with practical membrane system design: if RO is used as the boron compliance lever, it generally requires either pH elevation and/or complexation chemistry to shift boron into a form with higher rejection.</w:t>
      </w:r>
    </w:p>
    <w:p>
      <w:pPr>
        <w:pStyle w:val="BodyText"/>
      </w:pPr>
      <w:r>
        <w:t xml:space="preserve">Quantitatively, an SW‑30 membrane is reported at ~99% rejection with feed boron 50 mg/L at pH 10 and flux 50 L·m⁻²·h⁻¹ in a boron–D‑mannitol complex system (alcohol/boron molar ratio 2). The same review also reports that modified RO membranes can achieve boron rejection “more than 90%” (attributed to changes in pore size and surface properties in that cited context). In addition, a two‑pass RO with pH adjustment is reported to deliver 99% rejection at 50 mg/L feed boron and pH 10 at flux 50 L·m⁻²·h⁻¹ (SW‑30 membrane).</w:t>
      </w:r>
    </w:p>
    <w:p>
      <w:pPr>
        <w:pStyle w:val="BodyText"/>
      </w:pPr>
      <w:r>
        <w:t xml:space="preserve">From an engineering tradeoff standpoint, RO performance is inherently linked to pressure/energy and concentrate handling, and one source notes a high pressure range of 50–75 bar to overcome osmotic pressure of ~26–29 bar in the cited RO context. For a magnet wastewater plant evaluating RO for boron compliance, the dominant decision variables therefore become (i) whether concentrate disposal is feasible, and (ii) whether upstream conditioning can reliably hold pH/chemistry in the needed window without destabilizing metals removal or causing scaling in the membrane train.</w:t>
      </w:r>
    </w:p>
    <w:bookmarkEnd w:id="27"/>
    <w:bookmarkStart w:id="28" w:name="X8811af79d270009ff3407e28f9d556283b5ee91"/>
    <w:p>
      <w:pPr>
        <w:pStyle w:val="Heading2"/>
      </w:pPr>
      <w:r>
        <w:t xml:space="preserve">6. Electrocoagulation</w:t>
      </w:r>
    </w:p>
    <w:p>
      <w:pPr>
        <w:pStyle w:val="FirstParagraph"/>
      </w:pPr>
      <w:r>
        <w:t xml:space="preserve">Electrocoagulation (EC) is reported with wide performance ranges and strong dependence on current density, electrode configuration, and time. One reported “optimal performance” is 98% removal at pH 7, current density 12.5 mA/cm², and contact time 90 minutes. Another reported case for EC‑Al is 70% removal from 100 mg/L boron at pH 8 with electrode distance 10 mm, time 60 min, and current density 5.5 mA/cm².</w:t>
      </w:r>
    </w:p>
    <w:p>
      <w:pPr>
        <w:pStyle w:val="BodyText"/>
      </w:pPr>
      <w:r>
        <w:t xml:space="preserve">Hardware geometry and electrical setpoints have direct leverage on removal: decreasing interelectrode distance from 2 cm to 0.5 cm increased removal from 73% to 92% after 150 minutes in a reported case. Cost/energy sensitivity is also explicitly highlighted: increasing current density from 2.5 to 6.25 mA/cm² did not improve removal significantly in the cited case but increased cost by 2.7×.</w:t>
      </w:r>
    </w:p>
    <w:p>
      <w:pPr>
        <w:pStyle w:val="BodyText"/>
      </w:pPr>
      <w:r>
        <w:t xml:space="preserve">For an engineer designing a &lt;1 mg/L polishing block, the cited EC data suggest EC is best positioned as a pretreatment or load‑reduction step (especially for higher‑B side streams) rather than the sole compliance unit, unless the EC system is paired with a downstream polishing technology to guarantee consistent sub‑mg/L residual boron under varying influent quality.</w:t>
      </w:r>
    </w:p>
    <w:bookmarkEnd w:id="28"/>
    <w:bookmarkStart w:id="29" w:name="X1256862ec74c7954a7d74247942237270be4fef"/>
    <w:p>
      <w:pPr>
        <w:pStyle w:val="Heading2"/>
      </w:pPr>
      <w:r>
        <w:t xml:space="preserve">7. Magnesium and calcium precipitation</w:t>
      </w:r>
    </w:p>
    <w:p>
      <w:pPr>
        <w:pStyle w:val="FirstParagraph"/>
      </w:pPr>
      <w:r>
        <w:t xml:space="preserve">Precipitation/coagulation pathways are reported as capable of high boron removal under certain reagent and pH conditions. A cited example reports 96% boron removal using chemical precipitation with calcium hydroxide within 25 minutes. Another reports 95% removal at pH 8.12 using chemical precipitation and coagulation with Ca(OH)₂ and Al₂(SO₄)₃·18H₂O.</w:t>
      </w:r>
    </w:p>
    <w:p>
      <w:pPr>
        <w:pStyle w:val="BodyText"/>
      </w:pPr>
      <w:r>
        <w:t xml:space="preserve">For magnesium oxide, a mine‑drainage study reports that MgO can be used effectively at a Mg/B molar ratio of 20 for three cleaning cycles with 85% removal efficiency, but also notes that an estimated consumption of 18,100 tons of MgO per year makes the process uneconomical in that context. These two statements together frame the typical precipitation tradeoff: precipitation can be effective, but chemical consumption and resulting sludge volumes can become prohibitive when applied to large flows, pushing designers toward polishing methods that transfer boron into smaller secondary streams (e.g., regenerant or concentrate) rather than converting it into bulk solids.</w:t>
      </w:r>
    </w:p>
    <w:bookmarkEnd w:id="29"/>
    <w:bookmarkStart w:id="30" w:name="X755e78ddad30305a2801f3803ec148d23e1d68d"/>
    <w:p>
      <w:pPr>
        <w:pStyle w:val="Heading2"/>
      </w:pPr>
      <w:r>
        <w:t xml:space="preserve">8. Emerging technologies</w:t>
      </w:r>
    </w:p>
    <w:p>
      <w:pPr>
        <w:pStyle w:val="FirstParagraph"/>
      </w:pPr>
      <w:r>
        <w:t xml:space="preserve">Several emerging or non‑traditional adsorption materials show high reported capacities in the cited review literature, including GO/ZIF‑67 with a boron adsorption capacity of 66.65 mg/g at 25 °C and nitrogen‑doped graphene oxide with a reported maximum adsorption capacity of 58.7 mg/g. Highly variable (and in some cases extremely large) capacities are also reported for other adsorbents (e.g., perlite‑GA at 2500 mg/g in the cited review compilation), underscoring that adsorption performance can be strongly material- and test‑condition‑dependent and must be validated on the target wastewater matrix before adoption.</w:t>
      </w:r>
    </w:p>
    <w:p>
      <w:pPr>
        <w:pStyle w:val="BodyText"/>
      </w:pPr>
      <w:r>
        <w:t xml:space="preserve">Electro‑driven hybrids are another emerging direction. Boron selective resin‑filled EDI is reported to decrease boron from 5 mg/L to 0.3 mg/L with removal up to 94%, with an energy consumption range of 6.64×10⁻³ to 1.11×10⁻¹ Wh/g and a reported mass transfer coefficient of 7.78×10⁻⁴ m/s in that study context. Bipolar membrane electrodialysis (BMED) is reported at pH 9.5–10.5 and current density 6.36 A/m² (max voltage 12 V) with boron removal and recovery efficiencies 98.6% and 86.5%, and an overall energy consumption of 31.5 Wh/g in a cited case, although the corresponding final effluent boron is reported as &lt;10 mg/L (a much less stringent target than &lt;1 mg/L).</w:t>
      </w:r>
    </w:p>
    <w:bookmarkEnd w:id="30"/>
    <w:bookmarkStart w:id="31" w:name="X4b59cbb6aaa82c77dd8a6477e1d101d2076f7dc"/>
    <w:p>
      <w:pPr>
        <w:pStyle w:val="Heading2"/>
      </w:pPr>
      <w:r>
        <w:t xml:space="preserve">9. Recommended treatment train</w:t>
      </w:r>
    </w:p>
    <w:p>
      <w:pPr>
        <w:pStyle w:val="FirstParagraph"/>
      </w:pPr>
      <w:r>
        <w:t xml:space="preserve">A pragmatic compliance-oriented approach is to use conventional primary treatment for solids/metals/oils upstream, then add a dedicated boron polishing block designed to guarantee &lt;1 mg/L. The cited literature supports at least three implementable trains.</w:t>
      </w:r>
    </w:p>
    <w:p>
      <w:pPr>
        <w:pStyle w:val="BodyText"/>
      </w:pPr>
      <w:r>
        <w:t xml:space="preserve">First, resin polishing (BSR) can serve as the final step because BSR is described as capable of &gt;99% removal, with column operation and regeneration anchored by documented examples (e.g., 4 h⁻¹ space velocity and 2 M HCl elution, or NaOH desorption at 0.32 mol/dm³ achieving 98.5% boron elution in a packed bed example).</w:t>
      </w:r>
    </w:p>
    <w:p>
      <w:pPr>
        <w:pStyle w:val="BodyText"/>
      </w:pPr>
      <w:r>
        <w:t xml:space="preserve">Second, multi‑pass RO/NF with pH control and/or complexation can be used for boron polishing when concentrate handling is feasible. A two‑pass RO with pH adjustment is reported to deliver 99% rejection at feed B = 50 mg/L and pH 10 at 50 L·m⁻²·h⁻¹ flux (SW‑30), and staged NF can reduce boron to 0.84 mg/L (3.87→0.84 mg/L at pH 10.5 in the cited second‑stage example) or even &lt;0.1 mg/L in a two‑stage NF with sorbitol complexation and pH 9.8 in the cited case.</w:t>
      </w:r>
    </w:p>
    <w:p>
      <w:pPr>
        <w:pStyle w:val="BodyText"/>
      </w:pPr>
      <w:r>
        <w:t xml:space="preserve">Third, hybrid adsorption–membrane systems can be used to “cross the line” below 1 mg/L when adsorption alone stalls above the limit. One demonstrated case shows adsorption (nano‑magnetite, 250 min) leaving 2.2 mg/L after 74.39% removal, and subsequent membrane polishing reducing boron to 0.43 mg/L; additionally, a modified (1.0 wt% TiO₂) membrane achieved 94.87% removal to 0.42 mg/L under reported scouring aeration of 5 L/min.</w:t>
      </w:r>
    </w:p>
    <w:p>
      <w:pPr>
        <w:pStyle w:val="BodyText"/>
      </w:pPr>
      <w:r>
        <w:t xml:space="preserve">A resin–membrane hybrid is also supported by the cited review: Amberlite IRA743 combined with MF (0.1 µm) is reported at 96–99% removal with resin dosage 3.33 g/L, and an ion exchange (Dowex XUS‑43594.00)–UF hybrid is reported to reduce boron concentration to below 1.0 mg/L.</w:t>
      </w:r>
    </w:p>
    <w:bookmarkEnd w:id="31"/>
    <w:bookmarkStart w:id="32" w:name="Xf9001b8270751e41bfa6a3ae3d85b59b0e2fdfb"/>
    <w:p>
      <w:pPr>
        <w:pStyle w:val="Heading2"/>
      </w:pPr>
      <w:r>
        <w:t xml:space="preserve">10. Engineering gaps</w:t>
      </w:r>
    </w:p>
    <w:p>
      <w:pPr>
        <w:pStyle w:val="FirstParagraph"/>
      </w:pPr>
      <w:r>
        <w:t xml:space="preserve">The literature shows that performance is highly conditional (pH, current density, membrane configuration, and resin cycle time), so the main engineering gap for a bankable magnet‑wastewater design is translating “reported‑condition” performance into a robust operating window for the actual plant matrix. This uncertainty is explicit in the sources that show large performance swings with chemistry or setpoints, such as RO (~50% at neutral/acidic vs. ~99% at pH 10 under specified conditions), EC removal sensitivity to current density and electrode spacing, and resin cycle time sensitivity to inlet concentration.</w:t>
      </w:r>
    </w:p>
    <w:p>
      <w:pPr>
        <w:pStyle w:val="BodyText"/>
      </w:pPr>
      <w:r>
        <w:t xml:space="preserve">Accordingly, a treatment system specification should be built around pilot validation of three quantitative design items that are directly implicated by the provided sources: (1) boron removal vs. pH setpoint in the selected polishing technology (e.g., RO/NF or resin) given the strong pH dependence demonstrated across membrane processes; (2) secondary waste management and mass balance, particularly acid/caustic regenerant requirements for resin trains or concentrate volumes for membrane trains, which are integral to the reported regeneration chemistries and multi‑pass membrane approaches; and (3) power and cost sensitivity for electro‑driven options, given that EC cost can increase 2.7× with higher current density in one cited case and that EDI/BMED energy consumption is reported over orders of magnitude in Wh/g units across technologies and conditions.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2026-02-12T16:41:53Z</dcterms:created>
  <dcterms:modified xsi:type="dcterms:W3CDTF">2026-02-12T16:41:53Z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