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b6049c6ea06766cb4e04cf3816bd7e9b9be2e0d"/>
    <w:p>
      <w:pPr>
        <w:pStyle w:val="Heading1"/>
      </w:pPr>
      <w:r>
        <w:t xml:space="preserve">Engineering-Level Technical Review of Permanent Magnet Manufacturing Waste</w:t>
      </w:r>
    </w:p>
    <w:bookmarkStart w:id="20" w:name="X54a346158e1c9302d737b408239f1b33007b474"/>
    <w:p>
      <w:pPr>
        <w:pStyle w:val="Heading2"/>
      </w:pPr>
      <w:r>
        <w:t xml:space="preserve">1. SUMMARY</w:t>
      </w:r>
    </w:p>
    <w:p>
      <w:pPr>
        <w:pStyle w:val="FirstParagraph"/>
      </w:pPr>
      <w:r>
        <w:t xml:space="preserve">This technical review provides an engineering-level analysis of the waste streams generated during the manufacturing of sintered Neodymium-Iron-Boron (NdFeB) and Samarium-Cobalt (SmCo) permanent magnets. For a typical facility producing 1,000 to 10,000 tonnes per year, manufacturing waste can account for up to 30-50% of the initial raw material input, with the machining stage being the single largest contributor. This stage generates a high-volume, hazardous grinding sludge containing 20-30% rare earth elements (REEs) and 60-70% iron, suspended in water- or oil-based coolants. An environmental assessment for a proposed U.S. facility estimates weekly generation of 16,600 kg of hazardous rare-earth grinding slurry and 25 m³ of spent coolant.</w:t>
      </w:r>
    </w:p>
    <w:p>
      <w:pPr>
        <w:pStyle w:val="BodyText"/>
      </w:pPr>
      <w:r>
        <w:t xml:space="preserve">Other significant waste streams include airborne fines from powder handling, off-specification rejects from pressing and sintering, and contaminated wastewater from surface treatment and coating operations. Surface treatment, particularly Ni-Cu-Ni electroplating, generates acidic and alkaline rinse waters containing dissolved metals and spent plating bath solutions requiring specialized treatment.</w:t>
      </w:r>
    </w:p>
    <w:p>
      <w:pPr>
        <w:pStyle w:val="BodyText"/>
      </w:pPr>
      <w:r>
        <w:t xml:space="preserve">Current treatment predominantly relies on conventional chemical precipitation for wastewater, where pH is adjusted (typically to 9.0-9.5) to precipitate metal hydroxides, followed by coagulation, flocculation, clarification, and sludge dewatering via filter press. The resulting dewatered sludge is classified as hazardous waste and incurs significant disposal costs, often representing the largest single operational expenditure in waste management. Disposal costs for hazardous sludge can range from $220 to over $22,000 per tonne depending on location and composition.</w:t>
      </w:r>
    </w:p>
    <w:p>
      <w:pPr>
        <w:pStyle w:val="BodyText"/>
      </w:pPr>
      <w:r>
        <w:t xml:space="preserve">Regulatory frameworks, such as the US EPA's 40 CFR 433 (Metal Finishing) and the EU's Best Available Techniques (BAT) Reference Documents (BREFs), impose strict numeric discharge limits for metals like nickel (2.38 mg/L monthly avg, US EPA) and copper (2.07 mg/L monthly avg, US EPA). The high concentration of valuable REEs in machining sludge (up to 30 wt%) presents a significant economic opportunity, though commercial-scale recovery from manufacturing waste remains limited, with compliance-driven disposal being the primary driver of current practices.</w:t>
      </w:r>
    </w:p>
    <w:bookmarkEnd w:id="20"/>
    <w:bookmarkStart w:id="26" w:name="Xabc5b8fec740db2aed0cfae996e7d2cd8ceede8"/>
    <w:p>
      <w:pPr>
        <w:pStyle w:val="Heading2"/>
      </w:pPr>
      <w:r>
        <w:t xml:space="preserve">2. WASTE STREAMS INVENTORY</w:t>
      </w:r>
    </w:p>
    <w:p>
      <w:pPr>
        <w:pStyle w:val="FirstParagraph"/>
      </w:pPr>
      <w:r>
        <w:t xml:space="preserve">The manufacturing of sintered permanent magnets is a multi-stage process where waste is generated at every step. The following inventory details the primary waste streams from a facility with a sintered magnet output of 1,000-10,000 tonnes/year.</w:t>
      </w:r>
    </w:p>
    <w:bookmarkStart w:id="21" w:name="a-powder-handling-and-pressing"/>
    <w:p>
      <w:pPr>
        <w:pStyle w:val="Heading3"/>
      </w:pPr>
      <w:r>
        <w:t xml:space="preserve">A. POWDER HANDLING AND PRESSING</w:t>
      </w:r>
    </w:p>
    <w:p>
      <w:pPr>
        <w:pStyle w:val="FirstParagraph"/>
      </w:pPr>
      <w:r>
        <w:t xml:space="preserve">This initial stage involves milling the cast alloy into a fine powder, followed by pressing it into "green" compacts.</w:t>
      </w:r>
    </w:p>
    <w:p>
      <w:pPr>
        <w:pStyle w:val="Compact"/>
        <w:numPr>
          <w:ilvl w:val="0"/>
          <w:numId w:val="1001"/>
        </w:numPr>
      </w:pPr>
      <w:r>
        <w:rPr>
          <w:b/>
          <w:bCs/>
        </w:rPr>
        <w:t xml:space="preserve">Waste Type</w:t>
      </w:r>
      <w:r>
        <w:t xml:space="preserve">: Waste streams include oxidized powder, off-spec powder, press rejects, and airborne fines collected by dust extraction systems.</w:t>
      </w:r>
    </w:p>
    <w:p>
      <w:pPr>
        <w:pStyle w:val="Compact"/>
        <w:numPr>
          <w:ilvl w:val="0"/>
          <w:numId w:val="1001"/>
        </w:numPr>
      </w:pPr>
      <w:r>
        <w:rPr>
          <w:b/>
          <w:bCs/>
        </w:rPr>
        <w:t xml:space="preserve">Composition</w:t>
      </w:r>
      <w:r>
        <w:t xml:space="preserve">: The powder consists of Nd2Fe14B alloy particles, Nd-rich grain boundary phases, and surface oxides (Nd2O3, Fe2O3). Jet-milled powders typically have a narrow particle size distribution around 3-5 µm.</w:t>
      </w:r>
    </w:p>
    <w:p>
      <w:pPr>
        <w:pStyle w:val="Compact"/>
        <w:numPr>
          <w:ilvl w:val="0"/>
          <w:numId w:val="1001"/>
        </w:numPr>
      </w:pPr>
      <w:r>
        <w:rPr>
          <w:b/>
          <w:bCs/>
        </w:rPr>
        <w:t xml:space="preserve">Volume Generated</w:t>
      </w:r>
      <w:r>
        <w:t xml:space="preserve">: Yield loss at this stage can be significant, with one source suggesting up to 5% of the magnetic alloy ends up as fine powder waste. A proposed facility estimated generating 500 kg/week of oxidized powder and green body residues.</w:t>
      </w:r>
    </w:p>
    <w:p>
      <w:pPr>
        <w:pStyle w:val="Compact"/>
        <w:numPr>
          <w:ilvl w:val="0"/>
          <w:numId w:val="1001"/>
        </w:numPr>
      </w:pPr>
      <w:r>
        <w:rPr>
          <w:b/>
          <w:bCs/>
        </w:rPr>
        <w:t xml:space="preserve">Hazard Classification</w:t>
      </w:r>
      <w:r>
        <w:t xml:space="preserve">: Fine NdFeB powder is pyrophoric and can ignite spontaneously in air. Safety Data Sheets (SDS) classify it as a flammable solid and recommend handling in inert atmospheres (nitrogen, argon) or as a water slurry to prevent combustion. Respirable cobalt dust (grain size ≤10µm) is classified as acutely toxic by inhalation.</w:t>
      </w:r>
    </w:p>
    <w:bookmarkEnd w:id="21"/>
    <w:bookmarkStart w:id="22" w:name="b-sintering-and-heat-treatment"/>
    <w:p>
      <w:pPr>
        <w:pStyle w:val="Heading3"/>
      </w:pPr>
      <w:r>
        <w:t xml:space="preserve">B. SINTERING AND HEAT TREATMENT</w:t>
      </w:r>
    </w:p>
    <w:p>
      <w:pPr>
        <w:pStyle w:val="FirstParagraph"/>
      </w:pPr>
      <w:r>
        <w:t xml:space="preserve">The green compacts are sintered at high temperatures in a vacuum or inert atmosphere to densify the material.</w:t>
      </w:r>
    </w:p>
    <w:p>
      <w:pPr>
        <w:pStyle w:val="Compact"/>
        <w:numPr>
          <w:ilvl w:val="0"/>
          <w:numId w:val="1002"/>
        </w:numPr>
      </w:pPr>
      <w:r>
        <w:rPr>
          <w:b/>
          <w:bCs/>
        </w:rPr>
        <w:t xml:space="preserve">Waste Type</w:t>
      </w:r>
      <w:r>
        <w:t xml:space="preserve">: Furnace residues, off-specification magnets that fail quality control (density, dimensions, magnetic properties), and contaminated vacuum pump oil are the primary wastes.</w:t>
      </w:r>
    </w:p>
    <w:p>
      <w:pPr>
        <w:pStyle w:val="Compact"/>
        <w:numPr>
          <w:ilvl w:val="0"/>
          <w:numId w:val="1002"/>
        </w:numPr>
      </w:pPr>
      <w:r>
        <w:rPr>
          <w:b/>
          <w:bCs/>
        </w:rPr>
        <w:t xml:space="preserve">Sintering Parameters</w:t>
      </w:r>
      <w:r>
        <w:t xml:space="preserve">: Sintering occurs at temperatures between 1000-1100°C, followed by two-stage annealing (e.g., 850-950°C and 400-600°C). During this process, magnets can shrink anisotropically by 7-25% linearly.</w:t>
      </w:r>
    </w:p>
    <w:p>
      <w:pPr>
        <w:pStyle w:val="Compact"/>
        <w:numPr>
          <w:ilvl w:val="0"/>
          <w:numId w:val="1002"/>
        </w:numPr>
      </w:pPr>
      <w:r>
        <w:rPr>
          <w:b/>
          <w:bCs/>
        </w:rPr>
        <w:t xml:space="preserve">Rejects</w:t>
      </w:r>
      <w:r>
        <w:t xml:space="preserve">: Magnets that fail post-sintering quality checks for density (&gt;98% of theoretical) or magnetic properties are rejected. These rejects can be re-processed via hydrogen decrepitation to reclaim the alloy powder or are scrapped.</w:t>
      </w:r>
    </w:p>
    <w:bookmarkEnd w:id="22"/>
    <w:bookmarkStart w:id="23" w:name="c-machining-cutting-grinding-lapping"/>
    <w:p>
      <w:pPr>
        <w:pStyle w:val="Heading3"/>
      </w:pPr>
      <w:r>
        <w:t xml:space="preserve">C. MACHINING (CUTTING, GRINDING, LAPPING)</w:t>
      </w:r>
    </w:p>
    <w:p>
      <w:pPr>
        <w:pStyle w:val="FirstParagraph"/>
      </w:pPr>
      <w:r>
        <w:t xml:space="preserve">This is the primary waste-generating stage, where sintered blocks are machined to precise final dimensions. Overall material loss in this stage can be between 20-30% of the sintered block weight. A large portion of this waste, over 70%, is in the form of sludge.</w:t>
      </w:r>
    </w:p>
    <w:p>
      <w:pPr>
        <w:pStyle w:val="Compact"/>
        <w:numPr>
          <w:ilvl w:val="0"/>
          <w:numId w:val="1003"/>
        </w:numPr>
      </w:pPr>
      <w:r>
        <w:rPr>
          <w:b/>
          <w:bCs/>
        </w:rPr>
        <w:t xml:space="preserve">Grinding Sludge/Slurry</w:t>
      </w:r>
      <w:r>
        <w:t xml:space="preserve">:</w:t>
      </w:r>
    </w:p>
    <w:p>
      <w:pPr>
        <w:pStyle w:val="Compact"/>
        <w:numPr>
          <w:ilvl w:val="1"/>
          <w:numId w:val="1004"/>
        </w:numPr>
      </w:pPr>
      <w:r>
        <w:rPr>
          <w:b/>
          <w:bCs/>
        </w:rPr>
        <w:t xml:space="preserve">Carrier Fluid</w:t>
      </w:r>
      <w:r>
        <w:t xml:space="preserve">: Water-based emulsions are commonly used as coolants. One common type is a mineral oil and boric acid-based, water-miscible fluid (e.g., Mobilcut 230) used at a 5% concentration with a throughput of 30–50 L/min per grinding wheel. These fluids typically contain emulsifiers, biocides, corrosion inhibitors, and pH buffers, operating at a pH of 9.2-10.0.</w:t>
      </w:r>
    </w:p>
    <w:p>
      <w:pPr>
        <w:pStyle w:val="Compact"/>
        <w:numPr>
          <w:ilvl w:val="1"/>
          <w:numId w:val="1004"/>
        </w:numPr>
      </w:pPr>
      <w:r>
        <w:rPr>
          <w:b/>
          <w:bCs/>
        </w:rPr>
        <w:t xml:space="preserve">Metal Content</w:t>
      </w:r>
      <w:r>
        <w:t xml:space="preserve">: Dried sludge solids contain high concentrations of magnet materials. Compositions vary, but typical ranges are 20-30 wt% REEs (Nd, Pr, Dy) and 60-70 wt% Iron. An exemplary grinding slurry composition is Nd 19.5%, Pr 4.9%, Dy 2.4%, B 0.8%, Co 1.3%, Al 0.2%, and Fe as the balance.</w:t>
      </w:r>
    </w:p>
    <w:p>
      <w:pPr>
        <w:pStyle w:val="Compact"/>
        <w:numPr>
          <w:ilvl w:val="1"/>
          <w:numId w:val="1004"/>
        </w:numPr>
      </w:pPr>
      <w:r>
        <w:rPr>
          <w:b/>
          <w:bCs/>
        </w:rPr>
        <w:t xml:space="preserve">Abrasive Particles</w:t>
      </w:r>
      <w:r>
        <w:t xml:space="preserve">: Diamond abrasives are commonly used for grinding NdFeB magnets.</w:t>
      </w:r>
    </w:p>
    <w:p>
      <w:pPr>
        <w:pStyle w:val="Compact"/>
        <w:numPr>
          <w:ilvl w:val="1"/>
          <w:numId w:val="1004"/>
        </w:numPr>
      </w:pPr>
      <w:r>
        <w:rPr>
          <w:b/>
          <w:bCs/>
        </w:rPr>
        <w:t xml:space="preserve">Sludge Properties</w:t>
      </w:r>
      <w:r>
        <w:t xml:space="preserve">: The density of grinding slurry can range from 3150 to 4075 kg/m³. The moisture content of as-generated slurry is high, and dewatered cake solids can vary. A proposed facility estimated generating 16,600 kg/week of hazardous grinding sludge.</w:t>
      </w:r>
    </w:p>
    <w:p>
      <w:pPr>
        <w:pStyle w:val="Compact"/>
        <w:numPr>
          <w:ilvl w:val="0"/>
          <w:numId w:val="1004"/>
        </w:numPr>
      </w:pPr>
      <w:r>
        <w:rPr>
          <w:b/>
          <w:bCs/>
        </w:rPr>
        <w:t xml:space="preserve">Wire EDM Waste</w:t>
      </w:r>
      <w:r>
        <w:t xml:space="preserve">:</w:t>
      </w:r>
    </w:p>
    <w:p>
      <w:pPr>
        <w:pStyle w:val="Compact"/>
        <w:numPr>
          <w:ilvl w:val="1"/>
          <w:numId w:val="1005"/>
        </w:numPr>
      </w:pPr>
      <w:r>
        <w:rPr>
          <w:b/>
          <w:bCs/>
        </w:rPr>
        <w:t xml:space="preserve">Materials</w:t>
      </w:r>
      <w:r>
        <w:t xml:space="preserve">: This process uses a thin (0.25 mm) brass (CuZn37) or coated wire as an electrode. The dielectric fluid is typically deionized water or oil.</w:t>
      </w:r>
    </w:p>
    <w:p>
      <w:pPr>
        <w:pStyle w:val="Compact"/>
        <w:numPr>
          <w:ilvl w:val="1"/>
          <w:numId w:val="1005"/>
        </w:numPr>
      </w:pPr>
      <w:r>
        <w:rPr>
          <w:b/>
          <w:bCs/>
        </w:rPr>
        <w:t xml:space="preserve">Waste</w:t>
      </w:r>
      <w:r>
        <w:t xml:space="preserve">: The waste consists of metal particles from the workpiece and wire eroded into the dielectric fluid, which is then filtered. The filter cake contains a mixture of these metals. Kerf loss is minimized by using very fine wire, but a thermally affected, demagnetized layer of approximately 35 µm can be formed on the cut surface.</w:t>
      </w:r>
    </w:p>
    <w:p>
      <w:pPr>
        <w:pStyle w:val="Compact"/>
        <w:numPr>
          <w:ilvl w:val="0"/>
          <w:numId w:val="1005"/>
        </w:numPr>
      </w:pPr>
      <w:r>
        <w:rPr>
          <w:b/>
          <w:bCs/>
        </w:rPr>
        <w:t xml:space="preserve">Total Material Loss</w:t>
      </w:r>
      <w:r>
        <w:t xml:space="preserve">: The fraction of the sintered block lost as waste during machining varies by final geometry. SmCo magnets are particularly brittle and can have machining failure rates as high as 20%.</w:t>
      </w:r>
    </w:p>
    <w:bookmarkEnd w:id="23"/>
    <w:bookmarkStart w:id="24" w:name="d-surface-treatment-and-coating"/>
    <w:p>
      <w:pPr>
        <w:pStyle w:val="Heading3"/>
      </w:pPr>
      <w:r>
        <w:t xml:space="preserve">D. SURFACE TREATMENT AND COATING</w:t>
      </w:r>
    </w:p>
    <w:p>
      <w:pPr>
        <w:pStyle w:val="FirstParagraph"/>
      </w:pPr>
      <w:r>
        <w:t xml:space="preserve">To prevent corrosion, machined magnets undergo cleaning and coating.</w:t>
      </w:r>
    </w:p>
    <w:p>
      <w:pPr>
        <w:pStyle w:val="Compact"/>
        <w:numPr>
          <w:ilvl w:val="0"/>
          <w:numId w:val="1006"/>
        </w:numPr>
      </w:pPr>
      <w:r>
        <w:rPr>
          <w:b/>
          <w:bCs/>
        </w:rPr>
        <w:t xml:space="preserve">Pre-treatment</w:t>
      </w:r>
      <w:r>
        <w:t xml:space="preserve">:</w:t>
      </w:r>
    </w:p>
    <w:p>
      <w:pPr>
        <w:pStyle w:val="Compact"/>
        <w:numPr>
          <w:ilvl w:val="1"/>
          <w:numId w:val="1007"/>
        </w:numPr>
      </w:pPr>
      <w:r>
        <w:rPr>
          <w:b/>
          <w:bCs/>
        </w:rPr>
        <w:t xml:space="preserve">Alkaline Degreasing</w:t>
      </w:r>
      <w:r>
        <w:t xml:space="preserve">: Baths typically contain NaOH and surfactants, operated at elevated temperatures.</w:t>
      </w:r>
    </w:p>
    <w:p>
      <w:pPr>
        <w:pStyle w:val="Compact"/>
        <w:numPr>
          <w:ilvl w:val="1"/>
          <w:numId w:val="1007"/>
        </w:numPr>
      </w:pPr>
      <w:r>
        <w:rPr>
          <w:b/>
          <w:bCs/>
        </w:rPr>
        <w:t xml:space="preserve">Acid Pickling/Etching</w:t>
      </w:r>
      <w:r>
        <w:t xml:space="preserve">: Nitric acid (HNO3) at 1-10% mass fraction is often used to remove surface oxides.</w:t>
      </w:r>
    </w:p>
    <w:p>
      <w:pPr>
        <w:pStyle w:val="Compact"/>
        <w:numPr>
          <w:ilvl w:val="1"/>
          <w:numId w:val="1007"/>
        </w:numPr>
      </w:pPr>
      <w:r>
        <w:rPr>
          <w:b/>
          <w:bCs/>
        </w:rPr>
        <w:t xml:space="preserve">Rinse Water</w:t>
      </w:r>
      <w:r>
        <w:t xml:space="preserve">: Multiple rinse stages generate large volumes of wastewater containing dragged-out cleaning solutions and dissolved metals. Water usage is estimated at 3-20 L/m² of surface area per rinse stage.</w:t>
      </w:r>
    </w:p>
    <w:p>
      <w:pPr>
        <w:pStyle w:val="Compact"/>
        <w:numPr>
          <w:ilvl w:val="0"/>
          <w:numId w:val="1007"/>
        </w:numPr>
      </w:pPr>
      <w:r>
        <w:rPr>
          <w:b/>
          <w:bCs/>
        </w:rPr>
        <w:t xml:space="preserve">Electroplating (Ni-Cu-Ni)</w:t>
      </w:r>
      <w:r>
        <w:t xml:space="preserve">: This is the most common coating.</w:t>
      </w:r>
    </w:p>
    <w:p>
      <w:pPr>
        <w:pStyle w:val="Compact"/>
        <w:numPr>
          <w:ilvl w:val="1"/>
          <w:numId w:val="1008"/>
        </w:numPr>
      </w:pPr>
      <w:r>
        <w:rPr>
          <w:b/>
          <w:bCs/>
        </w:rPr>
        <w:t xml:space="preserve">Watts Nickel Bath</w:t>
      </w:r>
      <w:r>
        <w:t xml:space="preserve">: A typical bath contains Nickel Sulfate (NiSO4·6H2O) at 240-300 g/L, Nickel Chloride (NiCl2·6H2O) at 30-90 g/L, and Boric Acid (H3BO3) at 30-45 g/L. It operates at 40-60°C, a pH of 3.5-4.5, and a current density of 2-7 A/dm².</w:t>
      </w:r>
    </w:p>
    <w:p>
      <w:pPr>
        <w:pStyle w:val="Compact"/>
        <w:numPr>
          <w:ilvl w:val="1"/>
          <w:numId w:val="1008"/>
        </w:numPr>
      </w:pPr>
      <w:r>
        <w:rPr>
          <w:b/>
          <w:bCs/>
        </w:rPr>
        <w:t xml:space="preserve">Copper Bath</w:t>
      </w:r>
      <w:r>
        <w:t xml:space="preserve">: Acidic copper baths typically contain copper sulfate (CuSO4) and sulfuric acid (H2SO4).</w:t>
      </w:r>
    </w:p>
    <w:p>
      <w:pPr>
        <w:pStyle w:val="Compact"/>
        <w:numPr>
          <w:ilvl w:val="1"/>
          <w:numId w:val="1008"/>
        </w:numPr>
      </w:pPr>
      <w:r>
        <w:rPr>
          <w:b/>
          <w:bCs/>
        </w:rPr>
        <w:t xml:space="preserve">Wastewater</w:t>
      </w:r>
      <w:r>
        <w:t xml:space="preserve">: Drag-out from plating baths contaminates subsequent rinse waters with Ni and Cu. Bath maintenance generates sludge from carbon treatment and anode dissolution.</w:t>
      </w:r>
    </w:p>
    <w:p>
      <w:pPr>
        <w:pStyle w:val="Compact"/>
        <w:numPr>
          <w:ilvl w:val="0"/>
          <w:numId w:val="1008"/>
        </w:numPr>
      </w:pPr>
      <w:r>
        <w:rPr>
          <w:b/>
          <w:bCs/>
        </w:rPr>
        <w:t xml:space="preserve">Alternative Coatings</w:t>
      </w:r>
      <w:r>
        <w:t xml:space="preserve">: Other coatings include epoxy, phosphate, and aluminum sputtering (IVD), each generating unique waste streams such as solvents, phosphate sludge, or chamber cleaning waste.</w:t>
      </w:r>
    </w:p>
    <w:p>
      <w:pPr>
        <w:pStyle w:val="Compact"/>
        <w:numPr>
          <w:ilvl w:val="0"/>
          <w:numId w:val="1008"/>
        </w:numPr>
      </w:pPr>
      <w:r>
        <w:rPr>
          <w:b/>
          <w:bCs/>
        </w:rPr>
        <w:t xml:space="preserve">Total Wastewater</w:t>
      </w:r>
      <w:r>
        <w:t xml:space="preserve">: A facility producing 1,000 tonnes/year can generate a significant volume of wastewater from surface treatment. A proposed US facility anticipated discharging 4,755 gallons per day (18 m³/day) of process water.</w:t>
      </w:r>
    </w:p>
    <w:bookmarkEnd w:id="24"/>
    <w:bookmarkStart w:id="25" w:name="e-quality-rejection-and-packaging"/>
    <w:p>
      <w:pPr>
        <w:pStyle w:val="Heading3"/>
      </w:pPr>
      <w:r>
        <w:t xml:space="preserve">E. QUALITY REJECTION AND PACKAGING</w:t>
      </w:r>
    </w:p>
    <w:p>
      <w:pPr>
        <w:pStyle w:val="FirstParagraph"/>
      </w:pPr>
      <w:r>
        <w:t xml:space="preserve">Final inspection leads to the rejection of magnets that fail dimensional or magnetic tests. A proposed facility estimated generating 45 barrels per week of off-spec magnets, which would be recycled internally.</w:t>
      </w:r>
    </w:p>
    <w:bookmarkEnd w:id="25"/>
    <w:bookmarkEnd w:id="26"/>
    <w:bookmarkStart w:id="27" w:name="X79641f94445f02259518e6bfd67d0aa70990766"/>
    <w:p>
      <w:pPr>
        <w:pStyle w:val="Heading2"/>
      </w:pPr>
      <w:r>
        <w:t xml:space="preserve">3. WASTE CHARACTERIZATION AND HAZARD CLASSIFICATION</w:t>
      </w:r>
    </w:p>
    <w:p>
      <w:pPr>
        <w:pStyle w:val="FirstParagraph"/>
      </w:pPr>
      <w:r>
        <w:t xml:space="preserve">Each waste stream possesses distinct characteristics and hazard classifications critical for determining appropriate treatment and disposal pathways.</w:t>
      </w:r>
    </w:p>
    <w:p>
      <w:pPr>
        <w:pStyle w:val="Compact"/>
        <w:numPr>
          <w:ilvl w:val="0"/>
          <w:numId w:val="1009"/>
        </w:numPr>
      </w:pPr>
      <w:r>
        <w:rPr>
          <w:b/>
          <w:bCs/>
        </w:rPr>
        <w:t xml:space="preserve">Pyrophoricity of Powders</w:t>
      </w:r>
      <w:r>
        <w:t xml:space="preserve">: Fine NdFeB powders are pyrophoric and classified as flammable solids. They can spontaneously ignite on contact with air, especially at smaller particle sizes, and react with water to generate flammable hydrogen gas. They should be stored under an inert atmosphere or as a water slurry.</w:t>
      </w:r>
    </w:p>
    <w:p>
      <w:pPr>
        <w:pStyle w:val="Compact"/>
        <w:numPr>
          <w:ilvl w:val="0"/>
          <w:numId w:val="1009"/>
        </w:numPr>
      </w:pPr>
      <w:r>
        <w:rPr>
          <w:b/>
          <w:bCs/>
        </w:rPr>
        <w:t xml:space="preserve">Machining Sludge</w:t>
      </w:r>
      <w:r>
        <w:t xml:space="preserve">:</w:t>
      </w:r>
    </w:p>
    <w:p>
      <w:pPr>
        <w:pStyle w:val="Compact"/>
        <w:numPr>
          <w:ilvl w:val="1"/>
          <w:numId w:val="1010"/>
        </w:numPr>
      </w:pPr>
      <w:r>
        <w:rPr>
          <w:b/>
          <w:bCs/>
        </w:rPr>
        <w:t xml:space="preserve">RCRA Classification</w:t>
      </w:r>
      <w:r>
        <w:t xml:space="preserve">: Grinding sludge is typically classified as a hazardous waste in the US due to the leachable toxicity of heavy metals (e.g., Ni, Co). A proposed US facility classifies its 16,600 kg/week of rare-earth sludge/grinding slurry as hazardous.</w:t>
      </w:r>
    </w:p>
    <w:p>
      <w:pPr>
        <w:pStyle w:val="Compact"/>
        <w:numPr>
          <w:ilvl w:val="1"/>
          <w:numId w:val="1010"/>
        </w:numPr>
      </w:pPr>
      <w:r>
        <w:rPr>
          <w:b/>
          <w:bCs/>
        </w:rPr>
        <w:t xml:space="preserve">Composition</w:t>
      </w:r>
      <w:r>
        <w:t xml:space="preserve">: A typical grinding slurry may contain 19.5% Nd, 2.4% Dy, 4.9% Pr, 0.8% B, 1.3% Co, and ~5.6% oxygen in the solid phase, with the balance being iron. The oil content in sludge from oil-based coolants can be as high as 51%.</w:t>
      </w:r>
    </w:p>
    <w:p>
      <w:pPr>
        <w:pStyle w:val="Compact"/>
        <w:numPr>
          <w:ilvl w:val="0"/>
          <w:numId w:val="1010"/>
        </w:numPr>
      </w:pPr>
      <w:r>
        <w:rPr>
          <w:b/>
          <w:bCs/>
        </w:rPr>
        <w:t xml:space="preserve">Surface Treatment Wastes</w:t>
      </w:r>
      <w:r>
        <w:t xml:space="preserve">:</w:t>
      </w:r>
    </w:p>
    <w:p>
      <w:pPr>
        <w:pStyle w:val="Compact"/>
        <w:numPr>
          <w:ilvl w:val="1"/>
          <w:numId w:val="1011"/>
        </w:numPr>
      </w:pPr>
      <w:r>
        <w:rPr>
          <w:b/>
          <w:bCs/>
        </w:rPr>
        <w:t xml:space="preserve">Spent Acids/Alkalines</w:t>
      </w:r>
      <w:r>
        <w:t xml:space="preserve">: These are corrosive hazardous wastes.</w:t>
      </w:r>
    </w:p>
    <w:p>
      <w:pPr>
        <w:pStyle w:val="Compact"/>
        <w:numPr>
          <w:ilvl w:val="1"/>
          <w:numId w:val="1011"/>
        </w:numPr>
      </w:pPr>
      <w:r>
        <w:rPr>
          <w:b/>
          <w:bCs/>
        </w:rPr>
        <w:t xml:space="preserve">Plating Sludge</w:t>
      </w:r>
      <w:r>
        <w:t xml:space="preserve">: Sludge from wastewater treatment contains high concentrations of metal hydroxides (e.g., Ni(OH)2, Cu(OH)2, Fe(OH)3) and is classified as hazardous waste. An example sludge contained 198 g/kg zinc and 129 g/kg iron (dry basis) with a moisture content of 60%.</w:t>
      </w:r>
    </w:p>
    <w:p>
      <w:pPr>
        <w:pStyle w:val="Compact"/>
        <w:numPr>
          <w:ilvl w:val="0"/>
          <w:numId w:val="1011"/>
        </w:numPr>
      </w:pPr>
      <w:r>
        <w:rPr>
          <w:b/>
          <w:bCs/>
        </w:rPr>
        <w:t xml:space="preserve">Combined Wastewater Characterization</w:t>
      </w:r>
      <w:r>
        <w:t xml:space="preserve">: The combined effluent from a magnet manufacturing facility before treatment is typically characterized by:</w:t>
      </w:r>
    </w:p>
    <w:p>
      <w:pPr>
        <w:pStyle w:val="Compact"/>
        <w:numPr>
          <w:ilvl w:val="1"/>
          <w:numId w:val="1012"/>
        </w:numPr>
      </w:pPr>
      <w:r>
        <w:rPr>
          <w:b/>
          <w:bCs/>
        </w:rPr>
        <w:t xml:space="preserve">pH</w:t>
      </w:r>
      <w:r>
        <w:t xml:space="preserve">: Varies widely due to batches of acidic and alkaline discharges.</w:t>
      </w:r>
    </w:p>
    <w:p>
      <w:pPr>
        <w:pStyle w:val="Compact"/>
        <w:numPr>
          <w:ilvl w:val="1"/>
          <w:numId w:val="1012"/>
        </w:numPr>
      </w:pPr>
      <w:r>
        <w:rPr>
          <w:b/>
          <w:bCs/>
        </w:rPr>
        <w:t xml:space="preserve">Total Suspended Solids (TSS)</w:t>
      </w:r>
      <w:r>
        <w:t xml:space="preserve">: High, primarily from machining fines and precipitated solids.</w:t>
      </w:r>
    </w:p>
    <w:p>
      <w:pPr>
        <w:pStyle w:val="Compact"/>
        <w:numPr>
          <w:ilvl w:val="1"/>
          <w:numId w:val="1012"/>
        </w:numPr>
      </w:pPr>
      <w:r>
        <w:rPr>
          <w:b/>
          <w:bCs/>
        </w:rPr>
        <w:t xml:space="preserve">Chemical Oxygen Demand (COD)</w:t>
      </w:r>
      <w:r>
        <w:t xml:space="preserve">: High, due to organic components from coolants, cleaners, and plating additives.</w:t>
      </w:r>
    </w:p>
    <w:p>
      <w:pPr>
        <w:pStyle w:val="Compact"/>
        <w:numPr>
          <w:ilvl w:val="1"/>
          <w:numId w:val="1012"/>
        </w:numPr>
      </w:pPr>
      <w:r>
        <w:rPr>
          <w:b/>
          <w:bCs/>
        </w:rPr>
        <w:t xml:space="preserve">Oil and Grease</w:t>
      </w:r>
      <w:r>
        <w:t xml:space="preserve">: Significant if oil-based coolants are used.</w:t>
      </w:r>
    </w:p>
    <w:p>
      <w:pPr>
        <w:pStyle w:val="Compact"/>
        <w:numPr>
          <w:ilvl w:val="1"/>
          <w:numId w:val="1012"/>
        </w:numPr>
      </w:pPr>
      <w:r>
        <w:rPr>
          <w:b/>
          <w:bCs/>
        </w:rPr>
        <w:t xml:space="preserve">Total Metals</w:t>
      </w:r>
      <w:r>
        <w:t xml:space="preserve">: Elevated concentrations of Nd, Dy, Fe, B, Ni, and Cu.</w:t>
      </w:r>
    </w:p>
    <w:bookmarkEnd w:id="27"/>
    <w:bookmarkStart w:id="32" w:name="Xe513537b193224da7d2bcff83835dccfee34d24"/>
    <w:p>
      <w:pPr>
        <w:pStyle w:val="Heading2"/>
      </w:pPr>
      <w:r>
        <w:t xml:space="preserve">4. TREATMENT PROCESSES — STEP-BY-STEP ENGINEERING DETAIL</w:t>
      </w:r>
    </w:p>
    <w:p>
      <w:pPr>
        <w:pStyle w:val="FirstParagraph"/>
      </w:pPr>
      <w:r>
        <w:t xml:space="preserve">The following sections detail the current standard treatment processes for the major waste streams in a permanent magnet manufacturing facility.</w:t>
      </w:r>
    </w:p>
    <w:bookmarkStart w:id="28" w:name="a-wastewater-treatment-plant"/>
    <w:p>
      <w:pPr>
        <w:pStyle w:val="Heading3"/>
      </w:pPr>
      <w:r>
        <w:t xml:space="preserve">A. WASTEWATER TREATMENT PLANT</w:t>
      </w:r>
    </w:p>
    <w:p>
      <w:pPr>
        <w:pStyle w:val="FirstParagraph"/>
      </w:pPr>
      <w:r>
        <w:t xml:space="preserve">A conventional chemical-physical wastewater treatment plant (WWTP) for a magnet facility follows a multi-step sequence.</w:t>
      </w:r>
    </w:p>
    <w:p>
      <w:pPr>
        <w:pStyle w:val="Compact"/>
        <w:numPr>
          <w:ilvl w:val="0"/>
          <w:numId w:val="1013"/>
        </w:numPr>
      </w:pPr>
      <w:r>
        <w:rPr>
          <w:b/>
          <w:bCs/>
        </w:rPr>
        <w:t xml:space="preserve">Step 1: Oil/Water Separation</w:t>
      </w:r>
      <w:r>
        <w:t xml:space="preserve">: For facilities using oil-based coolants, initial treatment involves oil removal. A common method is an oil/water separator or a Dissolved Air Flotation (DAF) unit to skim free and emulsified oils.</w:t>
      </w:r>
    </w:p>
    <w:p>
      <w:pPr>
        <w:pStyle w:val="Compact"/>
        <w:numPr>
          <w:ilvl w:val="0"/>
          <w:numId w:val="1013"/>
        </w:numPr>
      </w:pPr>
      <w:r>
        <w:rPr>
          <w:b/>
          <w:bCs/>
        </w:rPr>
        <w:t xml:space="preserve">Step 2: pH Adjustment &amp; Precipitation</w:t>
      </w:r>
      <w:r>
        <w:t xml:space="preserve">: The wastewater pH is raised to between 9.0 and 11.0 to precipitate dissolved metals as hydroxides. Lime (Ca(OH)2) or caustic soda (NaOH) are common reagents. For REEs, optimal precipitation occurs at a higher pH, often requiring a two-stage process for effective removal of both REEs and other metals like nickel and copper.</w:t>
      </w:r>
    </w:p>
    <w:p>
      <w:pPr>
        <w:pStyle w:val="Compact"/>
        <w:numPr>
          <w:ilvl w:val="0"/>
          <w:numId w:val="1013"/>
        </w:numPr>
      </w:pPr>
      <w:r>
        <w:rPr>
          <w:b/>
          <w:bCs/>
        </w:rPr>
        <w:t xml:space="preserve">Step 3: Coagulation/Flocculation</w:t>
      </w:r>
      <w:r>
        <w:t xml:space="preserve">: A coagulant such as ferric chloride (FeCl3) or polyaluminium chloride (PAC) is added to neutralize charged particles. This is followed by the addition of a polymer flocculant to agglomerate the small precipitated particles into larger, settleable flocs.</w:t>
      </w:r>
    </w:p>
    <w:p>
      <w:pPr>
        <w:pStyle w:val="Compact"/>
        <w:numPr>
          <w:ilvl w:val="0"/>
          <w:numId w:val="1013"/>
        </w:numPr>
      </w:pPr>
      <w:r>
        <w:rPr>
          <w:b/>
          <w:bCs/>
        </w:rPr>
        <w:t xml:space="preserve">Step 4: Clarification/Settling</w:t>
      </w:r>
      <w:r>
        <w:t xml:space="preserve">: The flocculated water flows into a clarifier (e.g., inclined plate or circular) where the solids settle out as sludge. The clarified water overflows for further treatment or discharge.</w:t>
      </w:r>
    </w:p>
    <w:p>
      <w:pPr>
        <w:pStyle w:val="Compact"/>
        <w:numPr>
          <w:ilvl w:val="0"/>
          <w:numId w:val="1013"/>
        </w:numPr>
      </w:pPr>
      <w:r>
        <w:rPr>
          <w:b/>
          <w:bCs/>
        </w:rPr>
        <w:t xml:space="preserve">Step 5: Sludge Dewatering</w:t>
      </w:r>
      <w:r>
        <w:t xml:space="preserve">: The sludge from the clarifier, typically with a low solids content (1-5%), is pumped to a dewatering unit, most commonly a filter press. The press forces water out of the sludge, producing a "filter cake" with a much higher solids concentration (typically 30-55% for metal hydroxide sludge). Filter presses for this application operate at pressures of 7 to 16 bar (100 to 225 psi).</w:t>
      </w:r>
    </w:p>
    <w:p>
      <w:pPr>
        <w:pStyle w:val="Compact"/>
        <w:numPr>
          <w:ilvl w:val="0"/>
          <w:numId w:val="1013"/>
        </w:numPr>
      </w:pPr>
      <w:r>
        <w:rPr>
          <w:b/>
          <w:bCs/>
        </w:rPr>
        <w:t xml:space="preserve">Step 6: Polishing</w:t>
      </w:r>
      <w:r>
        <w:t xml:space="preserve">: If required to meet stringent discharge limits, the clarified water may undergo polishing steps such as sand filtration, activated carbon adsorption (for organics), or ion exchange (for trace metals).</w:t>
      </w:r>
    </w:p>
    <w:bookmarkEnd w:id="28"/>
    <w:bookmarkStart w:id="29" w:name="b-sludge-management"/>
    <w:p>
      <w:pPr>
        <w:pStyle w:val="Heading3"/>
      </w:pPr>
      <w:r>
        <w:t xml:space="preserve">B. SLUDGE MANAGEMENT</w:t>
      </w:r>
    </w:p>
    <w:p>
      <w:pPr>
        <w:pStyle w:val="FirstParagraph"/>
      </w:pPr>
      <w:r>
        <w:t xml:space="preserve">The dewatered filter cake is the largest hazardous solid waste stream by volume.</w:t>
      </w:r>
    </w:p>
    <w:p>
      <w:pPr>
        <w:pStyle w:val="Compact"/>
        <w:numPr>
          <w:ilvl w:val="0"/>
          <w:numId w:val="1014"/>
        </w:numPr>
      </w:pPr>
      <w:r>
        <w:rPr>
          <w:b/>
          <w:bCs/>
        </w:rPr>
        <w:t xml:space="preserve">Volume and Composition</w:t>
      </w:r>
      <w:r>
        <w:t xml:space="preserve">: A facility producing 1,000 tonnes/year of magnets could generate hundreds of tonnes of dry solids in sludge annually. The composition reflects the magnet alloy and any plating metals, consisting primarily of rare earth and iron oxides/hydroxides.</w:t>
      </w:r>
    </w:p>
    <w:p>
      <w:pPr>
        <w:pStyle w:val="Compact"/>
        <w:numPr>
          <w:ilvl w:val="0"/>
          <w:numId w:val="1014"/>
        </w:numPr>
      </w:pPr>
      <w:r>
        <w:rPr>
          <w:b/>
          <w:bCs/>
        </w:rPr>
        <w:t xml:space="preserve">Disposal</w:t>
      </w:r>
      <w:r>
        <w:t xml:space="preserve">: The filter cake is typically transported to a certified hazardous waste landfill. Disposal costs are a major operational expense, varying by region but often in the range of several hundred USD per tonne.</w:t>
      </w:r>
    </w:p>
    <w:p>
      <w:pPr>
        <w:pStyle w:val="Compact"/>
        <w:numPr>
          <w:ilvl w:val="0"/>
          <w:numId w:val="1014"/>
        </w:numPr>
      </w:pPr>
      <w:r>
        <w:rPr>
          <w:b/>
          <w:bCs/>
        </w:rPr>
        <w:t xml:space="preserve">Recycling</w:t>
      </w:r>
      <w:r>
        <w:t xml:space="preserve">: While the sludge contains valuable REEs (20-30 wt%), commercial-scale recovery from manufacturing sludge is not yet widespread. The primary driver for sludge management remains environmental compliance and cost of disposal rather than value recovery.</w:t>
      </w:r>
    </w:p>
    <w:bookmarkEnd w:id="29"/>
    <w:bookmarkStart w:id="30" w:name="c-coolant-management"/>
    <w:p>
      <w:pPr>
        <w:pStyle w:val="Heading3"/>
      </w:pPr>
      <w:r>
        <w:t xml:space="preserve">C. COOLANT MANAGEMENT</w:t>
      </w:r>
    </w:p>
    <w:p>
      <w:pPr>
        <w:pStyle w:val="FirstParagraph"/>
      </w:pPr>
      <w:r>
        <w:t xml:space="preserve">Coolant lifecycle involves preparation, in-use monitoring for concentration, pH, and bacterial count, and eventual disposal.</w:t>
      </w:r>
    </w:p>
    <w:p>
      <w:pPr>
        <w:pStyle w:val="Compact"/>
        <w:numPr>
          <w:ilvl w:val="0"/>
          <w:numId w:val="1015"/>
        </w:numPr>
      </w:pPr>
      <w:r>
        <w:rPr>
          <w:b/>
          <w:bCs/>
        </w:rPr>
        <w:t xml:space="preserve">Treatment</w:t>
      </w:r>
      <w:r>
        <w:t xml:space="preserve">: Spent coolant emulsions are "cracked" using acid, salt, or heat to separate the oil and water phases. The oil phase is typically incinerated, and the aqueous phase is sent to the WWTP for treatment of dissolved metals and organic components.</w:t>
      </w:r>
    </w:p>
    <w:p>
      <w:pPr>
        <w:pStyle w:val="Compact"/>
        <w:numPr>
          <w:ilvl w:val="0"/>
          <w:numId w:val="1015"/>
        </w:numPr>
      </w:pPr>
      <w:r>
        <w:rPr>
          <w:b/>
          <w:bCs/>
        </w:rPr>
        <w:t xml:space="preserve">Volume and Cost</w:t>
      </w:r>
      <w:r>
        <w:t xml:space="preserve">: A proposed facility estimated generating 25 m³/week of spent coolant, which is disposed of as hazardous waste. Disposal costs are typically charged per cubic meter.</w:t>
      </w:r>
    </w:p>
    <w:p>
      <w:pPr>
        <w:pStyle w:val="Compact"/>
        <w:numPr>
          <w:ilvl w:val="0"/>
          <w:numId w:val="1015"/>
        </w:numPr>
      </w:pPr>
      <w:r>
        <w:rPr>
          <w:b/>
          <w:bCs/>
        </w:rPr>
        <w:t xml:space="preserve">Recycling</w:t>
      </w:r>
      <w:r>
        <w:t xml:space="preserve">: On-site coolant recycling systems using centrifuges or membrane filtration can extend coolant life and reduce disposal volumes, but require capital investment.</w:t>
      </w:r>
    </w:p>
    <w:bookmarkEnd w:id="30"/>
    <w:bookmarkStart w:id="31" w:name="d-plating-bath-and-rinse-water-treatment"/>
    <w:p>
      <w:pPr>
        <w:pStyle w:val="Heading3"/>
      </w:pPr>
      <w:r>
        <w:t xml:space="preserve">D. PLATING BATH AND RINSE WATER TREATMENT</w:t>
      </w:r>
    </w:p>
    <w:p>
      <w:pPr>
        <w:pStyle w:val="Compact"/>
        <w:numPr>
          <w:ilvl w:val="0"/>
          <w:numId w:val="1016"/>
        </w:numPr>
      </w:pPr>
      <w:r>
        <w:rPr>
          <w:b/>
          <w:bCs/>
        </w:rPr>
        <w:t xml:space="preserve">Spent Baths</w:t>
      </w:r>
      <w:r>
        <w:t xml:space="preserve">: Concentrated spent plating solutions are either treated on-site or hauled off-site as hazardous waste. Nickel can be recovered from spent Watts baths through electrolytic recovery, with an energy consumption of about 3.1 kWh/kg of Ni recovered.</w:t>
      </w:r>
    </w:p>
    <w:p>
      <w:pPr>
        <w:pStyle w:val="Compact"/>
        <w:numPr>
          <w:ilvl w:val="0"/>
          <w:numId w:val="1016"/>
        </w:numPr>
      </w:pPr>
      <w:r>
        <w:rPr>
          <w:b/>
          <w:bCs/>
        </w:rPr>
        <w:t xml:space="preserve">Rinse Water</w:t>
      </w:r>
      <w:r>
        <w:t xml:space="preserve">: Drag-out from plating tanks contaminates rinse waters. To minimize water usage and waste, multi-stage counter-current rinsing is a BAT. Ion exchange systems can be used on rinse waters to recover Ni and Cu, allowing the water to be recycled and the recovered metals to be returned to the plating bath.</w:t>
      </w:r>
    </w:p>
    <w:bookmarkEnd w:id="31"/>
    <w:bookmarkEnd w:id="32"/>
    <w:bookmarkStart w:id="38" w:name="X9cb1ab806cb1cb1b12d6f42d5bf11f6a10f6cff"/>
    <w:p>
      <w:pPr>
        <w:pStyle w:val="Heading2"/>
      </w:pPr>
      <w:r>
        <w:t xml:space="preserve">5. COSTS AND ECONOMICS</w:t>
      </w:r>
    </w:p>
    <w:p>
      <w:pPr>
        <w:pStyle w:val="FirstParagraph"/>
      </w:pPr>
      <w:r>
        <w:t xml:space="preserve">For a reference facility producing 1,000 tonnes/year of sintered NdFeB magnets, the costs of waste management are substantial.</w:t>
      </w:r>
    </w:p>
    <w:bookmarkStart w:id="33" w:name="a-waste-generation-volumes"/>
    <w:p>
      <w:pPr>
        <w:pStyle w:val="Heading3"/>
      </w:pPr>
      <w:r>
        <w:t xml:space="preserve">A. Waste Generation Volumes</w:t>
      </w:r>
    </w:p>
    <w:p>
      <w:pPr>
        <w:pStyle w:val="Compact"/>
        <w:numPr>
          <w:ilvl w:val="0"/>
          <w:numId w:val="1017"/>
        </w:numPr>
      </w:pPr>
      <w:r>
        <w:rPr>
          <w:b/>
          <w:bCs/>
        </w:rPr>
        <w:t xml:space="preserve">Total Machining Waste</w:t>
      </w:r>
      <w:r>
        <w:t xml:space="preserve">: Assuming a 25% material loss during machining, a 1,000 tpy facility would generate approximately 250 tonnes of swarf and sludge solids annually.</w:t>
      </w:r>
    </w:p>
    <w:p>
      <w:pPr>
        <w:pStyle w:val="Compact"/>
        <w:numPr>
          <w:ilvl w:val="0"/>
          <w:numId w:val="1017"/>
        </w:numPr>
      </w:pPr>
      <w:r>
        <w:rPr>
          <w:b/>
          <w:bCs/>
        </w:rPr>
        <w:t xml:space="preserve">Total Wastewater</w:t>
      </w:r>
      <w:r>
        <w:t xml:space="preserve">: Based on a new US facility's projections, a similar-sized plant might generate around 4,755 gallons/day (approx. 6,600 m³/year) of process wastewater.</w:t>
      </w:r>
    </w:p>
    <w:p>
      <w:pPr>
        <w:pStyle w:val="Compact"/>
        <w:numPr>
          <w:ilvl w:val="0"/>
          <w:numId w:val="1017"/>
        </w:numPr>
      </w:pPr>
      <w:r>
        <w:rPr>
          <w:b/>
          <w:bCs/>
        </w:rPr>
        <w:t xml:space="preserve">Spent Coolant</w:t>
      </w:r>
      <w:r>
        <w:t xml:space="preserve">: The same facility projects 25 m³/week, equating to 1,300 m³/year of spent coolant.</w:t>
      </w:r>
    </w:p>
    <w:bookmarkEnd w:id="33"/>
    <w:bookmarkStart w:id="34" w:name="b-treatment-costs-capex"/>
    <w:p>
      <w:pPr>
        <w:pStyle w:val="Heading3"/>
      </w:pPr>
      <w:r>
        <w:t xml:space="preserve">B. Treatment Costs (CAPEX)</w:t>
      </w:r>
    </w:p>
    <w:p>
      <w:pPr>
        <w:pStyle w:val="Compact"/>
        <w:numPr>
          <w:ilvl w:val="0"/>
          <w:numId w:val="1018"/>
        </w:numPr>
      </w:pPr>
      <w:r>
        <w:rPr>
          <w:b/>
          <w:bCs/>
        </w:rPr>
        <w:t xml:space="preserve">Wastewater Treatment Plant</w:t>
      </w:r>
      <w:r>
        <w:t xml:space="preserve">: For a flow rate of ~20-30 m³/day, a complete chemical precipitation and sludge dewatering system can have a CAPEX ranging from $400,000 to over $1.5 million, depending on complexity and automation. Major equipment includes clarifiers ($40,000 - $150,000), filter presses, chemical dosing systems, tanks, and pumps.</w:t>
      </w:r>
    </w:p>
    <w:bookmarkEnd w:id="34"/>
    <w:bookmarkStart w:id="35" w:name="c-treatment-costs-opex"/>
    <w:p>
      <w:pPr>
        <w:pStyle w:val="Heading3"/>
      </w:pPr>
      <w:r>
        <w:t xml:space="preserve">C. Treatment Costs (OPEX)</w:t>
      </w:r>
    </w:p>
    <w:p>
      <w:pPr>
        <w:pStyle w:val="Compact"/>
        <w:numPr>
          <w:ilvl w:val="0"/>
          <w:numId w:val="1019"/>
        </w:numPr>
      </w:pPr>
      <w:r>
        <w:rPr>
          <w:b/>
          <w:bCs/>
        </w:rPr>
        <w:t xml:space="preserve">Chemicals</w:t>
      </w:r>
      <w:r>
        <w:t xml:space="preserve">: Costs for lime/caustic, coagulants, and polymers can be significant. A 5,000 m³/day plant using a cerium-based process estimated annual chemical costs exceeding $1.5 million, with HCl being a major component.</w:t>
      </w:r>
    </w:p>
    <w:p>
      <w:pPr>
        <w:pStyle w:val="Compact"/>
        <w:numPr>
          <w:ilvl w:val="0"/>
          <w:numId w:val="1019"/>
        </w:numPr>
      </w:pPr>
      <w:r>
        <w:rPr>
          <w:b/>
          <w:bCs/>
        </w:rPr>
        <w:t xml:space="preserve">Sludge Disposal</w:t>
      </w:r>
      <w:r>
        <w:t xml:space="preserve">: This is often the largest single OPEX item. At a generation rate of 250 dry tonnes/year, and a disposal cost of $300-$1000/tonne, annual costs would be $75,000 - $250,000.</w:t>
      </w:r>
    </w:p>
    <w:p>
      <w:pPr>
        <w:pStyle w:val="Compact"/>
        <w:numPr>
          <w:ilvl w:val="0"/>
          <w:numId w:val="1019"/>
        </w:numPr>
      </w:pPr>
      <w:r>
        <w:rPr>
          <w:b/>
          <w:bCs/>
        </w:rPr>
        <w:t xml:space="preserve">Labor and Maintenance</w:t>
      </w:r>
      <w:r>
        <w:t xml:space="preserve">: Operating a WWTP requires dedicated staff. Maintenance is typically estimated at 3-5% of CAPEX annually.</w:t>
      </w:r>
    </w:p>
    <w:bookmarkEnd w:id="35"/>
    <w:bookmarkStart w:id="36" w:name="d-total-cost-of-waste-management"/>
    <w:p>
      <w:pPr>
        <w:pStyle w:val="Heading3"/>
      </w:pPr>
      <w:r>
        <w:t xml:space="preserve">D. Total Cost of Waste Management</w:t>
      </w:r>
    </w:p>
    <w:p>
      <w:pPr>
        <w:pStyle w:val="FirstParagraph"/>
      </w:pPr>
      <w:r>
        <w:t xml:space="preserve">The total annual cost of waste management can easily exceed several hundred thousand dollars, representing a significant cost per tonne of magnet produced. Sludge disposal and chemical consumption are typically the dominant cost drivers.</w:t>
      </w:r>
    </w:p>
    <w:bookmarkEnd w:id="36"/>
    <w:bookmarkStart w:id="37" w:name="e-value-of-metals-in-waste"/>
    <w:p>
      <w:pPr>
        <w:pStyle w:val="Heading3"/>
      </w:pPr>
      <w:r>
        <w:t xml:space="preserve">E. Value of Metals in Waste</w:t>
      </w:r>
    </w:p>
    <w:p>
      <w:pPr>
        <w:pStyle w:val="Compact"/>
        <w:numPr>
          <w:ilvl w:val="0"/>
          <w:numId w:val="1020"/>
        </w:numPr>
      </w:pPr>
      <w:r>
        <w:rPr>
          <w:b/>
          <w:bCs/>
        </w:rPr>
        <w:t xml:space="preserve">REE Content in Sludge</w:t>
      </w:r>
      <w:r>
        <w:t xml:space="preserve">: With a sludge generation of 250 tonnes/year (dry) and an average REE content of 25%, the sludge contains approximately 62.5 tonnes of REEs.</w:t>
      </w:r>
    </w:p>
    <w:p>
      <w:pPr>
        <w:pStyle w:val="Compact"/>
        <w:numPr>
          <w:ilvl w:val="0"/>
          <w:numId w:val="1020"/>
        </w:numPr>
      </w:pPr>
      <w:r>
        <w:rPr>
          <w:b/>
          <w:bCs/>
        </w:rPr>
        <w:t xml:space="preserve">Market Value</w:t>
      </w:r>
      <w:r>
        <w:t xml:space="preserve">: The market value of these REEs (primarily Nd, Pr, and Dy) can be substantial, often exceeding the cost of disposal. However, the economic viability of recovery depends on the capital and operating costs of a dedicated hydrometallurgical or pyrometallurgical recovery plant, which are currently high for on-site implementation at this scale.</w:t>
      </w:r>
    </w:p>
    <w:bookmarkEnd w:id="37"/>
    <w:bookmarkEnd w:id="38"/>
    <w:bookmarkStart w:id="39" w:name="X00c7f8410d9a61f3a2e0eb607dca48b926782f7"/>
    <w:p>
      <w:pPr>
        <w:pStyle w:val="Heading2"/>
      </w:pPr>
      <w:r>
        <w:t xml:space="preserve">6. REGULATORY REQUIREMENTS — SPECIFIC NUMERIC LIMITS</w:t>
      </w:r>
    </w:p>
    <w:p>
      <w:pPr>
        <w:pStyle w:val="FirstParagraph"/>
      </w:pPr>
      <w:r>
        <w:t xml:space="preserve">Wastewater discharges from magnet manufacturing facilities are regulated under metal finishing and nonferrous metals processing guidelines.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Pollutant</w:t>
            </w:r>
          </w:p>
        </w:tc>
        <w:tc>
          <w:tcPr/>
          <w:p>
            <w:pPr>
              <w:pStyle w:val="Compact"/>
              <w:jc w:val="left"/>
            </w:pPr>
            <w:r>
              <w:t xml:space="preserve">US EPA 40 CFR 433 (mg/L)</w:t>
            </w:r>
          </w:p>
        </w:tc>
        <w:tc>
          <w:tcPr/>
          <w:p>
            <w:pPr>
              <w:pStyle w:val="Compact"/>
              <w:jc w:val="left"/>
            </w:pPr>
            <w:r>
              <w:t xml:space="preserve">EU IED (FMP BREF) (mg/L)</w:t>
            </w:r>
          </w:p>
        </w:tc>
        <w:tc>
          <w:tcPr/>
          <w:p>
            <w:pPr>
              <w:pStyle w:val="Compact"/>
              <w:jc w:val="left"/>
            </w:pPr>
            <w:r>
              <w:t xml:space="preserve">China GB 25467-2010 (mg/L)</w:t>
            </w:r>
          </w:p>
        </w:tc>
      </w:tr>
      <w:tr>
        <w:tc>
          <w:tcPr/>
          <w:p>
            <w:pPr>
              <w:pStyle w:val="Compact"/>
            </w:pPr>
          </w:p>
        </w:tc>
        <w:tc>
          <w:tcPr/>
          <w:p>
            <w:pPr>
              <w:pStyle w:val="Compact"/>
              <w:jc w:val="left"/>
            </w:pPr>
            <w:r>
              <w:rPr>
                <w:b/>
                <w:bCs/>
              </w:rPr>
              <w:t xml:space="preserve">Monthly Average</w:t>
            </w:r>
          </w:p>
        </w:tc>
        <w:tc>
          <w:tcPr/>
          <w:p>
            <w:pPr>
              <w:pStyle w:val="Compact"/>
              <w:jc w:val="left"/>
            </w:pPr>
            <w:r>
              <w:rPr>
                <w:b/>
                <w:bCs/>
              </w:rPr>
              <w:t xml:space="preserve">Yearly Average</w:t>
            </w:r>
          </w:p>
        </w:tc>
        <w:tc>
          <w:tcPr/>
          <w:p>
            <w:pPr>
              <w:pStyle w:val="Compact"/>
              <w:jc w:val="left"/>
            </w:pPr>
            <w:r>
              <w:rPr>
                <w:b/>
                <w:bCs/>
              </w:rPr>
              <w:t xml:space="preserve">Daily Maximum</w:t>
            </w:r>
          </w:p>
        </w:tc>
      </w:tr>
      <w:tr>
        <w:tc>
          <w:tcPr/>
          <w:p>
            <w:pPr>
              <w:pStyle w:val="Compact"/>
              <w:jc w:val="left"/>
            </w:pPr>
            <w:r>
              <w:t xml:space="preserve">Copper (Cu)</w:t>
            </w:r>
          </w:p>
        </w:tc>
        <w:tc>
          <w:tcPr/>
          <w:p>
            <w:pPr>
              <w:pStyle w:val="Compact"/>
              <w:jc w:val="left"/>
            </w:pPr>
            <w:r>
              <w:t xml:space="preserve">2.07</w:t>
            </w:r>
          </w:p>
        </w:tc>
        <w:tc>
          <w:tcPr/>
          <w:p>
            <w:pPr>
              <w:pStyle w:val="Compact"/>
              <w:jc w:val="left"/>
            </w:pPr>
            <w:r>
              <w:t xml:space="preserve">0.005–0.2</w:t>
            </w:r>
          </w:p>
        </w:tc>
        <w:tc>
          <w:tcPr/>
          <w:p>
            <w:pPr>
              <w:pStyle w:val="Compact"/>
              <w:jc w:val="left"/>
            </w:pPr>
            <w:r>
              <w:t xml:space="preserve">0.5</w:t>
            </w:r>
          </w:p>
        </w:tc>
      </w:tr>
      <w:tr>
        <w:tc>
          <w:tcPr/>
          <w:p>
            <w:pPr>
              <w:pStyle w:val="Compact"/>
              <w:jc w:val="left"/>
            </w:pPr>
            <w:r>
              <w:t xml:space="preserve">Nickel (Ni)</w:t>
            </w:r>
          </w:p>
        </w:tc>
        <w:tc>
          <w:tcPr/>
          <w:p>
            <w:pPr>
              <w:pStyle w:val="Compact"/>
              <w:jc w:val="left"/>
            </w:pPr>
            <w:r>
              <w:t xml:space="preserve">2.38</w:t>
            </w:r>
          </w:p>
        </w:tc>
        <w:tc>
          <w:tcPr/>
          <w:p>
            <w:pPr>
              <w:pStyle w:val="Compact"/>
              <w:jc w:val="left"/>
            </w:pPr>
            <w:r>
              <w:t xml:space="preserve">0.01–0.2</w:t>
            </w:r>
          </w:p>
        </w:tc>
        <w:tc>
          <w:tcPr/>
          <w:p>
            <w:pPr>
              <w:pStyle w:val="Compact"/>
              <w:jc w:val="left"/>
            </w:pPr>
            <w:r>
              <w:t xml:space="preserve">0.5</w:t>
            </w:r>
          </w:p>
        </w:tc>
      </w:tr>
      <w:tr>
        <w:tc>
          <w:tcPr/>
          <w:p>
            <w:pPr>
              <w:pStyle w:val="Compact"/>
              <w:jc w:val="left"/>
            </w:pPr>
            <w:r>
              <w:t xml:space="preserve">Zinc (Zn)</w:t>
            </w:r>
          </w:p>
        </w:tc>
        <w:tc>
          <w:tcPr/>
          <w:p>
            <w:pPr>
              <w:pStyle w:val="Compact"/>
              <w:jc w:val="left"/>
            </w:pPr>
            <w:r>
              <w:t xml:space="preserve">1.48</w:t>
            </w:r>
          </w:p>
        </w:tc>
        <w:tc>
          <w:tcPr/>
          <w:p>
            <w:pPr>
              <w:pStyle w:val="Compact"/>
              <w:jc w:val="left"/>
            </w:pPr>
            <w:r>
              <w:t xml:space="preserve">0.05–1</w:t>
            </w:r>
          </w:p>
        </w:tc>
        <w:tc>
          <w:tcPr/>
          <w:p>
            <w:pPr>
              <w:pStyle w:val="Compact"/>
              <w:jc w:val="left"/>
            </w:pPr>
            <w:r>
              <w:t xml:space="preserve">1.5</w:t>
            </w:r>
          </w:p>
        </w:tc>
      </w:tr>
      <w:tr>
        <w:tc>
          <w:tcPr/>
          <w:p>
            <w:pPr>
              <w:pStyle w:val="Compact"/>
              <w:jc w:val="left"/>
            </w:pPr>
            <w:r>
              <w:t xml:space="preserve">Iron (Fe)</w:t>
            </w:r>
          </w:p>
        </w:tc>
        <w:tc>
          <w:tcPr/>
          <w:p>
            <w:pPr>
              <w:pStyle w:val="Compact"/>
              <w:jc w:val="left"/>
            </w:pPr>
            <w:r>
              <w:t xml:space="preserve">-</w:t>
            </w:r>
          </w:p>
        </w:tc>
        <w:tc>
          <w:tcPr/>
          <w:p>
            <w:pPr>
              <w:pStyle w:val="Compact"/>
              <w:jc w:val="left"/>
            </w:pPr>
            <w:r>
              <w:t xml:space="preserve">1–5</w:t>
            </w:r>
          </w:p>
        </w:tc>
        <w:tc>
          <w:tcPr/>
          <w:p>
            <w:pPr>
              <w:pStyle w:val="Compact"/>
              <w:jc w:val="left"/>
            </w:pPr>
            <w:r>
              <w:t xml:space="preserve">5.0</w:t>
            </w:r>
          </w:p>
        </w:tc>
      </w:tr>
      <w:tr>
        <w:tc>
          <w:tcPr/>
          <w:p>
            <w:pPr>
              <w:pStyle w:val="Compact"/>
              <w:jc w:val="left"/>
            </w:pPr>
            <w:r>
              <w:t xml:space="preserve">Total REE</w:t>
            </w:r>
          </w:p>
        </w:tc>
        <w:tc>
          <w:tcPr/>
          <w:p>
            <w:pPr>
              <w:pStyle w:val="Compact"/>
              <w:jc w:val="left"/>
            </w:pPr>
            <w:r>
              <w:t xml:space="preserve">-</w:t>
            </w:r>
          </w:p>
        </w:tc>
        <w:tc>
          <w:tcPr/>
          <w:p>
            <w:pPr>
              <w:pStyle w:val="Compact"/>
              <w:jc w:val="left"/>
            </w:pPr>
            <w:r>
              <w:t xml:space="preserve">-</w:t>
            </w:r>
          </w:p>
        </w:tc>
        <w:tc>
          <w:tcPr/>
          <w:p>
            <w:pPr>
              <w:pStyle w:val="Compact"/>
              <w:jc w:val="left"/>
            </w:pPr>
            <w:r>
              <w:t xml:space="preserve">0.5</w:t>
            </w:r>
          </w:p>
        </w:tc>
      </w:tr>
      <w:tr>
        <w:tc>
          <w:tcPr/>
          <w:p>
            <w:pPr>
              <w:pStyle w:val="Compact"/>
              <w:jc w:val="left"/>
            </w:pPr>
            <w:r>
              <w:t xml:space="preserve">Boron (B)</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TSS</w:t>
            </w:r>
          </w:p>
        </w:tc>
        <w:tc>
          <w:tcPr/>
          <w:p>
            <w:pPr>
              <w:pStyle w:val="Compact"/>
              <w:jc w:val="left"/>
            </w:pPr>
            <w:r>
              <w:t xml:space="preserve">31</w:t>
            </w:r>
          </w:p>
        </w:tc>
        <w:tc>
          <w:tcPr/>
          <w:p>
            <w:pPr>
              <w:pStyle w:val="Compact"/>
              <w:jc w:val="left"/>
            </w:pPr>
            <w:r>
              <w:t xml:space="preserve">5–30</w:t>
            </w:r>
          </w:p>
        </w:tc>
        <w:tc>
          <w:tcPr/>
          <w:p>
            <w:pPr>
              <w:pStyle w:val="Compact"/>
              <w:jc w:val="left"/>
            </w:pPr>
            <w:r>
              <w:t xml:space="preserve">30</w:t>
            </w:r>
          </w:p>
        </w:tc>
      </w:tr>
      <w:tr>
        <w:tc>
          <w:tcPr/>
          <w:p>
            <w:pPr>
              <w:pStyle w:val="Compact"/>
              <w:jc w:val="left"/>
            </w:pPr>
            <w:r>
              <w:t xml:space="preserve">COD</w:t>
            </w:r>
          </w:p>
        </w:tc>
        <w:tc>
          <w:tcPr/>
          <w:p>
            <w:pPr>
              <w:pStyle w:val="Compact"/>
              <w:jc w:val="left"/>
            </w:pPr>
            <w:r>
              <w:t xml:space="preserve">-</w:t>
            </w:r>
          </w:p>
        </w:tc>
        <w:tc>
          <w:tcPr/>
          <w:p>
            <w:pPr>
              <w:pStyle w:val="Compact"/>
              <w:jc w:val="left"/>
            </w:pPr>
            <w:r>
              <w:t xml:space="preserve">30–90</w:t>
            </w:r>
          </w:p>
        </w:tc>
        <w:tc>
          <w:tcPr/>
          <w:p>
            <w:pPr>
              <w:pStyle w:val="Compact"/>
              <w:jc w:val="left"/>
            </w:pPr>
            <w:r>
              <w:t xml:space="preserve">100</w:t>
            </w:r>
          </w:p>
        </w:tc>
      </w:tr>
      <w:tr>
        <w:tc>
          <w:tcPr/>
          <w:p>
            <w:pPr>
              <w:pStyle w:val="Compact"/>
              <w:jc w:val="left"/>
            </w:pPr>
            <w:r>
              <w:t xml:space="preserve">pH</w:t>
            </w:r>
          </w:p>
        </w:tc>
        <w:tc>
          <w:tcPr/>
          <w:p>
            <w:pPr>
              <w:pStyle w:val="Compact"/>
              <w:jc w:val="left"/>
            </w:pPr>
            <w:r>
              <w:t xml:space="preserve">6.0–9.0</w:t>
            </w:r>
          </w:p>
        </w:tc>
        <w:tc>
          <w:tcPr/>
          <w:p>
            <w:pPr>
              <w:pStyle w:val="Compact"/>
              <w:jc w:val="left"/>
            </w:pPr>
            <w:r>
              <w:t xml:space="preserve">6.0–9.5</w:t>
            </w:r>
          </w:p>
        </w:tc>
        <w:tc>
          <w:tcPr/>
          <w:p>
            <w:pPr>
              <w:pStyle w:val="Compact"/>
              <w:jc w:val="left"/>
            </w:pPr>
            <w:r>
              <w:t xml:space="preserve">6.0–9.0</w:t>
            </w:r>
          </w:p>
        </w:tc>
      </w:tr>
    </w:tbl>
    <w:p>
      <w:pPr>
        <w:pStyle w:val="BodyText"/>
      </w:pPr>
      <w:r>
        <w:rPr>
          <w:i/>
          <w:iCs/>
        </w:rPr>
        <w:t xml:space="preserve">Note: EU limits are BAT-AELs for direct discharge from the Ferrous Metals Processing (FMP) BREF, as a proxy. NFM and STM BREFs provide similar ranges.</w:t>
      </w:r>
    </w:p>
    <w:p>
      <w:pPr>
        <w:pStyle w:val="BodyText"/>
      </w:pPr>
      <w:r>
        <w:t xml:space="preserve">The most difficult contaminants to manage are often the rare earth elements themselves, as they are not specifically regulated in all jurisdictions and their precipitation chemistry can be complex, especially in mixed-metal waste streams. Achieving very low levels of multiple metals simultaneously requires precise pH control, often in multiple stages.</w:t>
      </w:r>
    </w:p>
    <w:bookmarkEnd w:id="39"/>
    <w:bookmarkStart w:id="40" w:name="Xd5d6ff3bd5a0232587468b87b2626413f538e3f"/>
    <w:p>
      <w:pPr>
        <w:pStyle w:val="Heading2"/>
      </w:pPr>
      <w:r>
        <w:t xml:space="preserve">7. METAL MASS BALANCE</w:t>
      </w:r>
    </w:p>
    <w:p>
      <w:pPr>
        <w:pStyle w:val="FirstParagraph"/>
      </w:pPr>
      <w:r>
        <w:t xml:space="preserve">For a reference 1,000 tonnes/year NdFeB facility, a simplified mass balance highlights material losses. Assuming a typical alloy composition of 27% Nd, 4% Pr, 1% Dy, 67% Fe, and 1% B:</w:t>
      </w:r>
    </w:p>
    <w:p>
      <w:pPr>
        <w:pStyle w:val="Compact"/>
        <w:numPr>
          <w:ilvl w:val="0"/>
          <w:numId w:val="1021"/>
        </w:numPr>
      </w:pPr>
      <w:r>
        <w:rPr>
          <w:b/>
          <w:bCs/>
        </w:rPr>
        <w:t xml:space="preserve">Total Input</w:t>
      </w:r>
      <w:r>
        <w:t xml:space="preserve">: ~1,430 tonnes/year of raw alloy (assuming a 70% overall yield).</w:t>
      </w:r>
    </w:p>
    <w:p>
      <w:pPr>
        <w:pStyle w:val="Compact"/>
        <w:numPr>
          <w:ilvl w:val="1"/>
          <w:numId w:val="1022"/>
        </w:numPr>
      </w:pPr>
      <w:r>
        <w:t xml:space="preserve">Nd: ~386 tonnes</w:t>
      </w:r>
    </w:p>
    <w:p>
      <w:pPr>
        <w:pStyle w:val="Compact"/>
        <w:numPr>
          <w:ilvl w:val="1"/>
          <w:numId w:val="1022"/>
        </w:numPr>
      </w:pPr>
      <w:r>
        <w:t xml:space="preserve">Pr: ~57 tonnes</w:t>
      </w:r>
    </w:p>
    <w:p>
      <w:pPr>
        <w:pStyle w:val="Compact"/>
        <w:numPr>
          <w:ilvl w:val="1"/>
          <w:numId w:val="1022"/>
        </w:numPr>
      </w:pPr>
      <w:r>
        <w:t xml:space="preserve">Dy: ~14 tonnes</w:t>
      </w:r>
    </w:p>
    <w:p>
      <w:pPr>
        <w:pStyle w:val="Compact"/>
        <w:numPr>
          <w:ilvl w:val="1"/>
          <w:numId w:val="1022"/>
        </w:numPr>
      </w:pPr>
      <w:r>
        <w:t xml:space="preserve">Fe: ~958 tonnes</w:t>
      </w:r>
    </w:p>
    <w:p>
      <w:pPr>
        <w:pStyle w:val="Compact"/>
        <w:numPr>
          <w:ilvl w:val="1"/>
          <w:numId w:val="1022"/>
        </w:numPr>
      </w:pPr>
      <w:r>
        <w:t xml:space="preserve">B: ~14 tonnes</w:t>
      </w:r>
    </w:p>
    <w:p>
      <w:pPr>
        <w:pStyle w:val="Compact"/>
        <w:numPr>
          <w:ilvl w:val="0"/>
          <w:numId w:val="1022"/>
        </w:numPr>
      </w:pPr>
      <w:r>
        <w:rPr>
          <w:b/>
          <w:bCs/>
        </w:rPr>
        <w:t xml:space="preserve">Finished Magnets</w:t>
      </w:r>
      <w:r>
        <w:t xml:space="preserve">: 1,000 tonnes/year.</w:t>
      </w:r>
    </w:p>
    <w:p>
      <w:pPr>
        <w:pStyle w:val="Compact"/>
        <w:numPr>
          <w:ilvl w:val="1"/>
          <w:numId w:val="1023"/>
        </w:numPr>
      </w:pPr>
      <w:r>
        <w:t xml:space="preserve">Nd: ~270 tonnes</w:t>
      </w:r>
    </w:p>
    <w:p>
      <w:pPr>
        <w:pStyle w:val="Compact"/>
        <w:numPr>
          <w:ilvl w:val="1"/>
          <w:numId w:val="1023"/>
        </w:numPr>
      </w:pPr>
      <w:r>
        <w:t xml:space="preserve">Pr: ~40 tonnes</w:t>
      </w:r>
    </w:p>
    <w:p>
      <w:pPr>
        <w:pStyle w:val="Compact"/>
        <w:numPr>
          <w:ilvl w:val="1"/>
          <w:numId w:val="1023"/>
        </w:numPr>
      </w:pPr>
      <w:r>
        <w:t xml:space="preserve">Dy: ~10 tonnes</w:t>
      </w:r>
    </w:p>
    <w:p>
      <w:pPr>
        <w:pStyle w:val="Compact"/>
        <w:numPr>
          <w:ilvl w:val="1"/>
          <w:numId w:val="1023"/>
        </w:numPr>
      </w:pPr>
      <w:r>
        <w:t xml:space="preserve">Fe: ~670 tonnes</w:t>
      </w:r>
    </w:p>
    <w:p>
      <w:pPr>
        <w:pStyle w:val="Compact"/>
        <w:numPr>
          <w:ilvl w:val="1"/>
          <w:numId w:val="1023"/>
        </w:numPr>
      </w:pPr>
      <w:r>
        <w:t xml:space="preserve">B: ~10 tonnes</w:t>
      </w:r>
    </w:p>
    <w:p>
      <w:pPr>
        <w:pStyle w:val="Compact"/>
        <w:numPr>
          <w:ilvl w:val="0"/>
          <w:numId w:val="1023"/>
        </w:numPr>
      </w:pPr>
      <w:r>
        <w:rPr>
          <w:b/>
          <w:bCs/>
        </w:rPr>
        <w:t xml:space="preserve">Total Waste Losses</w:t>
      </w:r>
      <w:r>
        <w:t xml:space="preserve">: ~430 tonnes/year.</w:t>
      </w:r>
    </w:p>
    <w:p>
      <w:pPr>
        <w:pStyle w:val="Compact"/>
        <w:numPr>
          <w:ilvl w:val="1"/>
          <w:numId w:val="1024"/>
        </w:numPr>
      </w:pPr>
      <w:r>
        <w:rPr>
          <w:b/>
          <w:bCs/>
        </w:rPr>
        <w:t xml:space="preserve">Powder/Pressing Loss (~5%)</w:t>
      </w:r>
      <w:r>
        <w:t xml:space="preserve">: ~21.5 tonnes (primarily alloy powder)</w:t>
      </w:r>
    </w:p>
    <w:p>
      <w:pPr>
        <w:pStyle w:val="Compact"/>
        <w:numPr>
          <w:ilvl w:val="1"/>
          <w:numId w:val="1024"/>
        </w:numPr>
      </w:pPr>
      <w:r>
        <w:rPr>
          <w:b/>
          <w:bCs/>
        </w:rPr>
        <w:t xml:space="preserve">Sintering Rejects (~5%)</w:t>
      </w:r>
      <w:r>
        <w:t xml:space="preserve">: ~21.5 tonnes (sintered blocks)</w:t>
      </w:r>
    </w:p>
    <w:p>
      <w:pPr>
        <w:pStyle w:val="Compact"/>
        <w:numPr>
          <w:ilvl w:val="1"/>
          <w:numId w:val="1024"/>
        </w:numPr>
      </w:pPr>
      <w:r>
        <w:rPr>
          <w:b/>
          <w:bCs/>
        </w:rPr>
        <w:t xml:space="preserve">Machining Loss (~20%)</w:t>
      </w:r>
      <w:r>
        <w:t xml:space="preserve">: ~86 tonnes (as dry solids in sludge/swarf)</w:t>
      </w:r>
    </w:p>
    <w:p>
      <w:pPr>
        <w:pStyle w:val="Compact"/>
        <w:numPr>
          <w:ilvl w:val="2"/>
          <w:numId w:val="1025"/>
        </w:numPr>
      </w:pPr>
      <w:r>
        <w:t xml:space="preserve">Contains ~21.5 tonnes Nd, ~3.4 tonnes Pr, ~0.9 tonnes Dy</w:t>
      </w:r>
    </w:p>
    <w:p>
      <w:pPr>
        <w:pStyle w:val="Compact"/>
        <w:numPr>
          <w:ilvl w:val="1"/>
          <w:numId w:val="1025"/>
        </w:numPr>
      </w:pPr>
      <w:r>
        <w:rPr>
          <w:b/>
          <w:bCs/>
        </w:rPr>
        <w:t xml:space="preserve">Surface Treatment Loss</w:t>
      </w:r>
      <w:r>
        <w:t xml:space="preserve">: Minor mass loss from etching, but contributes dissolved metals to wastewater.</w:t>
      </w:r>
    </w:p>
    <w:p>
      <w:pPr>
        <w:pStyle w:val="FirstParagraph"/>
      </w:pPr>
      <w:r>
        <w:t xml:space="preserve">This estimation indicates that approximately 116 tonnes of Nd, 17 tonnes of Pr, and 4 tonnes of Dy are lost to various waste streams annually for every 1,000 tonnes of magnets produced.</w:t>
      </w:r>
    </w:p>
    <w:bookmarkEnd w:id="40"/>
    <w:bookmarkStart w:id="41" w:name="X143d3f6557e45f862a29346b86d356a2d0f722a"/>
    <w:p>
      <w:pPr>
        <w:pStyle w:val="Heading2"/>
      </w:pPr>
      <w:r>
        <w:t xml:space="preserve">8. ENGINEERING GAPS AND RECOMMENDATIONS</w:t>
      </w:r>
    </w:p>
    <w:p>
      <w:pPr>
        <w:pStyle w:val="FirstParagraph"/>
      </w:pPr>
      <w:r>
        <w:t xml:space="preserve">A significant gap in the publicly available literature is the lack of comprehensive, facility-scale operational data that links waste volumes, compositions, and treatment costs directly to magnet production tonnage. Most data comes from lab-scale recycling studies or environmental assessments with estimated figures. To design an advanced or alternative treatment system, an engineer would require:</w:t>
      </w:r>
    </w:p>
    <w:p>
      <w:pPr>
        <w:pStyle w:val="Compact"/>
        <w:numPr>
          <w:ilvl w:val="0"/>
          <w:numId w:val="1026"/>
        </w:numPr>
      </w:pPr>
      <w:r>
        <w:t xml:space="preserve">Detailed, time-series data on the flow rates and compositions of individual wastewater streams (e.g., grinder effluent, plating rinses, acid pickles) to optimize segregated treatment.</w:t>
      </w:r>
    </w:p>
    <w:p>
      <w:pPr>
        <w:pStyle w:val="Compact"/>
        <w:numPr>
          <w:ilvl w:val="0"/>
          <w:numId w:val="1026"/>
        </w:numPr>
      </w:pPr>
      <w:r>
        <w:t xml:space="preserve">Particle size distribution and settling characteristics of machining sludge to better design clarifiers and dewatering equipment.</w:t>
      </w:r>
    </w:p>
    <w:p>
      <w:pPr>
        <w:pStyle w:val="Compact"/>
        <w:numPr>
          <w:ilvl w:val="0"/>
          <w:numId w:val="1026"/>
        </w:numPr>
      </w:pPr>
      <w:r>
        <w:t xml:space="preserve">Leachability data (e.g., TCLP) for dewatered sludge to assess disposal options and recycling potential.</w:t>
      </w:r>
    </w:p>
    <w:p>
      <w:pPr>
        <w:pStyle w:val="Compact"/>
        <w:numPr>
          <w:ilvl w:val="0"/>
          <w:numId w:val="1026"/>
        </w:numPr>
      </w:pPr>
      <w:r>
        <w:t xml:space="preserve">Pilot-scale testing data for emerging technologies on actual magnet manufacturing wastewater.</w:t>
      </w:r>
    </w:p>
    <w:p>
      <w:pPr>
        <w:pStyle w:val="FirstParagraph"/>
      </w:pPr>
      <w:r>
        <w:rPr>
          <w:b/>
          <w:bCs/>
        </w:rPr>
        <w:t xml:space="preserve">Emerging Technologies</w:t>
      </w:r>
      <w:r>
        <w:t xml:space="preserve">:</w:t>
      </w:r>
    </w:p>
    <w:p>
      <w:pPr>
        <w:pStyle w:val="Compact"/>
        <w:numPr>
          <w:ilvl w:val="0"/>
          <w:numId w:val="1027"/>
        </w:numPr>
      </w:pPr>
      <w:r>
        <w:rPr>
          <w:b/>
          <w:bCs/>
        </w:rPr>
        <w:t xml:space="preserve">Membrane Filtration (RO/NF)</w:t>
      </w:r>
      <w:r>
        <w:t xml:space="preserve">: Reverse osmosis and nanofiltration can achieve very high-quality effluent for water reuse and can concentrate dissolved metals, but they face challenges with membrane fouling from oils and precipitated solids. Costs are higher, with specific energy consumption for RO potentially reaching 20.5 kWh/m³.</w:t>
      </w:r>
    </w:p>
    <w:p>
      <w:pPr>
        <w:pStyle w:val="Compact"/>
        <w:numPr>
          <w:ilvl w:val="0"/>
          <w:numId w:val="1027"/>
        </w:numPr>
      </w:pPr>
      <w:r>
        <w:rPr>
          <w:b/>
          <w:bCs/>
        </w:rPr>
        <w:t xml:space="preserve">Selective Adsorbents</w:t>
      </w:r>
      <w:r>
        <w:t xml:space="preserve">: Functionalized resins or chelating materials could selectively target and recover high-value REEs from dilute rinse waters, but their capacity, regeneration, and cost-effectiveness in complex industrial streams need further validation.</w:t>
      </w:r>
    </w:p>
    <w:p>
      <w:pPr>
        <w:pStyle w:val="Compact"/>
        <w:numPr>
          <w:ilvl w:val="0"/>
          <w:numId w:val="1027"/>
        </w:numPr>
      </w:pPr>
      <w:r>
        <w:rPr>
          <w:b/>
          <w:bCs/>
        </w:rPr>
        <w:t xml:space="preserve">Zero-Liquid-Discharge (ZLD)</w:t>
      </w:r>
      <w:r>
        <w:t xml:space="preserve">: ZLD systems, typically using evaporators and crystallizers, can eliminate wastewater discharge entirely but are highly energy-intensive and have a high CAPEX. A 1-20 GPM ZLD system can cost between $250,000 and $2 million.</w:t>
      </w:r>
    </w:p>
    <w:p>
      <w:pPr>
        <w:pStyle w:val="Compact"/>
        <w:numPr>
          <w:ilvl w:val="0"/>
          <w:numId w:val="1027"/>
        </w:numPr>
      </w:pPr>
      <w:r>
        <w:rPr>
          <w:b/>
          <w:bCs/>
        </w:rPr>
        <w:t xml:space="preserve">Biological Treatment</w:t>
      </w:r>
      <w:r>
        <w:t xml:space="preserve">: While not common for the high-metal, low-BOD wastewater from magnet manufacturing, biosorption using algae or other biomass has been studied for REE recovery at lab scale, with reported adsorption capacities of 25-65 mg/g for lanthanum. Commercial application is not yet established.</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2026-02-12T13:24:40Z</dcterms:created>
  <dcterms:modified xsi:type="dcterms:W3CDTF">2026-02-12T13:24:40Z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