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xecutive-synthesis"/>
    <w:p>
      <w:pPr>
        <w:pStyle w:val="Heading2"/>
      </w:pPr>
      <w:r>
        <w:t xml:space="preserve">Executive Synthesis</w:t>
      </w:r>
    </w:p>
    <w:p>
      <w:pPr>
        <w:pStyle w:val="FirstParagraph"/>
      </w:pPr>
      <w:r>
        <w:t xml:space="preserve">The executable market for a biological REE recovery process from NdFeB magnet manufacturing waste is anchored in a compelling compliance-driven business model, with a critical and fleeting "design-in" window between 2024 and 2029. A significant buildout of non-Chinese magnet manufacturing capacity is underway in the US and EU, creating a time-sensitive opportunity to be specified into new plant designs as the default wastewater and sludge management solution. The primary value proposition is not REE commodity recovery, but rather avoided and reduced compliance costs for plant operators. These costs include high operational expenses for wastewater treatment and substantial, geographically variable fees for the disposal of hazardous metal-bearing sludge. Manufacturing waste streams, particularly grinding sludge and swarf, contain economically significant concentrations of Nd, Pr, and Dy (totaling up to 30-37 wt%) but are contaminated with high levels of iron, oils, and other additives that complicate treatment. Existing regulations in the EU (IED/BREF) and US (EPA Metal Finishing/Nonferrous Metals categories) impose stringent effluent limits for competing metals like chromium, nickel, and zinc, and enforcement actions carry penalties reaching tens to hundreds of thousands of dollars, plus mandatory upgrades. This creates a clear pain point for operators, making a compliance-first solution that reduces sludge volume, lowers its hazardous classification, and simplifies permitting a high-value proposition. The secondary upside from REE sales is a bonus, insulating the business model from commodity price volatility.</w:t>
      </w:r>
    </w:p>
    <w:bookmarkEnd w:id="20"/>
    <w:bookmarkStart w:id="21" w:name="plant-capacity-buildout"/>
    <w:p>
      <w:pPr>
        <w:pStyle w:val="Heading2"/>
      </w:pPr>
      <w:r>
        <w:t xml:space="preserve">Plant Capacity Buildout</w:t>
      </w:r>
    </w:p>
    <w:p>
      <w:pPr>
        <w:pStyle w:val="FirstParagraph"/>
      </w:pPr>
      <w:r>
        <w:t xml:space="preserve">A significant expansion of NdFeB magnet manufacturing capacity is underway in the United States and Europe, driven by a strategic imperative to build non-Chinese supply chains. This buildout presents a critical "design-in" window for new waste treatment technologies. Integrating a novel REE recovery process during a new plant's design and commissioning phase (typically 2024-2029 for the announced projects) is substantially more efficient and less disruptive than retrofitting an existing, operational facility. Targeting engineering and environmental leads at these companies during their planning stages is the most executable beachhead strategy.</w:t>
      </w:r>
    </w:p>
    <w:p>
      <w:pPr>
        <w:pStyle w:val="BodyText"/>
      </w:pPr>
      <w:r>
        <w:t xml:space="preserve">Key announced capacity additions include: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Company Name</w:t>
            </w:r>
          </w:p>
        </w:tc>
        <w:tc>
          <w:tcPr/>
          <w:p>
            <w:pPr>
              <w:pStyle w:val="Compact"/>
            </w:pPr>
            <w:r>
              <w:t xml:space="preserve">Facility Location</w:t>
            </w:r>
          </w:p>
        </w:tc>
        <w:tc>
          <w:tcPr/>
          <w:p>
            <w:pPr>
              <w:pStyle w:val="Compact"/>
            </w:pPr>
            <w:r>
              <w:t xml:space="preserve">Capacity (Tonnes/Year)</w:t>
            </w:r>
          </w:p>
        </w:tc>
        <w:tc>
          <w:tcPr/>
          <w:p>
            <w:pPr>
              <w:pStyle w:val="Compact"/>
            </w:pPr>
            <w:r>
              <w:t xml:space="preserve">Commissioning Year</w:t>
            </w:r>
          </w:p>
        </w:tc>
        <w:tc>
          <w:tcPr/>
          <w:p>
            <w:pPr>
              <w:pStyle w:val="Compact"/>
            </w:pPr>
            <w:r>
              <w:t xml:space="preserve">Investment Amount</w:t>
            </w:r>
          </w:p>
        </w:tc>
        <w:tc>
          <w:tcPr/>
          <w:p>
            <w:pPr>
              <w:pStyle w:val="Compact"/>
            </w:pPr>
            <w:r>
              <w:t xml:space="preserve">Status (as of early 2026)</w:t>
            </w:r>
          </w:p>
        </w:tc>
      </w:tr>
      <w:tr>
        <w:tc>
          <w:tcPr/>
          <w:p>
            <w:pPr>
              <w:pStyle w:val="Compact"/>
            </w:pPr>
            <w:r>
              <w:rPr>
                <w:b/>
                <w:bCs/>
              </w:rPr>
              <w:t xml:space="preserve">MP Materials</w:t>
            </w:r>
          </w:p>
        </w:tc>
        <w:tc>
          <w:tcPr/>
          <w:p>
            <w:pPr>
              <w:pStyle w:val="Compact"/>
            </w:pPr>
            <w:r>
              <w:t xml:space="preserve">Fort Worth, TX, USA</w:t>
            </w:r>
          </w:p>
        </w:tc>
        <w:tc>
          <w:tcPr/>
          <w:p>
            <w:pPr>
              <w:pStyle w:val="Compact"/>
            </w:pPr>
            <w:r>
              <w:t xml:space="preserve">~1,000</w:t>
            </w:r>
          </w:p>
        </w:tc>
        <w:tc>
          <w:tcPr/>
          <w:p>
            <w:pPr>
              <w:pStyle w:val="Compact"/>
            </w:pPr>
            <w:r>
              <w:t xml:space="preserve">Production ramp began late 2025</w:t>
            </w:r>
          </w:p>
        </w:tc>
        <w:tc>
          <w:tcPr/>
          <w:p>
            <w:pPr>
              <w:pStyle w:val="Compact"/>
            </w:pPr>
            <w:r>
              <w:t xml:space="preserve">$58.5M (tax credit)</w:t>
            </w:r>
          </w:p>
        </w:tc>
        <w:tc>
          <w:tcPr/>
          <w:p>
            <w:pPr>
              <w:pStyle w:val="Compact"/>
            </w:pPr>
            <w:r>
              <w:t xml:space="preserve">Operational (Trial/Ramp-up)</w:t>
            </w:r>
          </w:p>
        </w:tc>
      </w:tr>
      <w:tr>
        <w:tc>
          <w:tcPr/>
          <w:p>
            <w:pPr>
              <w:pStyle w:val="Compact"/>
            </w:pPr>
            <w:r>
              <w:rPr>
                <w:b/>
                <w:bCs/>
              </w:rPr>
              <w:t xml:space="preserve">E-VAC Magnetics (VAC Group)</w:t>
            </w:r>
          </w:p>
        </w:tc>
        <w:tc>
          <w:tcPr/>
          <w:p>
            <w:pPr>
              <w:pStyle w:val="Compact"/>
            </w:pPr>
            <w:r>
              <w:t xml:space="preserve">Sumter, SC, USA</w:t>
            </w:r>
          </w:p>
        </w:tc>
        <w:tc>
          <w:tcPr/>
          <w:p>
            <w:pPr>
              <w:pStyle w:val="Compact"/>
            </w:pPr>
            <w:r>
              <w:t xml:space="preserve">Not Specified</w:t>
            </w:r>
          </w:p>
        </w:tc>
        <w:tc>
          <w:tcPr/>
          <w:p>
            <w:pPr>
              <w:pStyle w:val="Compact"/>
            </w:pPr>
            <w:r>
              <w:t xml:space="preserve">Late 2025</w:t>
            </w:r>
          </w:p>
        </w:tc>
        <w:tc>
          <w:tcPr/>
          <w:p>
            <w:pPr>
              <w:pStyle w:val="Compact"/>
            </w:pPr>
            <w:r>
              <w:t xml:space="preserve">&gt;$500M (project); $94.1M (DoD grant)</w:t>
            </w:r>
          </w:p>
        </w:tc>
        <w:tc>
          <w:tcPr/>
          <w:p>
            <w:pPr>
              <w:pStyle w:val="Compact"/>
            </w:pPr>
            <w:r>
              <w:t xml:space="preserve">Under Construction</w:t>
            </w:r>
          </w:p>
        </w:tc>
      </w:tr>
      <w:tr>
        <w:tc>
          <w:tcPr/>
          <w:p>
            <w:pPr>
              <w:pStyle w:val="Compact"/>
            </w:pPr>
            <w:r>
              <w:rPr>
                <w:b/>
                <w:bCs/>
              </w:rPr>
              <w:t xml:space="preserve">Neo Performance Materials</w:t>
            </w:r>
          </w:p>
        </w:tc>
        <w:tc>
          <w:tcPr/>
          <w:p>
            <w:pPr>
              <w:pStyle w:val="Compact"/>
            </w:pPr>
            <w:r>
              <w:t xml:space="preserve">Narva, Estonia</w:t>
            </w:r>
          </w:p>
        </w:tc>
        <w:tc>
          <w:tcPr/>
          <w:p>
            <w:pPr>
              <w:pStyle w:val="Compact"/>
            </w:pPr>
            <w:r>
              <w:t xml:space="preserve">2,000 (Phase 1); planned to 5,000</w:t>
            </w:r>
          </w:p>
        </w:tc>
        <w:tc>
          <w:tcPr/>
          <w:p>
            <w:pPr>
              <w:pStyle w:val="Compact"/>
            </w:pPr>
            <w:r>
              <w:t xml:space="preserve">2025</w:t>
            </w:r>
          </w:p>
        </w:tc>
        <w:tc>
          <w:tcPr/>
          <w:p>
            <w:pPr>
              <w:pStyle w:val="Compact"/>
            </w:pPr>
            <w:r>
              <w:t xml:space="preserve">€75M (Phase 1)</w:t>
            </w:r>
          </w:p>
        </w:tc>
        <w:tc>
          <w:tcPr/>
          <w:p>
            <w:pPr>
              <w:pStyle w:val="Compact"/>
            </w:pPr>
            <w:r>
              <w:t xml:space="preserve">Operational</w:t>
            </w:r>
          </w:p>
        </w:tc>
      </w:tr>
      <w:tr>
        <w:tc>
          <w:tcPr/>
          <w:p>
            <w:pPr>
              <w:pStyle w:val="Compact"/>
            </w:pPr>
            <w:r>
              <w:rPr>
                <w:b/>
                <w:bCs/>
              </w:rPr>
              <w:t xml:space="preserve">USA Rare Earth</w:t>
            </w:r>
          </w:p>
        </w:tc>
        <w:tc>
          <w:tcPr/>
          <w:p>
            <w:pPr>
              <w:pStyle w:val="Compact"/>
            </w:pPr>
            <w:r>
              <w:t xml:space="preserve">Stillwater, OK, USA</w:t>
            </w:r>
          </w:p>
        </w:tc>
        <w:tc>
          <w:tcPr/>
          <w:p>
            <w:pPr>
              <w:pStyle w:val="Compact"/>
            </w:pPr>
            <w:r>
              <w:t xml:space="preserve">~1,200 (initial); ramp to 4,800</w:t>
            </w:r>
          </w:p>
        </w:tc>
        <w:tc>
          <w:tcPr/>
          <w:p>
            <w:pPr>
              <w:pStyle w:val="Compact"/>
            </w:pPr>
            <w:r>
              <w:t xml:space="preserve">2025 (initial batch); ramp by ~2026</w:t>
            </w:r>
          </w:p>
        </w:tc>
        <w:tc>
          <w:tcPr/>
          <w:p>
            <w:pPr>
              <w:pStyle w:val="Compact"/>
            </w:pPr>
            <w:r>
              <w:t xml:space="preserve">&gt;$100M</w:t>
            </w:r>
          </w:p>
        </w:tc>
        <w:tc>
          <w:tcPr/>
          <w:p>
            <w:pPr>
              <w:pStyle w:val="Compact"/>
            </w:pPr>
            <w:r>
              <w:t xml:space="preserve">Initial Production</w:t>
            </w:r>
          </w:p>
        </w:tc>
      </w:tr>
      <w:tr>
        <w:tc>
          <w:tcPr/>
          <w:p>
            <w:pPr>
              <w:pStyle w:val="Compact"/>
            </w:pPr>
            <w:r>
              <w:rPr>
                <w:b/>
                <w:bCs/>
              </w:rPr>
              <w:t xml:space="preserve">Noveon Magnetics</w:t>
            </w:r>
          </w:p>
        </w:tc>
        <w:tc>
          <w:tcPr/>
          <w:p>
            <w:pPr>
              <w:pStyle w:val="Compact"/>
            </w:pPr>
            <w:r>
              <w:t xml:space="preserve">San Marcos, TX, USA</w:t>
            </w:r>
          </w:p>
        </w:tc>
        <w:tc>
          <w:tcPr/>
          <w:p>
            <w:pPr>
              <w:pStyle w:val="Compact"/>
            </w:pPr>
            <w:r>
              <w:t xml:space="preserve">&gt;2,000 (expansion target)</w:t>
            </w:r>
          </w:p>
        </w:tc>
        <w:tc>
          <w:tcPr/>
          <w:p>
            <w:pPr>
              <w:pStyle w:val="Compact"/>
            </w:pPr>
            <w:r>
              <w:t xml:space="preserve">Operational; expanding</w:t>
            </w:r>
          </w:p>
        </w:tc>
        <w:tc>
          <w:tcPr/>
          <w:p>
            <w:pPr>
              <w:pStyle w:val="Compact"/>
            </w:pPr>
            <w:r>
              <w:t xml:space="preserve">$215M (Series C financing)</w:t>
            </w:r>
          </w:p>
        </w:tc>
        <w:tc>
          <w:tcPr/>
          <w:p>
            <w:pPr>
              <w:pStyle w:val="Compact"/>
            </w:pPr>
            <w:r>
              <w:t xml:space="preserve">Operational &amp; Expanding</w:t>
            </w:r>
          </w:p>
        </w:tc>
      </w:tr>
      <w:tr>
        <w:tc>
          <w:tcPr/>
          <w:p>
            <w:pPr>
              <w:pStyle w:val="Compact"/>
            </w:pPr>
            <w:r>
              <w:rPr>
                <w:b/>
                <w:bCs/>
              </w:rPr>
              <w:t xml:space="preserve">HyProMag USA</w:t>
            </w:r>
          </w:p>
        </w:tc>
        <w:tc>
          <w:tcPr/>
          <w:p>
            <w:pPr>
              <w:pStyle w:val="Compact"/>
            </w:pPr>
            <w:r>
              <w:t xml:space="preserve">Dallas-Fort Worth, TX; South Carolina; Nevada</w:t>
            </w:r>
          </w:p>
        </w:tc>
        <w:tc>
          <w:tcPr/>
          <w:p>
            <w:pPr>
              <w:pStyle w:val="Compact"/>
            </w:pPr>
            <w:r>
              <w:t xml:space="preserve">4,656 (total across 3 hubs)</w:t>
            </w:r>
          </w:p>
        </w:tc>
        <w:tc>
          <w:tcPr/>
          <w:p>
            <w:pPr>
              <w:pStyle w:val="Compact"/>
            </w:pPr>
            <w:r>
              <w:t xml:space="preserve">2027-2029</w:t>
            </w:r>
          </w:p>
        </w:tc>
        <w:tc>
          <w:tcPr/>
          <w:p>
            <w:pPr>
              <w:pStyle w:val="Compact"/>
            </w:pPr>
            <w:r>
              <w:t xml:space="preserve">Not specified</w:t>
            </w:r>
          </w:p>
        </w:tc>
        <w:tc>
          <w:tcPr/>
          <w:p>
            <w:pPr>
              <w:pStyle w:val="Compact"/>
            </w:pPr>
            <w:r>
              <w:t xml:space="preserve">Announced / Pre-Feasibility</w:t>
            </w:r>
          </w:p>
        </w:tc>
      </w:tr>
      <w:tr>
        <w:tc>
          <w:tcPr/>
          <w:p>
            <w:pPr>
              <w:pStyle w:val="Compact"/>
            </w:pPr>
            <w:r>
              <w:rPr>
                <w:b/>
                <w:bCs/>
              </w:rPr>
              <w:t xml:space="preserve">POSCO International / Star Group</w:t>
            </w:r>
          </w:p>
        </w:tc>
        <w:tc>
          <w:tcPr/>
          <w:p>
            <w:pPr>
              <w:pStyle w:val="Compact"/>
            </w:pPr>
            <w:r>
              <w:t xml:space="preserve">Texas, Tennessee or Arizona, USA</w:t>
            </w:r>
          </w:p>
        </w:tc>
        <w:tc>
          <w:tcPr/>
          <w:p>
            <w:pPr>
              <w:pStyle w:val="Compact"/>
            </w:pPr>
            <w:r>
              <w:t xml:space="preserve">3,000 (initial); ramp to 5,000</w:t>
            </w:r>
          </w:p>
        </w:tc>
        <w:tc>
          <w:tcPr/>
          <w:p>
            <w:pPr>
              <w:pStyle w:val="Compact"/>
            </w:pPr>
            <w:r>
              <w:t xml:space="preserve">Not specified</w:t>
            </w:r>
          </w:p>
        </w:tc>
        <w:tc>
          <w:tcPr/>
          <w:p>
            <w:pPr>
              <w:pStyle w:val="Compact"/>
            </w:pPr>
            <w:r>
              <w:t xml:space="preserve">Not specified</w:t>
            </w:r>
          </w:p>
        </w:tc>
        <w:tc>
          <w:tcPr/>
          <w:p>
            <w:pPr>
              <w:pStyle w:val="Compact"/>
            </w:pPr>
            <w:r>
              <w:t xml:space="preserve">Site Selection / Planned</w:t>
            </w:r>
          </w:p>
        </w:tc>
      </w:tr>
      <w:tr>
        <w:tc>
          <w:tcPr/>
          <w:p>
            <w:pPr>
              <w:pStyle w:val="Compact"/>
            </w:pPr>
            <w:r>
              <w:rPr>
                <w:b/>
                <w:bCs/>
              </w:rPr>
              <w:t xml:space="preserve">SGI Vina</w:t>
            </w:r>
          </w:p>
        </w:tc>
        <w:tc>
          <w:tcPr/>
          <w:p>
            <w:pPr>
              <w:pStyle w:val="Compact"/>
            </w:pPr>
            <w:r>
              <w:t xml:space="preserve">Quang Nam Province, Vietnam</w:t>
            </w:r>
          </w:p>
        </w:tc>
        <w:tc>
          <w:tcPr/>
          <w:p>
            <w:pPr>
              <w:pStyle w:val="Compact"/>
            </w:pPr>
            <w:r>
              <w:t xml:space="preserve">4,000-5,000</w:t>
            </w:r>
          </w:p>
        </w:tc>
        <w:tc>
          <w:tcPr/>
          <w:p>
            <w:pPr>
              <w:pStyle w:val="Compact"/>
            </w:pPr>
            <w:r>
              <w:t xml:space="preserve">2025</w:t>
            </w:r>
          </w:p>
        </w:tc>
        <w:tc>
          <w:tcPr/>
          <w:p>
            <w:pPr>
              <w:pStyle w:val="Compact"/>
            </w:pPr>
            <w:r>
              <w:t xml:space="preserve">$80M</w:t>
            </w:r>
          </w:p>
        </w:tc>
        <w:tc>
          <w:tcPr/>
          <w:p>
            <w:pPr>
              <w:pStyle w:val="Compact"/>
            </w:pPr>
            <w:r>
              <w:t xml:space="preserve">Installing Equipment</w:t>
            </w:r>
          </w:p>
        </w:tc>
      </w:tr>
      <w:tr>
        <w:tc>
          <w:tcPr/>
          <w:p>
            <w:pPr>
              <w:pStyle w:val="Compact"/>
            </w:pPr>
            <w:r>
              <w:rPr>
                <w:b/>
                <w:bCs/>
              </w:rPr>
              <w:t xml:space="preserve">GKN Powder Metallurgy</w:t>
            </w:r>
          </w:p>
        </w:tc>
        <w:tc>
          <w:tcPr/>
          <w:p>
            <w:pPr>
              <w:pStyle w:val="Compact"/>
            </w:pPr>
            <w:r>
              <w:t xml:space="preserve">Radevormwald, Germany (pilot)</w:t>
            </w:r>
          </w:p>
        </w:tc>
        <w:tc>
          <w:tcPr/>
          <w:p>
            <w:pPr>
              <w:pStyle w:val="Compact"/>
            </w:pPr>
            <w:r>
              <w:t xml:space="preserve">4,000 (planned across EU/NA)</w:t>
            </w:r>
          </w:p>
        </w:tc>
        <w:tc>
          <w:tcPr/>
          <w:p>
            <w:pPr>
              <w:pStyle w:val="Compact"/>
            </w:pPr>
            <w:r>
              <w:t xml:space="preserve">Early 2025 (pilot)</w:t>
            </w:r>
          </w:p>
        </w:tc>
        <w:tc>
          <w:tcPr/>
          <w:p>
            <w:pPr>
              <w:pStyle w:val="Compact"/>
            </w:pPr>
            <w:r>
              <w:t xml:space="preserve">Not specified</w:t>
            </w:r>
          </w:p>
        </w:tc>
        <w:tc>
          <w:tcPr/>
          <w:p>
            <w:pPr>
              <w:pStyle w:val="Compact"/>
            </w:pPr>
            <w:r>
              <w:t xml:space="preserve">Pilot Launched</w:t>
            </w:r>
          </w:p>
        </w:tc>
      </w:tr>
    </w:tbl>
    <w:bookmarkEnd w:id="21"/>
    <w:bookmarkStart w:id="22" w:name="waste-generation--chemistry"/>
    <w:p>
      <w:pPr>
        <w:pStyle w:val="Heading2"/>
      </w:pPr>
      <w:r>
        <w:t xml:space="preserve">Waste Generation &amp; Chemistry</w:t>
      </w:r>
    </w:p>
    <w:p>
      <w:pPr>
        <w:pStyle w:val="FirstParagraph"/>
      </w:pPr>
      <w:r>
        <w:t xml:space="preserve">The feasibility of a biological REE recovery process is critically dependent on the chemistry of the manufacturing waste streams. Academic and patent literature provides insights, but there is a significant distinction between data from true industrial matrices versus lab-prepared solutions. Industrial streams are complex mixtures containing high concentrations of competing metals and organic additives.</w:t>
      </w:r>
    </w:p>
    <w:p>
      <w:pPr>
        <w:pStyle w:val="Compact"/>
        <w:numPr>
          <w:ilvl w:val="0"/>
          <w:numId w:val="1001"/>
        </w:numPr>
      </w:pPr>
      <w:r>
        <w:rPr>
          <w:b/>
          <w:bCs/>
        </w:rPr>
        <w:t xml:space="preserve">Sintering Residues &amp; Grinding/Cutting Sludge/Swarf</w:t>
      </w:r>
      <w:r>
        <w:t xml:space="preserve">: These solid and slurry wastes are the most REE-rich streams. Studies on true industrial samples show total REE content can be as high as 30-40 wt%. Neodymium (Nd) is the dominant REE, often ranging from 12-24 wt%, with praseodymium (Pr) and dysprosium (Dy) also present in smaller but significant amounts. However, iron (Fe) is the most significant competing metal, often exceeding 50-65 wt%. These streams are also contaminated with organics from cooling and lubricating fluids, which can constitute over 50% of the slurry's mass.</w:t>
      </w:r>
    </w:p>
    <w:p>
      <w:pPr>
        <w:pStyle w:val="Compact"/>
        <w:numPr>
          <w:ilvl w:val="0"/>
          <w:numId w:val="1001"/>
        </w:numPr>
      </w:pPr>
      <w:r>
        <w:rPr>
          <w:b/>
          <w:bCs/>
        </w:rPr>
        <w:t xml:space="preserve">Electroplating Effluent &amp; Wastewater</w:t>
      </w:r>
      <w:r>
        <w:t xml:space="preserve">: Data on REE concentrations in electroplating wastewater from magnet manufacturing is scarce. The primary challenge in these streams is the presence of complexing agents, surfactants, and other additives used in plating baths, alongside competing metal ions from the plating process itself (e.g., Ni, Cu, Zn). While not directly from magnet manufacturing, analogous data from the metal finishing industry shows these wastewaters require extensive treatment to remove heavy metals and organics.</w:t>
      </w:r>
    </w:p>
    <w:p>
      <w:pPr>
        <w:pStyle w:val="Compact"/>
        <w:numPr>
          <w:ilvl w:val="0"/>
          <w:numId w:val="1001"/>
        </w:numPr>
      </w:pPr>
      <w:r>
        <w:rPr>
          <w:b/>
          <w:bCs/>
        </w:rPr>
        <w:t xml:space="preserve">Filter Cake</w:t>
      </w:r>
      <w:r>
        <w:t xml:space="preserve">: This waste stream results from the dewatering of various slurries. Its composition will reflect the upstream process it derives from, typically concentrating the solid metal particles (including REEs and Fe) and retaining some of the liquid-phase contaminants.</w:t>
      </w:r>
    </w:p>
    <w:p>
      <w:pPr>
        <w:pStyle w:val="FirstParagraph"/>
      </w:pPr>
      <w:r>
        <w:t xml:space="preserve">The table below summarizes representative data points for real industrial waste streams. Note the distinction between lab-prepared leachates and analyses of actual industrial materials.</w:t>
      </w:r>
    </w:p>
    <w:tbl>
      <w:tblPr>
        <w:tblStyle w:val="Table"/>
        <w:tblW w:type="pct" w:w="5000"/>
        <w:tblLayout w:type="fixed"/>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Metric</w:t>
            </w:r>
          </w:p>
        </w:tc>
        <w:tc>
          <w:tcPr/>
          <w:p>
            <w:pPr>
              <w:pStyle w:val="Compact"/>
            </w:pPr>
            <w:r>
              <w:t xml:space="preserve">Value</w:t>
            </w:r>
          </w:p>
        </w:tc>
        <w:tc>
          <w:tcPr/>
          <w:p>
            <w:pPr>
              <w:pStyle w:val="Compact"/>
            </w:pPr>
            <w:r>
              <w:t xml:space="preserve">Unit</w:t>
            </w:r>
          </w:p>
        </w:tc>
        <w:tc>
          <w:tcPr/>
          <w:p>
            <w:pPr>
              <w:pStyle w:val="Compact"/>
            </w:pPr>
            <w:r>
              <w:t xml:space="preserve">Year</w:t>
            </w:r>
          </w:p>
        </w:tc>
        <w:tc>
          <w:tcPr/>
          <w:p>
            <w:pPr>
              <w:pStyle w:val="Compact"/>
            </w:pPr>
            <w:r>
              <w:t xml:space="preserve">Geography</w:t>
            </w:r>
          </w:p>
        </w:tc>
        <w:tc>
          <w:tcPr/>
          <w:p>
            <w:pPr>
              <w:pStyle w:val="Compact"/>
            </w:pPr>
            <w:r>
              <w:t xml:space="preserve">Waste stream</w:t>
            </w:r>
          </w:p>
        </w:tc>
        <w:tc>
          <w:tcPr/>
          <w:p>
            <w:pPr>
              <w:pStyle w:val="Compact"/>
            </w:pPr>
            <w:r>
              <w:t xml:space="preserve">Conditions</w:t>
            </w:r>
          </w:p>
        </w:tc>
        <w:tc>
          <w:tcPr/>
          <w:p>
            <w:pPr>
              <w:pStyle w:val="Compact"/>
            </w:pPr>
            <w:r>
              <w:t xml:space="preserve">Evidence level</w:t>
            </w:r>
          </w:p>
        </w:tc>
        <w:tc>
          <w:tcPr/>
          <w:p>
            <w:pPr>
              <w:pStyle w:val="Compact"/>
            </w:pPr>
            <w:r>
              <w:t xml:space="preserve">Source</w:t>
            </w:r>
          </w:p>
        </w:tc>
      </w:tr>
      <w:tr>
        <w:tc>
          <w:tcPr/>
          <w:p>
            <w:pPr>
              <w:pStyle w:val="Compact"/>
            </w:pPr>
            <w:r>
              <w:t xml:space="preserve">REE Concentration (Total)</w:t>
            </w:r>
          </w:p>
        </w:tc>
        <w:tc>
          <w:tcPr/>
          <w:p>
            <w:pPr>
              <w:pStyle w:val="Compact"/>
            </w:pPr>
            <w:r>
              <w:t xml:space="preserve">up to 30</w:t>
            </w:r>
          </w:p>
        </w:tc>
        <w:tc>
          <w:tcPr/>
          <w:p>
            <w:pPr>
              <w:pStyle w:val="Compact"/>
            </w:pPr>
            <w:r>
              <w:t xml:space="preserve">wt%</w:t>
            </w:r>
          </w:p>
        </w:tc>
        <w:tc>
          <w:tcPr/>
          <w:p>
            <w:pPr>
              <w:pStyle w:val="Compact"/>
            </w:pPr>
            <w:r>
              <w:t xml:space="preserve">2023</w:t>
            </w:r>
          </w:p>
        </w:tc>
        <w:tc>
          <w:tcPr/>
          <w:p>
            <w:pPr>
              <w:pStyle w:val="Compact"/>
            </w:pPr>
            <w:r>
              <w:t xml:space="preserve">Not specified (academic study)</w:t>
            </w:r>
          </w:p>
        </w:tc>
        <w:tc>
          <w:tcPr/>
          <w:p>
            <w:pPr>
              <w:pStyle w:val="Compact"/>
            </w:pPr>
            <w:r>
              <w:t xml:space="preserve">Diamond cutting and grinding waste</w:t>
            </w:r>
          </w:p>
        </w:tc>
        <w:tc>
          <w:tcPr/>
          <w:p>
            <w:pPr>
              <w:pStyle w:val="Compact"/>
            </w:pPr>
            <w:r>
              <w:t xml:space="preserve">As-received machining waste</w:t>
            </w:r>
          </w:p>
        </w:tc>
        <w:tc>
          <w:tcPr/>
          <w:p>
            <w:pPr>
              <w:pStyle w:val="Compact"/>
            </w:pPr>
            <w:r>
              <w:t xml:space="preserve">Commercial sample, lab analysis</w:t>
            </w:r>
          </w:p>
        </w:tc>
        <w:tc>
          <w:tcPr/>
          <w:p>
            <w:pPr>
              <w:pStyle w:val="Compact"/>
            </w:pPr>
          </w:p>
        </w:tc>
      </w:tr>
      <w:tr>
        <w:tc>
          <w:tcPr/>
          <w:p>
            <w:pPr>
              <w:pStyle w:val="Compact"/>
            </w:pPr>
            <w:r>
              <w:t xml:space="preserve">Nd Concentration</w:t>
            </w:r>
          </w:p>
        </w:tc>
        <w:tc>
          <w:tcPr/>
          <w:p>
            <w:pPr>
              <w:pStyle w:val="Compact"/>
            </w:pPr>
            <w:r>
              <w:t xml:space="preserve">20.64</w:t>
            </w:r>
          </w:p>
        </w:tc>
        <w:tc>
          <w:tcPr/>
          <w:p>
            <w:pPr>
              <w:pStyle w:val="Compact"/>
            </w:pPr>
            <w:r>
              <w:t xml:space="preserve">wt%</w:t>
            </w:r>
          </w:p>
        </w:tc>
        <w:tc>
          <w:tcPr/>
          <w:p>
            <w:pPr>
              <w:pStyle w:val="Compact"/>
            </w:pPr>
            <w:r>
              <w:t xml:space="preserve">2016</w:t>
            </w:r>
          </w:p>
        </w:tc>
        <w:tc>
          <w:tcPr/>
          <w:p>
            <w:pPr>
              <w:pStyle w:val="Compact"/>
            </w:pPr>
            <w:r>
              <w:t xml:space="preserve">China (patent)</w:t>
            </w:r>
          </w:p>
        </w:tc>
        <w:tc>
          <w:tcPr/>
          <w:p>
            <w:pPr>
              <w:pStyle w:val="Compact"/>
            </w:pPr>
            <w:r>
              <w:t xml:space="preserve">NdFeB sludge (pretreated powder)</w:t>
            </w:r>
          </w:p>
        </w:tc>
        <w:tc>
          <w:tcPr/>
          <w:p>
            <w:pPr>
              <w:pStyle w:val="Compact"/>
            </w:pPr>
            <w:r>
              <w:t xml:space="preserve">XRF analysis</w:t>
            </w:r>
          </w:p>
        </w:tc>
        <w:tc>
          <w:tcPr/>
          <w:p>
            <w:pPr>
              <w:pStyle w:val="Compact"/>
            </w:pPr>
            <w:r>
              <w:t xml:space="preserve">Commercial sample, lab analysis</w:t>
            </w:r>
          </w:p>
        </w:tc>
        <w:tc>
          <w:tcPr/>
          <w:p>
            <w:pPr>
              <w:pStyle w:val="Compact"/>
            </w:pPr>
          </w:p>
        </w:tc>
      </w:tr>
      <w:tr>
        <w:tc>
          <w:tcPr/>
          <w:p>
            <w:pPr>
              <w:pStyle w:val="Compact"/>
            </w:pPr>
            <w:r>
              <w:t xml:space="preserve">Nd Concentration</w:t>
            </w:r>
          </w:p>
        </w:tc>
        <w:tc>
          <w:tcPr/>
          <w:p>
            <w:pPr>
              <w:pStyle w:val="Compact"/>
            </w:pPr>
            <w:r>
              <w:t xml:space="preserve">30.2</w:t>
            </w:r>
          </w:p>
        </w:tc>
        <w:tc>
          <w:tcPr/>
          <w:p>
            <w:pPr>
              <w:pStyle w:val="Compact"/>
            </w:pPr>
            <w:r>
              <w:t xml:space="preserve">wt%</w:t>
            </w:r>
          </w:p>
        </w:tc>
        <w:tc>
          <w:tcPr/>
          <w:p>
            <w:pPr>
              <w:pStyle w:val="Compact"/>
            </w:pPr>
            <w:r>
              <w:t xml:space="preserve">2023</w:t>
            </w:r>
          </w:p>
        </w:tc>
        <w:tc>
          <w:tcPr/>
          <w:p>
            <w:pPr>
              <w:pStyle w:val="Compact"/>
            </w:pPr>
            <w:r>
              <w:t xml:space="preserve">Not specified (academic study)</w:t>
            </w:r>
          </w:p>
        </w:tc>
        <w:tc>
          <w:tcPr/>
          <w:p>
            <w:pPr>
              <w:pStyle w:val="Compact"/>
            </w:pPr>
            <w:r>
              <w:t xml:space="preserve">Diamond cut machining residue</w:t>
            </w:r>
          </w:p>
        </w:tc>
        <w:tc>
          <w:tcPr/>
          <w:p>
            <w:pPr>
              <w:pStyle w:val="Compact"/>
            </w:pPr>
            <w:r>
              <w:t xml:space="preserve">XRF analysis</w:t>
            </w:r>
          </w:p>
        </w:tc>
        <w:tc>
          <w:tcPr/>
          <w:p>
            <w:pPr>
              <w:pStyle w:val="Compact"/>
            </w:pPr>
            <w:r>
              <w:t xml:space="preserve">Lab-generated industrial analog</w:t>
            </w:r>
          </w:p>
        </w:tc>
        <w:tc>
          <w:tcPr/>
          <w:p>
            <w:pPr>
              <w:pStyle w:val="Compact"/>
            </w:pPr>
          </w:p>
        </w:tc>
      </w:tr>
      <w:tr>
        <w:tc>
          <w:tcPr/>
          <w:p>
            <w:pPr>
              <w:pStyle w:val="Compact"/>
            </w:pPr>
            <w:r>
              <w:t xml:space="preserve">Pr Concentration</w:t>
            </w:r>
          </w:p>
        </w:tc>
        <w:tc>
          <w:tcPr/>
          <w:p>
            <w:pPr>
              <w:pStyle w:val="Compact"/>
            </w:pPr>
            <w:r>
              <w:t xml:space="preserve">6.46</w:t>
            </w:r>
          </w:p>
        </w:tc>
        <w:tc>
          <w:tcPr/>
          <w:p>
            <w:pPr>
              <w:pStyle w:val="Compact"/>
            </w:pPr>
            <w:r>
              <w:t xml:space="preserve">wt%</w:t>
            </w:r>
          </w:p>
        </w:tc>
        <w:tc>
          <w:tcPr/>
          <w:p>
            <w:pPr>
              <w:pStyle w:val="Compact"/>
            </w:pPr>
            <w:r>
              <w:t xml:space="preserve">2016</w:t>
            </w:r>
          </w:p>
        </w:tc>
        <w:tc>
          <w:tcPr/>
          <w:p>
            <w:pPr>
              <w:pStyle w:val="Compact"/>
            </w:pPr>
            <w:r>
              <w:t xml:space="preserve">China (patent)</w:t>
            </w:r>
          </w:p>
        </w:tc>
        <w:tc>
          <w:tcPr/>
          <w:p>
            <w:pPr>
              <w:pStyle w:val="Compact"/>
            </w:pPr>
            <w:r>
              <w:t xml:space="preserve">NdFeB sludge (pretreated powder)</w:t>
            </w:r>
          </w:p>
        </w:tc>
        <w:tc>
          <w:tcPr/>
          <w:p>
            <w:pPr>
              <w:pStyle w:val="Compact"/>
            </w:pPr>
            <w:r>
              <w:t xml:space="preserve">XRF analysis</w:t>
            </w:r>
          </w:p>
        </w:tc>
        <w:tc>
          <w:tcPr/>
          <w:p>
            <w:pPr>
              <w:pStyle w:val="Compact"/>
            </w:pPr>
            <w:r>
              <w:t xml:space="preserve">Commercial sample, lab analysis</w:t>
            </w:r>
          </w:p>
        </w:tc>
        <w:tc>
          <w:tcPr/>
          <w:p>
            <w:pPr>
              <w:pStyle w:val="Compact"/>
            </w:pPr>
          </w:p>
        </w:tc>
      </w:tr>
      <w:tr>
        <w:tc>
          <w:tcPr/>
          <w:p>
            <w:pPr>
              <w:pStyle w:val="Compact"/>
            </w:pPr>
            <w:r>
              <w:t xml:space="preserve">Dy Concentration</w:t>
            </w:r>
          </w:p>
        </w:tc>
        <w:tc>
          <w:tcPr/>
          <w:p>
            <w:pPr>
              <w:pStyle w:val="Compact"/>
            </w:pPr>
            <w:r>
              <w:t xml:space="preserve">2.59</w:t>
            </w:r>
          </w:p>
        </w:tc>
        <w:tc>
          <w:tcPr/>
          <w:p>
            <w:pPr>
              <w:pStyle w:val="Compact"/>
            </w:pPr>
            <w:r>
              <w:t xml:space="preserve">wt%</w:t>
            </w:r>
          </w:p>
        </w:tc>
        <w:tc>
          <w:tcPr/>
          <w:p>
            <w:pPr>
              <w:pStyle w:val="Compact"/>
            </w:pPr>
            <w:r>
              <w:t xml:space="preserve">2016</w:t>
            </w:r>
          </w:p>
        </w:tc>
        <w:tc>
          <w:tcPr/>
          <w:p>
            <w:pPr>
              <w:pStyle w:val="Compact"/>
            </w:pPr>
            <w:r>
              <w:t xml:space="preserve">China (patent)</w:t>
            </w:r>
          </w:p>
        </w:tc>
        <w:tc>
          <w:tcPr/>
          <w:p>
            <w:pPr>
              <w:pStyle w:val="Compact"/>
            </w:pPr>
            <w:r>
              <w:t xml:space="preserve">NdFeB sludge (pretreated powder)</w:t>
            </w:r>
          </w:p>
        </w:tc>
        <w:tc>
          <w:tcPr/>
          <w:p>
            <w:pPr>
              <w:pStyle w:val="Compact"/>
            </w:pPr>
            <w:r>
              <w:t xml:space="preserve">XRF analysis</w:t>
            </w:r>
          </w:p>
        </w:tc>
        <w:tc>
          <w:tcPr/>
          <w:p>
            <w:pPr>
              <w:pStyle w:val="Compact"/>
            </w:pPr>
            <w:r>
              <w:t xml:space="preserve">Commercial sample, lab analysis</w:t>
            </w:r>
          </w:p>
        </w:tc>
        <w:tc>
          <w:tcPr/>
          <w:p>
            <w:pPr>
              <w:pStyle w:val="Compact"/>
            </w:pPr>
          </w:p>
        </w:tc>
      </w:tr>
      <w:tr>
        <w:tc>
          <w:tcPr/>
          <w:p>
            <w:pPr>
              <w:pStyle w:val="Compact"/>
            </w:pPr>
            <w:r>
              <w:t xml:space="preserve">Fe Concentration</w:t>
            </w:r>
          </w:p>
        </w:tc>
        <w:tc>
          <w:tcPr/>
          <w:p>
            <w:pPr>
              <w:pStyle w:val="Compact"/>
            </w:pPr>
            <w:r>
              <w:t xml:space="preserve">67.31</w:t>
            </w:r>
          </w:p>
        </w:tc>
        <w:tc>
          <w:tcPr/>
          <w:p>
            <w:pPr>
              <w:pStyle w:val="Compact"/>
            </w:pPr>
            <w:r>
              <w:t xml:space="preserve">wt%</w:t>
            </w:r>
          </w:p>
        </w:tc>
        <w:tc>
          <w:tcPr/>
          <w:p>
            <w:pPr>
              <w:pStyle w:val="Compact"/>
            </w:pPr>
            <w:r>
              <w:t xml:space="preserve">2016</w:t>
            </w:r>
          </w:p>
        </w:tc>
        <w:tc>
          <w:tcPr/>
          <w:p>
            <w:pPr>
              <w:pStyle w:val="Compact"/>
            </w:pPr>
            <w:r>
              <w:t xml:space="preserve">China (patent)</w:t>
            </w:r>
          </w:p>
        </w:tc>
        <w:tc>
          <w:tcPr/>
          <w:p>
            <w:pPr>
              <w:pStyle w:val="Compact"/>
            </w:pPr>
            <w:r>
              <w:t xml:space="preserve">NdFeB sludge (pretreated powder)</w:t>
            </w:r>
          </w:p>
        </w:tc>
        <w:tc>
          <w:tcPr/>
          <w:p>
            <w:pPr>
              <w:pStyle w:val="Compact"/>
            </w:pPr>
            <w:r>
              <w:t xml:space="preserve">XRF analysis</w:t>
            </w:r>
          </w:p>
        </w:tc>
        <w:tc>
          <w:tcPr/>
          <w:p>
            <w:pPr>
              <w:pStyle w:val="Compact"/>
            </w:pPr>
            <w:r>
              <w:t xml:space="preserve">Commercial sample, lab analysis</w:t>
            </w:r>
          </w:p>
        </w:tc>
        <w:tc>
          <w:tcPr/>
          <w:p>
            <w:pPr>
              <w:pStyle w:val="Compact"/>
            </w:pPr>
          </w:p>
        </w:tc>
      </w:tr>
      <w:tr>
        <w:tc>
          <w:tcPr/>
          <w:p>
            <w:pPr>
              <w:pStyle w:val="Compact"/>
            </w:pPr>
            <w:r>
              <w:t xml:space="preserve">Fe Concentration</w:t>
            </w:r>
          </w:p>
        </w:tc>
        <w:tc>
          <w:tcPr/>
          <w:p>
            <w:pPr>
              <w:pStyle w:val="Compact"/>
            </w:pPr>
            <w:r>
              <w:t xml:space="preserve">66.4</w:t>
            </w:r>
          </w:p>
        </w:tc>
        <w:tc>
          <w:tcPr/>
          <w:p>
            <w:pPr>
              <w:pStyle w:val="Compact"/>
            </w:pPr>
            <w:r>
              <w:t xml:space="preserve">wt%</w:t>
            </w:r>
          </w:p>
        </w:tc>
        <w:tc>
          <w:tcPr/>
          <w:p>
            <w:pPr>
              <w:pStyle w:val="Compact"/>
            </w:pPr>
            <w:r>
              <w:t xml:space="preserve">2023</w:t>
            </w:r>
          </w:p>
        </w:tc>
        <w:tc>
          <w:tcPr/>
          <w:p>
            <w:pPr>
              <w:pStyle w:val="Compact"/>
            </w:pPr>
            <w:r>
              <w:t xml:space="preserve">Not specified (academic study)</w:t>
            </w:r>
          </w:p>
        </w:tc>
        <w:tc>
          <w:tcPr/>
          <w:p>
            <w:pPr>
              <w:pStyle w:val="Compact"/>
            </w:pPr>
            <w:r>
              <w:t xml:space="preserve">Grinding residue</w:t>
            </w:r>
          </w:p>
        </w:tc>
        <w:tc>
          <w:tcPr/>
          <w:p>
            <w:pPr>
              <w:pStyle w:val="Compact"/>
            </w:pPr>
            <w:r>
              <w:t xml:space="preserve">XRF analysis</w:t>
            </w:r>
          </w:p>
        </w:tc>
        <w:tc>
          <w:tcPr/>
          <w:p>
            <w:pPr>
              <w:pStyle w:val="Compact"/>
            </w:pPr>
            <w:r>
              <w:t xml:space="preserve">Commercial sample, lab analysis</w:t>
            </w:r>
          </w:p>
        </w:tc>
        <w:tc>
          <w:tcPr/>
          <w:p>
            <w:pPr>
              <w:pStyle w:val="Compact"/>
            </w:pPr>
          </w:p>
        </w:tc>
      </w:tr>
      <w:tr>
        <w:tc>
          <w:tcPr/>
          <w:p>
            <w:pPr>
              <w:pStyle w:val="Compact"/>
            </w:pPr>
            <w:r>
              <w:t xml:space="preserve">Organics Content</w:t>
            </w:r>
          </w:p>
        </w:tc>
        <w:tc>
          <w:tcPr/>
          <w:p>
            <w:pPr>
              <w:pStyle w:val="Compact"/>
            </w:pPr>
            <w:r>
              <w:t xml:space="preserve">52.5</w:t>
            </w:r>
          </w:p>
        </w:tc>
        <w:tc>
          <w:tcPr/>
          <w:p>
            <w:pPr>
              <w:pStyle w:val="Compact"/>
            </w:pPr>
            <w:r>
              <w:t xml:space="preserve">wt%</w:t>
            </w:r>
          </w:p>
        </w:tc>
        <w:tc>
          <w:tcPr/>
          <w:p>
            <w:pPr>
              <w:pStyle w:val="Compact"/>
            </w:pPr>
            <w:r>
              <w:t xml:space="preserve">2016</w:t>
            </w:r>
          </w:p>
        </w:tc>
        <w:tc>
          <w:tcPr/>
          <w:p>
            <w:pPr>
              <w:pStyle w:val="Compact"/>
            </w:pPr>
            <w:r>
              <w:t xml:space="preserve">Global (estimate)</w:t>
            </w:r>
          </w:p>
        </w:tc>
        <w:tc>
          <w:tcPr/>
          <w:p>
            <w:pPr>
              <w:pStyle w:val="Compact"/>
            </w:pPr>
            <w:r>
              <w:t xml:space="preserve">Acoustic magnet swarf slurry</w:t>
            </w:r>
          </w:p>
        </w:tc>
        <w:tc>
          <w:tcPr/>
          <w:p>
            <w:pPr>
              <w:pStyle w:val="Compact"/>
            </w:pPr>
            <w:r>
              <w:t xml:space="preserve">As-received slurry</w:t>
            </w:r>
          </w:p>
        </w:tc>
        <w:tc>
          <w:tcPr/>
          <w:p>
            <w:pPr>
              <w:pStyle w:val="Compact"/>
            </w:pPr>
            <w:r>
              <w:t xml:space="preserve">Market/Policy Estimate</w:t>
            </w:r>
          </w:p>
        </w:tc>
        <w:tc>
          <w:tcPr/>
          <w:p>
            <w:pPr>
              <w:pStyle w:val="Compact"/>
            </w:pPr>
          </w:p>
        </w:tc>
      </w:tr>
    </w:tbl>
    <w:bookmarkEnd w:id="22"/>
    <w:bookmarkStart w:id="23" w:name="compliance-economics"/>
    <w:p>
      <w:pPr>
        <w:pStyle w:val="Heading2"/>
      </w:pPr>
      <w:r>
        <w:t xml:space="preserve">Compliance Economics</w:t>
      </w:r>
    </w:p>
    <w:p>
      <w:pPr>
        <w:pStyle w:val="FirstParagraph"/>
      </w:pPr>
      <w:r>
        <w:t xml:space="preserve">The primary economic driver for adopting a new REE recovery technology in magnet manufacturing is the high cost of compliance with environmental regulations for wastewater and hazardous sludge. This "avoided cost" model provides a revenue floor independent of volatile REE commodity prices.</w:t>
      </w:r>
    </w:p>
    <w:p>
      <w:pPr>
        <w:pStyle w:val="Compact"/>
        <w:numPr>
          <w:ilvl w:val="0"/>
          <w:numId w:val="1002"/>
        </w:numPr>
      </w:pPr>
      <w:r>
        <w:rPr>
          <w:b/>
          <w:bCs/>
        </w:rPr>
        <w:t xml:space="preserve">Wastewater Treatment Costs</w:t>
      </w:r>
      <w:r>
        <w:t xml:space="preserve">: For analogous industries like metal finishing, operating costs for wastewater treatment can range from approximately $1.37 to $4.88 per cubic meter, depending on the technology and influent characteristics. These costs encompass energy, chemicals, and labor for processes designed to remove heavy metals to comply with discharge permits.</w:t>
      </w:r>
    </w:p>
    <w:p>
      <w:pPr>
        <w:pStyle w:val="Compact"/>
        <w:numPr>
          <w:ilvl w:val="0"/>
          <w:numId w:val="1002"/>
        </w:numPr>
      </w:pPr>
      <w:r>
        <w:rPr>
          <w:b/>
          <w:bCs/>
        </w:rPr>
        <w:t xml:space="preserve">Sludge Disposal Costs</w:t>
      </w:r>
      <w:r>
        <w:t xml:space="preserve">: Sludge from treating metal-bearing wastewater is often classified as hazardous, incurring significant disposal fees. Costs vary widely by geography:</w:t>
      </w:r>
    </w:p>
    <w:p>
      <w:pPr>
        <w:pStyle w:val="Compact"/>
        <w:numPr>
          <w:ilvl w:val="1"/>
          <w:numId w:val="1003"/>
        </w:numPr>
      </w:pPr>
      <w:r>
        <w:rPr>
          <w:b/>
          <w:bCs/>
        </w:rPr>
        <w:t xml:space="preserve">Europe</w:t>
      </w:r>
      <w:r>
        <w:t xml:space="preserve">: Median hazardous waste management costs were reported at €238 per tonne in a 2013 survey. Landfill taxes for hazardous waste can be substantial, with rates in 2021 ranging from €22/tonne in Slovenia to over €100/tonne in Belgium.</w:t>
      </w:r>
    </w:p>
    <w:p>
      <w:pPr>
        <w:pStyle w:val="Compact"/>
        <w:numPr>
          <w:ilvl w:val="1"/>
          <w:numId w:val="1003"/>
        </w:numPr>
      </w:pPr>
      <w:r>
        <w:rPr>
          <w:b/>
          <w:bCs/>
        </w:rPr>
        <w:t xml:space="preserve">United States</w:t>
      </w:r>
      <w:r>
        <w:t xml:space="preserve">: Hazardous waste landfilling costs (with stabilization) from a 1999 EPA report were around $190/ton (adjusted for inflation from the original $185/ton). More recent (2021) data from California shows average disposal fees of $310 per ton for restricted hazardous waste.</w:t>
      </w:r>
    </w:p>
    <w:p>
      <w:pPr>
        <w:pStyle w:val="Compact"/>
        <w:numPr>
          <w:ilvl w:val="1"/>
          <w:numId w:val="1003"/>
        </w:numPr>
      </w:pPr>
      <w:r>
        <w:rPr>
          <w:b/>
          <w:bCs/>
        </w:rPr>
        <w:t xml:space="preserve">Asia</w:t>
      </w:r>
      <w:r>
        <w:t xml:space="preserve">: Data from Tokyo suggests industrial sludge disposal costs reached about $300/ton, while estimates from India place hazardous sludge disposal at INR 15,000-25,000 per ton (approx. $180-$300/ton).</w:t>
      </w:r>
    </w:p>
    <w:p>
      <w:pPr>
        <w:pStyle w:val="Compact"/>
        <w:numPr>
          <w:ilvl w:val="0"/>
          <w:numId w:val="1003"/>
        </w:numPr>
      </w:pPr>
      <w:r>
        <w:rPr>
          <w:b/>
          <w:bCs/>
        </w:rPr>
        <w:t xml:space="preserve">Permitting and Monitoring</w:t>
      </w:r>
      <w:r>
        <w:t xml:space="preserve">: Beyond direct treatment and disposal, significant overhead exists for permitting, monitoring, and reporting. EPA documents from the 1990s estimated annual recordkeeping costs at $25,000 and RCRA permit acquisition from $250,000 to $500,000. A 2025 estimate from India suggests annual documentation and compliance overhead for a medium-sized unit could be INR 50,000-100,000.</w:t>
      </w:r>
    </w:p>
    <w:p>
      <w:pPr>
        <w:pStyle w:val="FirstParagraph"/>
      </w:pPr>
      <w:r>
        <w:t xml:space="preserve">These costs represent a direct, recurring operational expense for magnet manufacturers. A technology that can reduce the volume of sludge, lower its hazardous classification (enabling cheaper disposal), and simplify wastewater treatment has a clear, quantifiable value proposition based on these avoided costs.</w:t>
      </w:r>
    </w:p>
    <w:bookmarkEnd w:id="23"/>
    <w:bookmarkStart w:id="27" w:name="regulatory--permitting-map"/>
    <w:p>
      <w:pPr>
        <w:pStyle w:val="Heading2"/>
      </w:pPr>
      <w:r>
        <w:t xml:space="preserve">Regulatory &amp; Permitting Map</w:t>
      </w:r>
    </w:p>
    <w:p>
      <w:pPr>
        <w:pStyle w:val="FirstParagraph"/>
      </w:pPr>
      <w:r>
        <w:t xml:space="preserve">The regulatory landscape for NdFeB magnet manufacturing waste is governed by a patchwork of regulations for industrial wastewater, hazardous waste, and sector-specific rules for metal processing. There are no explicit effluent discharge limits for Neodymium (Nd) or Dysprosium (Dy) in the primary regulatory frameworks for the EU or US.</w:t>
      </w:r>
    </w:p>
    <w:bookmarkStart w:id="24" w:name="european-union"/>
    <w:p>
      <w:pPr>
        <w:pStyle w:val="Heading3"/>
      </w:pPr>
      <w:r>
        <w:t xml:space="preserve">European Union</w:t>
      </w:r>
    </w:p>
    <w:p>
      <w:pPr>
        <w:pStyle w:val="FirstParagraph"/>
      </w:pPr>
      <w:r>
        <w:t xml:space="preserve">The</w:t>
      </w:r>
      <w:r>
        <w:t xml:space="preserve"> </w:t>
      </w:r>
      <w:r>
        <w:rPr>
          <w:b/>
          <w:bCs/>
        </w:rPr>
        <w:t xml:space="preserve">Industrial Emissions Directive (IED) 2010/75/EU</w:t>
      </w:r>
      <w:r>
        <w:t xml:space="preserve"> </w:t>
      </w:r>
      <w:r>
        <w:t xml:space="preserve">is the core legislation. It requires industrial installations to operate with a permit based on</w:t>
      </w:r>
      <w:r>
        <w:t xml:space="preserve"> </w:t>
      </w:r>
      <w:r>
        <w:rPr>
          <w:b/>
          <w:bCs/>
        </w:rPr>
        <w:t xml:space="preserve">Best Available Techniques (BAT)</w:t>
      </w:r>
      <w:r>
        <w:t xml:space="preserve">.</w:t>
      </w:r>
    </w:p>
    <w:p>
      <w:pPr>
        <w:pStyle w:val="Compact"/>
        <w:numPr>
          <w:ilvl w:val="0"/>
          <w:numId w:val="1004"/>
        </w:numPr>
      </w:pPr>
      <w:r>
        <w:rPr>
          <w:b/>
          <w:bCs/>
        </w:rPr>
        <w:t xml:space="preserve">BREFs and BAT Conclusions</w:t>
      </w:r>
      <w:r>
        <w:t xml:space="preserve">: The relevant BAT Reference Documents (BREFs) are for</w:t>
      </w:r>
      <w:r>
        <w:t xml:space="preserve"> </w:t>
      </w:r>
      <w:r>
        <w:rPr>
          <w:b/>
          <w:bCs/>
        </w:rPr>
        <w:t xml:space="preserve">Non-Ferrous Metals Industries (NFM)</w:t>
      </w:r>
      <w:r>
        <w:t xml:space="preserve"> </w:t>
      </w:r>
      <w:r>
        <w:t xml:space="preserve">and</w:t>
      </w:r>
      <w:r>
        <w:t xml:space="preserve"> </w:t>
      </w:r>
      <w:r>
        <w:rPr>
          <w:b/>
          <w:bCs/>
        </w:rPr>
        <w:t xml:space="preserve">Surface Treatment of Metals and Plastics (STM)</w:t>
      </w:r>
      <w:r>
        <w:t xml:space="preserve">. These documents contain legally binding BAT Conclusions that national authorities must use to set permit conditions, including</w:t>
      </w:r>
      <w:r>
        <w:t xml:space="preserve"> </w:t>
      </w:r>
      <w:r>
        <w:rPr>
          <w:b/>
          <w:bCs/>
        </w:rPr>
        <w:t xml:space="preserve">BAT-Associated Emission Levels (BAT-AELs)</w:t>
      </w:r>
      <w:r>
        <w:t xml:space="preserve">.</w:t>
      </w:r>
    </w:p>
    <w:p>
      <w:pPr>
        <w:pStyle w:val="Compact"/>
        <w:numPr>
          <w:ilvl w:val="0"/>
          <w:numId w:val="1004"/>
        </w:numPr>
      </w:pPr>
      <w:r>
        <w:rPr>
          <w:b/>
          <w:bCs/>
        </w:rPr>
        <w:t xml:space="preserve">Effluent Limits</w:t>
      </w:r>
      <w:r>
        <w:t xml:space="preserve">: The NFM and STM BREFs provide BAT-AELs for common metals like Zinc (0.05-1 mg/l), Nickel (0.01-0.2 mg/l), and Copper, but</w:t>
      </w:r>
      <w:r>
        <w:t xml:space="preserve"> </w:t>
      </w:r>
      <w:r>
        <w:rPr>
          <w:b/>
          <w:bCs/>
        </w:rPr>
        <w:t xml:space="preserve">Nd and Dy are not listed</w:t>
      </w:r>
      <w:r>
        <w:t xml:space="preserve">. Limits for REEs would likely be set on a case-by-case basis by national permit writers, considering local environmental quality standards.</w:t>
      </w:r>
    </w:p>
    <w:p>
      <w:pPr>
        <w:pStyle w:val="Compact"/>
        <w:numPr>
          <w:ilvl w:val="0"/>
          <w:numId w:val="1004"/>
        </w:numPr>
      </w:pPr>
      <w:r>
        <w:rPr>
          <w:b/>
          <w:bCs/>
        </w:rPr>
        <w:t xml:space="preserve">Sludge Classification</w:t>
      </w:r>
      <w:r>
        <w:t xml:space="preserve">: Sludge is classified as hazardous or non-hazardous based on the EU Waste Framework Directive and the List of Wastes. The presence of heavy metals above certain thresholds will typically render sludge hazardous, requiring specialized and more expensive disposal routes.</w:t>
      </w:r>
    </w:p>
    <w:bookmarkEnd w:id="24"/>
    <w:bookmarkStart w:id="25" w:name="united-states"/>
    <w:p>
      <w:pPr>
        <w:pStyle w:val="Heading3"/>
      </w:pPr>
      <w:r>
        <w:t xml:space="preserve">United States</w:t>
      </w:r>
    </w:p>
    <w:p>
      <w:pPr>
        <w:pStyle w:val="FirstParagraph"/>
      </w:pPr>
      <w:r>
        <w:t xml:space="preserve">The</w:t>
      </w:r>
      <w:r>
        <w:t xml:space="preserve"> </w:t>
      </w:r>
      <w:r>
        <w:rPr>
          <w:b/>
          <w:bCs/>
        </w:rPr>
        <w:t xml:space="preserve">Clean Water Act</w:t>
      </w:r>
      <w:r>
        <w:t xml:space="preserve"> </w:t>
      </w:r>
      <w:r>
        <w:t xml:space="preserve">governs wastewater discharges through the</w:t>
      </w:r>
      <w:r>
        <w:t xml:space="preserve"> </w:t>
      </w:r>
      <w:r>
        <w:rPr>
          <w:b/>
          <w:bCs/>
        </w:rPr>
        <w:t xml:space="preserve">National Pollutant Discharge Elimination System (NPDES)</w:t>
      </w:r>
      <w:r>
        <w:t xml:space="preserve"> </w:t>
      </w:r>
      <w:r>
        <w:t xml:space="preserve">program.</w:t>
      </w:r>
    </w:p>
    <w:p>
      <w:pPr>
        <w:pStyle w:val="Compact"/>
        <w:numPr>
          <w:ilvl w:val="0"/>
          <w:numId w:val="1005"/>
        </w:numPr>
      </w:pPr>
      <w:r>
        <w:rPr>
          <w:b/>
          <w:bCs/>
        </w:rPr>
        <w:t xml:space="preserve">EPA Effluent Guidelines</w:t>
      </w:r>
      <w:r>
        <w:t xml:space="preserve">: Magnet manufacturing facilities are likely to be regulated under the</w:t>
      </w:r>
      <w:r>
        <w:t xml:space="preserve"> </w:t>
      </w:r>
      <w:r>
        <w:rPr>
          <w:b/>
          <w:bCs/>
        </w:rPr>
        <w:t xml:space="preserve">Metal Finishing Point Source Category (40 CFR Part 433)</w:t>
      </w:r>
      <w:r>
        <w:t xml:space="preserve"> </w:t>
      </w:r>
      <w:r>
        <w:t xml:space="preserve">or the</w:t>
      </w:r>
      <w:r>
        <w:t xml:space="preserve"> </w:t>
      </w:r>
      <w:r>
        <w:rPr>
          <w:b/>
          <w:bCs/>
        </w:rPr>
        <w:t xml:space="preserve">Nonferrous Metals Manufacturing Point Source Category (40 CFR Part 421)</w:t>
      </w:r>
      <w:r>
        <w:t xml:space="preserve">.</w:t>
      </w:r>
    </w:p>
    <w:p>
      <w:pPr>
        <w:pStyle w:val="Compact"/>
        <w:numPr>
          <w:ilvl w:val="0"/>
          <w:numId w:val="1005"/>
        </w:numPr>
      </w:pPr>
      <w:r>
        <w:rPr>
          <w:b/>
          <w:bCs/>
        </w:rPr>
        <w:t xml:space="preserve">Effluent Limits</w:t>
      </w:r>
      <w:r>
        <w:t xml:space="preserve">: These regulations set technology-based effluent limits for pollutants such as Cadmium, Chromium, Copper, Lead, Nickel, and Zinc. As in the EU, specific limits for</w:t>
      </w:r>
      <w:r>
        <w:t xml:space="preserve"> </w:t>
      </w:r>
      <w:r>
        <w:rPr>
          <w:b/>
          <w:bCs/>
        </w:rPr>
        <w:t xml:space="preserve">Nd and Dy are Not found</w:t>
      </w:r>
      <w:r>
        <w:t xml:space="preserve"> </w:t>
      </w:r>
      <w:r>
        <w:t xml:space="preserve">in these national standards. Limits would be established in a facility's NPDES permit based on state water quality standards or on a Best Professional Judgment (BPJ) basis by the permit writer.</w:t>
      </w:r>
    </w:p>
    <w:p>
      <w:pPr>
        <w:pStyle w:val="Compact"/>
        <w:numPr>
          <w:ilvl w:val="0"/>
          <w:numId w:val="1005"/>
        </w:numPr>
      </w:pPr>
      <w:r>
        <w:rPr>
          <w:b/>
          <w:bCs/>
        </w:rPr>
        <w:t xml:space="preserve">Sludge Classification</w:t>
      </w:r>
      <w:r>
        <w:t xml:space="preserve">: Sludge from wastewater treatment in this sector (e.g., F006 waste code for electroplating sludge) is often listed as a hazardous waste under the</w:t>
      </w:r>
      <w:r>
        <w:t xml:space="preserve"> </w:t>
      </w:r>
      <w:r>
        <w:rPr>
          <w:b/>
          <w:bCs/>
        </w:rPr>
        <w:t xml:space="preserve">Resource Conservation and Recovery Act (RCRA)</w:t>
      </w:r>
      <w:r>
        <w:t xml:space="preserve">, requiring cradle-to-grave management and disposal in a licensed hazardous waste facility.</w:t>
      </w:r>
    </w:p>
    <w:bookmarkEnd w:id="25"/>
    <w:bookmarkStart w:id="26" w:name="china"/>
    <w:p>
      <w:pPr>
        <w:pStyle w:val="Heading3"/>
      </w:pPr>
      <w:r>
        <w:t xml:space="preserve">China</w:t>
      </w:r>
    </w:p>
    <w:p>
      <w:pPr>
        <w:pStyle w:val="FirstParagraph"/>
      </w:pPr>
      <w:r>
        <w:t xml:space="preserve">China's regulatory framework is driven by national standards issued by the Ministry of Ecology and Environment (MEE).</w:t>
      </w:r>
    </w:p>
    <w:p>
      <w:pPr>
        <w:pStyle w:val="Compact"/>
        <w:numPr>
          <w:ilvl w:val="0"/>
          <w:numId w:val="1006"/>
        </w:numPr>
      </w:pPr>
      <w:r>
        <w:rPr>
          <w:b/>
          <w:bCs/>
        </w:rPr>
        <w:t xml:space="preserve">Applicable Standards</w:t>
      </w:r>
      <w:r>
        <w:t xml:space="preserve">: The</w:t>
      </w:r>
      <w:r>
        <w:t xml:space="preserve"> </w:t>
      </w:r>
      <w:r>
        <w:rPr>
          <w:b/>
          <w:bCs/>
        </w:rPr>
        <w:t xml:space="preserve">Emission Standard of Pollutants for Rare Earths Industry (GB 26451-2011)</w:t>
      </w:r>
      <w:r>
        <w:t xml:space="preserve"> </w:t>
      </w:r>
      <w:r>
        <w:t xml:space="preserve">is the most relevant sector-specific regulation. For electroplating, the</w:t>
      </w:r>
      <w:r>
        <w:t xml:space="preserve"> </w:t>
      </w:r>
      <w:r>
        <w:rPr>
          <w:b/>
          <w:bCs/>
        </w:rPr>
        <w:t xml:space="preserve">Emission standard of pollutants for electroplating (GB 21900-2008)</w:t>
      </w:r>
      <w:r>
        <w:t xml:space="preserve"> </w:t>
      </w:r>
      <w:r>
        <w:t xml:space="preserve">would apply.</w:t>
      </w:r>
    </w:p>
    <w:p>
      <w:pPr>
        <w:pStyle w:val="Compact"/>
        <w:numPr>
          <w:ilvl w:val="0"/>
          <w:numId w:val="1006"/>
        </w:numPr>
      </w:pPr>
      <w:r>
        <w:rPr>
          <w:b/>
          <w:bCs/>
        </w:rPr>
        <w:t xml:space="preserve">Enforcement</w:t>
      </w:r>
      <w:r>
        <w:t xml:space="preserve">: China has a permit system for pollutant discharge, and enforcement has been strengthening, with a focus on key industries like rare earths.</w:t>
      </w:r>
    </w:p>
    <w:bookmarkEnd w:id="26"/>
    <w:bookmarkEnd w:id="27"/>
    <w:bookmarkStart w:id="28" w:name="market-mechanics"/>
    <w:p>
      <w:pPr>
        <w:pStyle w:val="Heading2"/>
      </w:pPr>
      <w:r>
        <w:t xml:space="preserve">Market Mechanics</w:t>
      </w:r>
    </w:p>
    <w:p>
      <w:pPr>
        <w:pStyle w:val="FirstParagraph"/>
      </w:pPr>
      <w:r>
        <w:t xml:space="preserve">The target customer for an on-site REE recovery solution is the</w:t>
      </w:r>
      <w:r>
        <w:t xml:space="preserve"> </w:t>
      </w:r>
      <w:r>
        <w:rPr>
          <w:b/>
          <w:bCs/>
        </w:rPr>
        <w:t xml:space="preserve">Plant Manager</w:t>
      </w:r>
      <w:r>
        <w:t xml:space="preserve"> </w:t>
      </w:r>
      <w:r>
        <w:t xml:space="preserve">or</w:t>
      </w:r>
      <w:r>
        <w:t xml:space="preserve"> </w:t>
      </w:r>
      <w:r>
        <w:rPr>
          <w:b/>
          <w:bCs/>
        </w:rPr>
        <w:t xml:space="preserve">Environmental, Health, and Safety (EHS) Manager</w:t>
      </w:r>
      <w:r>
        <w:t xml:space="preserve"> </w:t>
      </w:r>
      <w:r>
        <w:t xml:space="preserve">at an NdFeB magnet manufacturing facility. The payment for such a system or service comes from the plant's operational expenditure (OPEX) or capital expenditure (CAPEX) budget, specifically from budget lines allocated to</w:t>
      </w:r>
      <w:r>
        <w:t xml:space="preserve"> </w:t>
      </w:r>
      <w:r>
        <w:rPr>
          <w:b/>
          <w:bCs/>
        </w:rPr>
        <w:t xml:space="preserve">wastewater treatment</w:t>
      </w:r>
      <w:r>
        <w:t xml:space="preserve"> </w:t>
      </w:r>
      <w:r>
        <w:t xml:space="preserve">and</w:t>
      </w:r>
      <w:r>
        <w:t xml:space="preserve"> </w:t>
      </w:r>
      <w:r>
        <w:rPr>
          <w:b/>
          <w:bCs/>
        </w:rPr>
        <w:t xml:space="preserve">hazardous waste management</w:t>
      </w:r>
      <w:r>
        <w:t xml:space="preserve">.</w:t>
      </w:r>
    </w:p>
    <w:p>
      <w:pPr>
        <w:pStyle w:val="BodyText"/>
      </w:pPr>
      <w:r>
        <w:rPr>
          <w:b/>
          <w:bCs/>
        </w:rPr>
        <w:t xml:space="preserve">Buying Triggers:</w:t>
      </w:r>
    </w:p>
    <w:p>
      <w:pPr>
        <w:pStyle w:val="Compact"/>
        <w:numPr>
          <w:ilvl w:val="0"/>
          <w:numId w:val="1007"/>
        </w:numPr>
      </w:pPr>
      <w:r>
        <w:rPr>
          <w:b/>
          <w:bCs/>
        </w:rPr>
        <w:t xml:space="preserve">New Plant Construction:</w:t>
      </w:r>
      <w:r>
        <w:t xml:space="preserve"> </w:t>
      </w:r>
      <w:r>
        <w:t xml:space="preserve">The primary trigger is the design phase of a new manufacturing plant. This "greenfield" opportunity allows the technology to be designed-in from the start, becoming the baseline for the facility's environmental compliance infrastructure.</w:t>
      </w:r>
    </w:p>
    <w:p>
      <w:pPr>
        <w:pStyle w:val="Compact"/>
        <w:numPr>
          <w:ilvl w:val="0"/>
          <w:numId w:val="1007"/>
        </w:numPr>
      </w:pPr>
      <w:r>
        <w:rPr>
          <w:b/>
          <w:bCs/>
        </w:rPr>
        <w:t xml:space="preserve">Regulatory Enforcement Action:</w:t>
      </w:r>
      <w:r>
        <w:t xml:space="preserve"> </w:t>
      </w:r>
      <w:r>
        <w:t xml:space="preserve">A notice of violation, fine, or consent order from a regulator (e.g., EPA, EU Member State authority) for exceeding discharge limits or improper sludge disposal creates an immediate and urgent need for a new or improved compliance solution.</w:t>
      </w:r>
    </w:p>
    <w:p>
      <w:pPr>
        <w:pStyle w:val="Compact"/>
        <w:numPr>
          <w:ilvl w:val="0"/>
          <w:numId w:val="1007"/>
        </w:numPr>
      </w:pPr>
      <w:r>
        <w:rPr>
          <w:b/>
          <w:bCs/>
        </w:rPr>
        <w:t xml:space="preserve">Permit Renewal/Modification:</w:t>
      </w:r>
      <w:r>
        <w:t xml:space="preserve"> </w:t>
      </w:r>
      <w:r>
        <w:t xml:space="preserve">When a plant's operating permit is up for renewal, regulators may impose stricter limits, creating a need to upgrade treatment systems.</w:t>
      </w:r>
    </w:p>
    <w:p>
      <w:pPr>
        <w:pStyle w:val="Compact"/>
        <w:numPr>
          <w:ilvl w:val="0"/>
          <w:numId w:val="1007"/>
        </w:numPr>
      </w:pPr>
      <w:r>
        <w:rPr>
          <w:b/>
          <w:bCs/>
        </w:rPr>
        <w:t xml:space="preserve">Cost Reduction Mandates:</w:t>
      </w:r>
      <w:r>
        <w:t xml:space="preserve"> </w:t>
      </w:r>
      <w:r>
        <w:t xml:space="preserve">Corporate or plant-level mandates to reduce operational costs can trigger a search for more efficient waste management solutions, especially if disposal costs are escalating.</w:t>
      </w:r>
    </w:p>
    <w:p>
      <w:pPr>
        <w:pStyle w:val="FirstParagraph"/>
      </w:pPr>
      <w:r>
        <w:rPr>
          <w:b/>
          <w:bCs/>
        </w:rPr>
        <w:t xml:space="preserve">Procurement Motion:</w:t>
      </w:r>
      <w:r>
        <w:t xml:space="preserve"> </w:t>
      </w:r>
      <w:r>
        <w:t xml:space="preserve">The sales process is a technical, value-based sale, likely involving:</w:t>
      </w:r>
    </w:p>
    <w:p>
      <w:pPr>
        <w:pStyle w:val="Compact"/>
        <w:numPr>
          <w:ilvl w:val="0"/>
          <w:numId w:val="1008"/>
        </w:numPr>
      </w:pPr>
      <w:r>
        <w:rPr>
          <w:b/>
          <w:bCs/>
        </w:rPr>
        <w:t xml:space="preserve">Initial Assessment &amp; Scoping:</w:t>
      </w:r>
      <w:r>
        <w:t xml:space="preserve"> </w:t>
      </w:r>
      <w:r>
        <w:t xml:space="preserve">Analyzing the specific waste streams of the target facility (volumes, chemistry, variability).</w:t>
      </w:r>
    </w:p>
    <w:p>
      <w:pPr>
        <w:pStyle w:val="Compact"/>
        <w:numPr>
          <w:ilvl w:val="0"/>
          <w:numId w:val="1008"/>
        </w:numPr>
      </w:pPr>
      <w:r>
        <w:rPr>
          <w:b/>
          <w:bCs/>
        </w:rPr>
        <w:t xml:space="preserve">Pilot Demonstration:</w:t>
      </w:r>
      <w:r>
        <w:t xml:space="preserve"> </w:t>
      </w:r>
      <w:r>
        <w:t xml:space="preserve">A pilot-scale demonstration, potentially on-site, to prove the technology's efficacy on the plant's actual waste matrix. This is crucial for de-risking the solution for the customer.</w:t>
      </w:r>
    </w:p>
    <w:p>
      <w:pPr>
        <w:pStyle w:val="Compact"/>
        <w:numPr>
          <w:ilvl w:val="0"/>
          <w:numId w:val="1008"/>
        </w:numPr>
      </w:pPr>
      <w:r>
        <w:rPr>
          <w:b/>
          <w:bCs/>
        </w:rPr>
        <w:t xml:space="preserve">Techno-Economic Proposal:</w:t>
      </w:r>
      <w:r>
        <w:t xml:space="preserve"> </w:t>
      </w:r>
      <w:r>
        <w:t xml:space="preserve">A detailed proposal quantifying the value proposition, focusing on avoided costs (e.g., "Our system will save you $X per year on sludge disposal and $Y on wastewater treatment chemicals"), payback period, and compliance assurance.</w:t>
      </w:r>
    </w:p>
    <w:p>
      <w:pPr>
        <w:pStyle w:val="Compact"/>
        <w:numPr>
          <w:ilvl w:val="0"/>
          <w:numId w:val="1008"/>
        </w:numPr>
      </w:pPr>
      <w:r>
        <w:rPr>
          <w:b/>
          <w:bCs/>
        </w:rPr>
        <w:t xml:space="preserve">Contracting:</w:t>
      </w:r>
      <w:r>
        <w:t xml:space="preserve"> </w:t>
      </w:r>
      <w:r>
        <w:t xml:space="preserve">Contracts could be structured as a technology sale (CAPEX), a lease model, or a service agreement (e.g., per cubic meter of wastewater treated).</w:t>
      </w:r>
    </w:p>
    <w:bookmarkEnd w:id="28"/>
    <w:bookmarkStart w:id="29" w:name="competitive-context"/>
    <w:p>
      <w:pPr>
        <w:pStyle w:val="Heading2"/>
      </w:pPr>
      <w:r>
        <w:t xml:space="preserve">Competitive Context</w:t>
      </w:r>
    </w:p>
    <w:p>
      <w:pPr>
        <w:pStyle w:val="FirstParagraph"/>
      </w:pPr>
      <w:r>
        <w:t xml:space="preserve">The primary competition is the customer's</w:t>
      </w:r>
      <w:r>
        <w:t xml:space="preserve"> </w:t>
      </w:r>
      <w:r>
        <w:rPr>
          <w:b/>
          <w:bCs/>
        </w:rPr>
        <w:t xml:space="preserve">status quo</w:t>
      </w:r>
      <w:r>
        <w:t xml:space="preserve"> </w:t>
      </w:r>
      <w:r>
        <w:t xml:space="preserve">for waste management. For a new technology to be adopted, it must offer a compelling advantage over these existing methods.</w:t>
      </w:r>
    </w:p>
    <w:p>
      <w:pPr>
        <w:pStyle w:val="BodyText"/>
      </w:pPr>
      <w:r>
        <w:rPr>
          <w:b/>
          <w:bCs/>
        </w:rPr>
        <w:t xml:space="preserve">Current Practices &amp; Substitutes:</w:t>
      </w:r>
    </w:p>
    <w:p>
      <w:pPr>
        <w:pStyle w:val="Compact"/>
        <w:numPr>
          <w:ilvl w:val="0"/>
          <w:numId w:val="1009"/>
        </w:numPr>
      </w:pPr>
      <w:r>
        <w:rPr>
          <w:b/>
          <w:bCs/>
        </w:rPr>
        <w:t xml:space="preserve">Conventional Wastewater Treatment:</w:t>
      </w:r>
      <w:r>
        <w:t xml:space="preserve"> </w:t>
      </w:r>
      <w:r>
        <w:t xml:space="preserve">Most facilities use standard chemical precipitation (e.g., hydroxide precipitation), flocculation, and clarification to remove heavy metals from wastewater. This process is well-understood and effective for common regulated metals but generates large volumes of metal hydroxide sludge.</w:t>
      </w:r>
    </w:p>
    <w:p>
      <w:pPr>
        <w:pStyle w:val="Compact"/>
        <w:numPr>
          <w:ilvl w:val="0"/>
          <w:numId w:val="1009"/>
        </w:numPr>
      </w:pPr>
      <w:r>
        <w:rPr>
          <w:b/>
          <w:bCs/>
        </w:rPr>
        <w:t xml:space="preserve">Off-site Disposal:</w:t>
      </w:r>
      <w:r>
        <w:t xml:space="preserve"> </w:t>
      </w:r>
      <w:r>
        <w:t xml:space="preserve">The generated sludge, often classified as hazardous, is dewatered (e.g., using a filter press) and then transported by a licensed hauler to a specialized landfill or incinerator. This is a purely cost-based service with no value recovery. The willingness to pay for an alternative is directly tied to reducing these disposal fees.</w:t>
      </w:r>
    </w:p>
    <w:p>
      <w:pPr>
        <w:pStyle w:val="Compact"/>
        <w:numPr>
          <w:ilvl w:val="0"/>
          <w:numId w:val="1009"/>
        </w:numPr>
      </w:pPr>
      <w:r>
        <w:rPr>
          <w:b/>
          <w:bCs/>
        </w:rPr>
        <w:t xml:space="preserve">No On-site Recovery:</w:t>
      </w:r>
      <w:r>
        <w:t xml:space="preserve"> </w:t>
      </w:r>
      <w:r>
        <w:t xml:space="preserve">For the most part, REEs in manufacturing waste streams are not currently recovered on-site. The value of the contained REEs is lost when the sludge is disposed of.</w:t>
      </w:r>
    </w:p>
    <w:p>
      <w:pPr>
        <w:pStyle w:val="FirstParagraph"/>
      </w:pPr>
      <w:r>
        <w:rPr>
          <w:b/>
          <w:bCs/>
        </w:rPr>
        <w:t xml:space="preserve">Impact on Willingness to Pay:</w:t>
      </w:r>
    </w:p>
    <w:p>
      <w:pPr>
        <w:pStyle w:val="Compact"/>
        <w:numPr>
          <w:ilvl w:val="0"/>
          <w:numId w:val="1010"/>
        </w:numPr>
      </w:pPr>
      <w:r>
        <w:t xml:space="preserve">A new solution does not need to be cheaper than conventional treatment if it significantly reduces the much larger cost of sludge disposal.</w:t>
      </w:r>
    </w:p>
    <w:p>
      <w:pPr>
        <w:pStyle w:val="Compact"/>
        <w:numPr>
          <w:ilvl w:val="0"/>
          <w:numId w:val="1010"/>
        </w:numPr>
      </w:pPr>
      <w:r>
        <w:t xml:space="preserve">The key is to shift the sludge from a hazardous to a non-hazardous classification or to dramatically reduce its volume, thereby lowering disposal costs.</w:t>
      </w:r>
    </w:p>
    <w:p>
      <w:pPr>
        <w:pStyle w:val="Compact"/>
        <w:numPr>
          <w:ilvl w:val="0"/>
          <w:numId w:val="1010"/>
        </w:numPr>
      </w:pPr>
      <w:r>
        <w:t xml:space="preserve">The value of the recovered REEs is a secondary benefit that can improve the overall economics but should not be the primary driver of the sale. The business case must stand on the "avoided cost" of compliance alone.</w:t>
      </w:r>
    </w:p>
    <w:bookmarkEnd w:id="29"/>
    <w:bookmarkStart w:id="30" w:name="enforcement-cases"/>
    <w:p>
      <w:pPr>
        <w:pStyle w:val="Heading2"/>
      </w:pPr>
      <w:r>
        <w:t xml:space="preserve">Enforcement Cases</w:t>
      </w:r>
    </w:p>
    <w:p>
      <w:pPr>
        <w:pStyle w:val="FirstParagraph"/>
      </w:pPr>
      <w:r>
        <w:t xml:space="preserve">Real-world enforcement actions provide quantitative evidence of the financial and operational risks of non-compliance, directly influencing a potential customer's willingness to pay for a robust compliance solution. The following cases from the metal finishing, electroplating, and rare earth processing sectors illustrate these risks.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Jurisdiction</w:t>
            </w:r>
          </w:p>
        </w:tc>
        <w:tc>
          <w:tcPr/>
          <w:p>
            <w:pPr>
              <w:pStyle w:val="Compact"/>
            </w:pPr>
            <w:r>
              <w:t xml:space="preserve">Year</w:t>
            </w:r>
          </w:p>
        </w:tc>
        <w:tc>
          <w:tcPr/>
          <w:p>
            <w:pPr>
              <w:pStyle w:val="Compact"/>
            </w:pPr>
            <w:r>
              <w:t xml:space="preserve">Violation Type</w:t>
            </w:r>
          </w:p>
        </w:tc>
        <w:tc>
          <w:tcPr/>
          <w:p>
            <w:pPr>
              <w:pStyle w:val="Compact"/>
            </w:pPr>
            <w:r>
              <w:t xml:space="preserve">Penalty/Cost</w:t>
            </w:r>
          </w:p>
        </w:tc>
        <w:tc>
          <w:tcPr/>
          <w:p>
            <w:pPr>
              <w:pStyle w:val="Compact"/>
            </w:pPr>
            <w:r>
              <w:t xml:space="preserve">Industry Sector</w:t>
            </w:r>
          </w:p>
        </w:tc>
        <w:tc>
          <w:tcPr/>
          <w:p>
            <w:pPr>
              <w:pStyle w:val="Compact"/>
            </w:pPr>
            <w:r>
              <w:t xml:space="preserve">Relevance</w:t>
            </w:r>
          </w:p>
        </w:tc>
      </w:tr>
      <w:tr>
        <w:tc>
          <w:tcPr/>
          <w:p>
            <w:pPr>
              <w:pStyle w:val="Compact"/>
            </w:pPr>
            <w:r>
              <w:t xml:space="preserve">US EPA Region 9 (California)</w:t>
            </w:r>
          </w:p>
        </w:tc>
        <w:tc>
          <w:tcPr/>
          <w:p>
            <w:pPr>
              <w:pStyle w:val="Compact"/>
            </w:pPr>
            <w:r>
              <w:t xml:space="preserve">2015</w:t>
            </w:r>
          </w:p>
        </w:tc>
        <w:tc>
          <w:tcPr/>
          <w:p>
            <w:pPr>
              <w:pStyle w:val="Compact"/>
            </w:pPr>
            <w:r>
              <w:t xml:space="preserve">Untreated wastewater discharge; hazardous waste violations</w:t>
            </w:r>
          </w:p>
        </w:tc>
        <w:tc>
          <w:tcPr/>
          <w:p>
            <w:pPr>
              <w:pStyle w:val="Compact"/>
            </w:pPr>
            <w:r>
              <w:rPr>
                <w:b/>
                <w:bCs/>
              </w:rPr>
              <w:t xml:space="preserve">$142,200</w:t>
            </w:r>
            <w:r>
              <w:t xml:space="preserve"> </w:t>
            </w:r>
            <w:r>
              <w:t xml:space="preserve">(Anaplex)</w:t>
            </w:r>
          </w:p>
        </w:tc>
        <w:tc>
          <w:tcPr/>
          <w:p>
            <w:pPr>
              <w:pStyle w:val="Compact"/>
            </w:pPr>
            <w:r>
              <w:t xml:space="preserve">Metal Finishing</w:t>
            </w:r>
          </w:p>
        </w:tc>
        <w:tc>
          <w:tcPr/>
          <w:p>
            <w:pPr>
              <w:pStyle w:val="Compact"/>
            </w:pPr>
            <w:r>
              <w:t xml:space="preserve">Direct analog for electroplating effluent violations; demonstrates significant penalty size for combined CWA and RCRA failures.</w:t>
            </w:r>
          </w:p>
        </w:tc>
      </w:tr>
      <w:tr>
        <w:tc>
          <w:tcPr/>
          <w:p>
            <w:pPr>
              <w:pStyle w:val="Compact"/>
            </w:pPr>
            <w:r>
              <w:t xml:space="preserve">US EPA Region 5 (Ohio)</w:t>
            </w:r>
          </w:p>
        </w:tc>
        <w:tc>
          <w:tcPr/>
          <w:p>
            <w:pPr>
              <w:pStyle w:val="Compact"/>
            </w:pPr>
            <w:r>
              <w:t xml:space="preserve">2021</w:t>
            </w:r>
          </w:p>
        </w:tc>
        <w:tc>
          <w:tcPr/>
          <w:p>
            <w:pPr>
              <w:pStyle w:val="Compact"/>
            </w:pPr>
            <w:r>
              <w:t xml:space="preserve">NPDES permit limit exceedances (TSS, chlorine)</w:t>
            </w:r>
          </w:p>
        </w:tc>
        <w:tc>
          <w:tcPr/>
          <w:p>
            <w:pPr>
              <w:pStyle w:val="Compact"/>
            </w:pPr>
            <w:r>
              <w:rPr>
                <w:b/>
                <w:bCs/>
              </w:rPr>
              <w:t xml:space="preserve">$55,300</w:t>
            </w:r>
          </w:p>
        </w:tc>
        <w:tc>
          <w:tcPr/>
          <w:p>
            <w:pPr>
              <w:pStyle w:val="Compact"/>
            </w:pPr>
            <w:r>
              <w:t xml:space="preserve">Ferroalloy Production</w:t>
            </w:r>
          </w:p>
        </w:tc>
        <w:tc>
          <w:tcPr/>
          <w:p>
            <w:pPr>
              <w:pStyle w:val="Compact"/>
            </w:pPr>
            <w:r>
              <w:t xml:space="preserve">Demonstrates enforcement for common effluent parameter violations from a metal processing facility, relevant to general wastewater compliance.</w:t>
            </w:r>
          </w:p>
        </w:tc>
      </w:tr>
      <w:tr>
        <w:tc>
          <w:tcPr/>
          <w:p>
            <w:pPr>
              <w:pStyle w:val="Compact"/>
            </w:pPr>
            <w:r>
              <w:t xml:space="preserve">US EPA Region 9 (California)</w:t>
            </w:r>
          </w:p>
        </w:tc>
        <w:tc>
          <w:tcPr/>
          <w:p>
            <w:pPr>
              <w:pStyle w:val="Compact"/>
            </w:pPr>
            <w:r>
              <w:t xml:space="preserve">2012</w:t>
            </w:r>
          </w:p>
        </w:tc>
        <w:tc>
          <w:tcPr/>
          <w:p>
            <w:pPr>
              <w:pStyle w:val="Compact"/>
            </w:pPr>
            <w:r>
              <w:t xml:space="preserve">Failure to treat wastewater to federal standards</w:t>
            </w:r>
          </w:p>
        </w:tc>
        <w:tc>
          <w:tcPr/>
          <w:p>
            <w:pPr>
              <w:pStyle w:val="Compact"/>
            </w:pPr>
            <w:r>
              <w:rPr>
                <w:b/>
                <w:bCs/>
              </w:rPr>
              <w:t xml:space="preserve">$74,000</w:t>
            </w:r>
          </w:p>
        </w:tc>
        <w:tc>
          <w:tcPr/>
          <w:p>
            <w:pPr>
              <w:pStyle w:val="Compact"/>
            </w:pPr>
            <w:r>
              <w:t xml:space="preserve">Metal Plating</w:t>
            </w:r>
          </w:p>
        </w:tc>
        <w:tc>
          <w:tcPr/>
          <w:p>
            <w:pPr>
              <w:pStyle w:val="Compact"/>
            </w:pPr>
            <w:r>
              <w:t xml:space="preserve">Shows significant fines for pretreatment violations in a direct analog industry (electroplating).</w:t>
            </w:r>
          </w:p>
        </w:tc>
      </w:tr>
      <w:tr>
        <w:tc>
          <w:tcPr/>
          <w:p>
            <w:pPr>
              <w:pStyle w:val="Compact"/>
            </w:pPr>
            <w:r>
              <w:t xml:space="preserve">US EPA Region 3 (Pennsylvania)</w:t>
            </w:r>
          </w:p>
        </w:tc>
        <w:tc>
          <w:tcPr/>
          <w:p>
            <w:pPr>
              <w:pStyle w:val="Compact"/>
            </w:pPr>
            <w:r>
              <w:t xml:space="preserve">2024</w:t>
            </w:r>
          </w:p>
        </w:tc>
        <w:tc>
          <w:tcPr/>
          <w:p>
            <w:pPr>
              <w:pStyle w:val="Compact"/>
            </w:pPr>
            <w:r>
              <w:t xml:space="preserve">Failure to file TRI reports for lead</w:t>
            </w:r>
          </w:p>
        </w:tc>
        <w:tc>
          <w:tcPr/>
          <w:p>
            <w:pPr>
              <w:pStyle w:val="Compact"/>
            </w:pPr>
            <w:r>
              <w:rPr>
                <w:b/>
                <w:bCs/>
              </w:rPr>
              <w:t xml:space="preserve">$31,653</w:t>
            </w:r>
          </w:p>
        </w:tc>
        <w:tc>
          <w:tcPr/>
          <w:p>
            <w:pPr>
              <w:pStyle w:val="Compact"/>
            </w:pPr>
            <w:r>
              <w:t xml:space="preserve">Industrial Plating</w:t>
            </w:r>
          </w:p>
        </w:tc>
        <w:tc>
          <w:tcPr/>
          <w:p>
            <w:pPr>
              <w:pStyle w:val="Compact"/>
            </w:pPr>
            <w:r>
              <w:t xml:space="preserve">Highlights that reporting and documentation failures, not just discharge violations, carry substantial financial penalties.</w:t>
            </w:r>
          </w:p>
        </w:tc>
      </w:tr>
      <w:tr>
        <w:tc>
          <w:tcPr/>
          <w:p>
            <w:pPr>
              <w:pStyle w:val="Compact"/>
            </w:pPr>
            <w:r>
              <w:t xml:space="preserve">State of California</w:t>
            </w:r>
          </w:p>
        </w:tc>
        <w:tc>
          <w:tcPr/>
          <w:p>
            <w:pPr>
              <w:pStyle w:val="Compact"/>
            </w:pPr>
            <w:r>
              <w:t xml:space="preserve">2019</w:t>
            </w:r>
          </w:p>
        </w:tc>
        <w:tc>
          <w:tcPr/>
          <w:p>
            <w:pPr>
              <w:pStyle w:val="Compact"/>
            </w:pPr>
            <w:r>
              <w:t xml:space="preserve">Order to investigate PFAS discharge</w:t>
            </w:r>
          </w:p>
        </w:tc>
        <w:tc>
          <w:tcPr/>
          <w:p>
            <w:pPr>
              <w:pStyle w:val="Compact"/>
            </w:pPr>
            <w:r>
              <w:rPr>
                <w:b/>
                <w:bCs/>
              </w:rPr>
              <w:t xml:space="preserve">$20k-$100k</w:t>
            </w:r>
            <w:r>
              <w:t xml:space="preserve"> </w:t>
            </w:r>
            <w:r>
              <w:t xml:space="preserve">(est. investigation cost)</w:t>
            </w:r>
          </w:p>
        </w:tc>
        <w:tc>
          <w:tcPr/>
          <w:p>
            <w:pPr>
              <w:pStyle w:val="Compact"/>
            </w:pPr>
            <w:r>
              <w:t xml:space="preserve">Chrome Plating</w:t>
            </w:r>
          </w:p>
        </w:tc>
        <w:tc>
          <w:tcPr/>
          <w:p>
            <w:pPr>
              <w:pStyle w:val="Compact"/>
            </w:pPr>
            <w:r>
              <w:t xml:space="preserve">Illustrates high costs of investigation and monitoring imposed by regulators, even without a direct fine, for emerging contaminants.</w:t>
            </w:r>
          </w:p>
        </w:tc>
      </w:tr>
      <w:tr>
        <w:tc>
          <w:tcPr/>
          <w:p>
            <w:pPr>
              <w:pStyle w:val="Compact"/>
            </w:pPr>
            <w:r>
              <w:t xml:space="preserve">US EPA (Seattle, WA)</w:t>
            </w:r>
          </w:p>
        </w:tc>
        <w:tc>
          <w:tcPr/>
          <w:p>
            <w:pPr>
              <w:pStyle w:val="Compact"/>
            </w:pPr>
            <w:r>
              <w:t xml:space="preserve">2008</w:t>
            </w:r>
          </w:p>
        </w:tc>
        <w:tc>
          <w:tcPr/>
          <w:p>
            <w:pPr>
              <w:pStyle w:val="Compact"/>
            </w:pPr>
            <w:r>
              <w:t xml:space="preserve">Failure to report hazardous waste spill</w:t>
            </w:r>
          </w:p>
        </w:tc>
        <w:tc>
          <w:tcPr/>
          <w:p>
            <w:pPr>
              <w:pStyle w:val="Compact"/>
            </w:pPr>
            <w:r>
              <w:rPr>
                <w:b/>
                <w:bCs/>
              </w:rPr>
              <w:t xml:space="preserve">$60,000</w:t>
            </w:r>
          </w:p>
        </w:tc>
        <w:tc>
          <w:tcPr/>
          <w:p>
            <w:pPr>
              <w:pStyle w:val="Compact"/>
            </w:pPr>
            <w:r>
              <w:t xml:space="preserve">Electroplating</w:t>
            </w:r>
          </w:p>
        </w:tc>
        <w:tc>
          <w:tcPr/>
          <w:p>
            <w:pPr>
              <w:pStyle w:val="Compact"/>
            </w:pPr>
            <w:r>
              <w:t xml:space="preserve">Quantifies the penalty for procedural failures like reporting, separate from the cost of the spill itself.</w:t>
            </w:r>
          </w:p>
        </w:tc>
      </w:tr>
    </w:tbl>
    <w:p>
      <w:pPr>
        <w:pStyle w:val="BodyText"/>
      </w:pPr>
      <w:r>
        <w:t xml:space="preserve">These cases underscore that the "cost of non-compliance" includes not only fines but also mandatory capital upgrades, extensive monitoring requirements, and significant legal and administrative overhead. This strengthens the business case for a solution that offers "compliance-as-a-service" and de-risks a plant's operations.</w:t>
      </w:r>
    </w:p>
    <w:bookmarkEnd w:id="30"/>
    <w:bookmarkStart w:id="31" w:name="ree-pricing"/>
    <w:p>
      <w:pPr>
        <w:pStyle w:val="Heading2"/>
      </w:pPr>
      <w:r>
        <w:t xml:space="preserve">REE Pricing</w:t>
      </w:r>
    </w:p>
    <w:p>
      <w:pPr>
        <w:pStyle w:val="FirstParagraph"/>
      </w:pPr>
      <w:r>
        <w:t xml:space="preserve">The value of recovered Rare Earth Elements (REEs) should be treated as a secondary, optional upside to the primary compliance-driven business model. The REE market is notoriously volatile, and a business case dependent on REE spot prices is inherently risky. Nevertheless, recovering these critical materials can provide a significant additional revenue stream.</w:t>
      </w:r>
    </w:p>
    <w:p>
      <w:pPr>
        <w:pStyle w:val="BodyText"/>
      </w:pPr>
      <w:r>
        <w:rPr>
          <w:b/>
          <w:bCs/>
        </w:rPr>
        <w:t xml:space="preserve">Price History and Volatility:</w:t>
      </w:r>
    </w:p>
    <w:p>
      <w:pPr>
        <w:pStyle w:val="Compact"/>
        <w:numPr>
          <w:ilvl w:val="0"/>
          <w:numId w:val="1011"/>
        </w:numPr>
      </w:pPr>
      <w:r>
        <w:rPr>
          <w:b/>
          <w:bCs/>
        </w:rPr>
        <w:t xml:space="preserve">Neodymium (Nd)</w:t>
      </w:r>
      <w:r>
        <w:t xml:space="preserve"> </w:t>
      </w:r>
      <w:r>
        <w:t xml:space="preserve">and</w:t>
      </w:r>
      <w:r>
        <w:t xml:space="preserve"> </w:t>
      </w:r>
      <w:r>
        <w:rPr>
          <w:b/>
          <w:bCs/>
        </w:rPr>
        <w:t xml:space="preserve">Praseodymium (Pr)</w:t>
      </w:r>
      <w:r>
        <w:t xml:space="preserve">, often priced as a combined oxide (NdPr), have seen significant fluctuations. For example, historical data shows prices for NdPr oxide ranging from approximately 360,500 CNY/T in early 2020 to a peak of over 1,500,000 CNY/T in early 2022 before settling to around 652,500 CNY/T in late 2023. In May 2024, NdPr oxide was assessed at approximately $51/kg in China.</w:t>
      </w:r>
    </w:p>
    <w:p>
      <w:pPr>
        <w:pStyle w:val="Compact"/>
        <w:numPr>
          <w:ilvl w:val="0"/>
          <w:numId w:val="1011"/>
        </w:numPr>
      </w:pPr>
      <w:r>
        <w:rPr>
          <w:b/>
          <w:bCs/>
        </w:rPr>
        <w:t xml:space="preserve">Dysprosium (Dy)</w:t>
      </w:r>
      <w:r>
        <w:t xml:space="preserve">, a heavy rare earth, is even more volatile. Prices have surged dramatically in response to Chinese export controls, with one report noting a nearly threefold increase in European prices in a single month during 2025. Prices in early 2026 were in the range of $263/kg to $930/kg, depending on the source and market. Average pricing for Dy2O3 was reported as $323/kg in 2023, down from a high of $410/kg in 2021.</w:t>
      </w:r>
    </w:p>
    <w:p>
      <w:pPr>
        <w:pStyle w:val="FirstParagraph"/>
      </w:pPr>
      <w:r>
        <w:rPr>
          <w:b/>
          <w:bCs/>
        </w:rPr>
        <w:t xml:space="preserve">Non-Chinese Supply Premiums:</w:t>
      </w:r>
      <w:r>
        <w:t xml:space="preserve"> </w:t>
      </w:r>
      <w:r>
        <w:t xml:space="preserve">While there is significant strategic interest in establishing non-Chinese REE supply chains, quantified, consistent "premiums" for non-Chinese material are not well-documented in the provided sources. The value is currently expressed through government incentives, grants for new facilities, and strategic offtake agreements rather than a clear spot market premium. The primary driver for sourcing non-Chinese REEs is supply chain security and risk mitigation, not a simple price arbitrage.</w:t>
      </w:r>
    </w:p>
    <w:bookmarkEnd w:id="31"/>
    <w:bookmarkStart w:id="32" w:name="executable-beachhead-model"/>
    <w:p>
      <w:pPr>
        <w:pStyle w:val="Heading2"/>
      </w:pPr>
      <w:r>
        <w:t xml:space="preserve">Executable Beachhead Model</w:t>
      </w:r>
    </w:p>
    <w:p>
      <w:pPr>
        <w:pStyle w:val="FirstParagraph"/>
      </w:pPr>
      <w:r>
        <w:rPr>
          <w:b/>
          <w:bCs/>
        </w:rPr>
        <w:t xml:space="preserve">Target Buyer and Pain Point:</w:t>
      </w:r>
    </w:p>
    <w:p>
      <w:pPr>
        <w:pStyle w:val="Compact"/>
        <w:numPr>
          <w:ilvl w:val="0"/>
          <w:numId w:val="1012"/>
        </w:numPr>
      </w:pPr>
      <w:r>
        <w:rPr>
          <w:b/>
          <w:bCs/>
        </w:rPr>
        <w:t xml:space="preserve">Target Buyer</w:t>
      </w:r>
      <w:r>
        <w:t xml:space="preserve">: Environmental, Health &amp; Safety (EHS) Manager or Plant Manager at a new or expanding NdFeB magnet manufacturing facility in the US or EU.</w:t>
      </w:r>
    </w:p>
    <w:p>
      <w:pPr>
        <w:pStyle w:val="Compact"/>
        <w:numPr>
          <w:ilvl w:val="0"/>
          <w:numId w:val="1012"/>
        </w:numPr>
      </w:pPr>
      <w:r>
        <w:rPr>
          <w:b/>
          <w:bCs/>
        </w:rPr>
        <w:t xml:space="preserve">Buyer's Pain</w:t>
      </w:r>
      <w:r>
        <w:t xml:space="preserve">: The buyer is tasked with designing and operating a facility that complies with stringent environmental regulations (EU IED/BREF, US EPA) for wastewater and hazardous waste. Their primary pain is managing the significant</w:t>
      </w:r>
      <w:r>
        <w:t xml:space="preserve"> </w:t>
      </w:r>
      <w:r>
        <w:rPr>
          <w:b/>
          <w:bCs/>
        </w:rPr>
        <w:t xml:space="preserve">cost, complexity, and risk</w:t>
      </w:r>
      <w:r>
        <w:t xml:space="preserve"> </w:t>
      </w:r>
      <w:r>
        <w:t xml:space="preserve">associated with treating metal- and organic-laden wastewater and disposing of large volumes of hazardous sludge. They are motivated to find a solution that guarantees compliance, minimizes long-term liability, and reduces operational expenditure.</w:t>
      </w:r>
    </w:p>
    <w:p>
      <w:pPr>
        <w:pStyle w:val="FirstParagraph"/>
      </w:pPr>
      <w:r>
        <w:rPr>
          <w:b/>
          <w:bCs/>
        </w:rPr>
        <w:t xml:space="preserve">What They Pay For:</w:t>
      </w:r>
    </w:p>
    <w:p>
      <w:pPr>
        <w:pStyle w:val="Compact"/>
        <w:numPr>
          <w:ilvl w:val="0"/>
          <w:numId w:val="1013"/>
        </w:numPr>
      </w:pPr>
      <w:r>
        <w:rPr>
          <w:b/>
          <w:bCs/>
        </w:rPr>
        <w:t xml:space="preserve">Primary Value</w:t>
      </w:r>
      <w:r>
        <w:t xml:space="preserve">:</w:t>
      </w:r>
      <w:r>
        <w:t xml:space="preserve"> </w:t>
      </w:r>
      <w:r>
        <w:rPr>
          <w:b/>
          <w:bCs/>
        </w:rPr>
        <w:t xml:space="preserve">Guaranteed environmental compliance.</w:t>
      </w:r>
      <w:r>
        <w:t xml:space="preserve"> </w:t>
      </w:r>
      <w:r>
        <w:t xml:space="preserve">This includes meeting effluent discharge limits for heavy metals and reducing or eliminating the generation of hazardous sludge, thereby avoiding high disposal costs and regulatory scrutiny. They are paying for a de-risked environmental management solution.</w:t>
      </w:r>
    </w:p>
    <w:p>
      <w:pPr>
        <w:pStyle w:val="Compact"/>
        <w:numPr>
          <w:ilvl w:val="0"/>
          <w:numId w:val="1013"/>
        </w:numPr>
      </w:pPr>
      <w:r>
        <w:rPr>
          <w:b/>
          <w:bCs/>
        </w:rPr>
        <w:t xml:space="preserve">Secondary Value</w:t>
      </w:r>
      <w:r>
        <w:t xml:space="preserve">:</w:t>
      </w:r>
      <w:r>
        <w:t xml:space="preserve"> </w:t>
      </w:r>
      <w:r>
        <w:rPr>
          <w:b/>
          <w:bCs/>
        </w:rPr>
        <w:t xml:space="preserve">Resource recovery.</w:t>
      </w:r>
      <w:r>
        <w:t xml:space="preserve"> </w:t>
      </w:r>
      <w:r>
        <w:t xml:space="preserve">The value of the recovered REE oxides is a secondary benefit that improves the project's ROI. This can be structured as a revenue-sharing agreement or a discount on the service fee.</w:t>
      </w:r>
    </w:p>
    <w:p>
      <w:pPr>
        <w:pStyle w:val="FirstParagraph"/>
      </w:pPr>
      <w:r>
        <w:rPr>
          <w:b/>
          <w:bCs/>
        </w:rPr>
        <w:t xml:space="preserve">Purchase Triggers and Adoption Blockers:</w:t>
      </w:r>
    </w:p>
    <w:p>
      <w:pPr>
        <w:pStyle w:val="Compact"/>
        <w:numPr>
          <w:ilvl w:val="0"/>
          <w:numId w:val="1014"/>
        </w:numPr>
      </w:pPr>
      <w:r>
        <w:rPr>
          <w:b/>
          <w:bCs/>
        </w:rPr>
        <w:t xml:space="preserve">Triggers</w:t>
      </w:r>
      <w:r>
        <w:t xml:space="preserve">:</w:t>
      </w:r>
    </w:p>
    <w:p>
      <w:pPr>
        <w:pStyle w:val="Compact"/>
        <w:numPr>
          <w:ilvl w:val="1"/>
          <w:numId w:val="1015"/>
        </w:numPr>
      </w:pPr>
      <w:r>
        <w:rPr>
          <w:b/>
          <w:bCs/>
        </w:rPr>
        <w:t xml:space="preserve">New Plant Design Phase</w:t>
      </w:r>
      <w:r>
        <w:t xml:space="preserve">: The most critical trigger is the opportunity to design the waste treatment system from the ground up ("design-in").</w:t>
      </w:r>
    </w:p>
    <w:p>
      <w:pPr>
        <w:pStyle w:val="Compact"/>
        <w:numPr>
          <w:ilvl w:val="1"/>
          <w:numId w:val="1015"/>
        </w:numPr>
      </w:pPr>
      <w:r>
        <w:rPr>
          <w:b/>
          <w:bCs/>
        </w:rPr>
        <w:t xml:space="preserve">Regulatory Enforcement</w:t>
      </w:r>
      <w:r>
        <w:t xml:space="preserve">: An EPA or EU Member State enforcement action creates an immediate need.</w:t>
      </w:r>
    </w:p>
    <w:p>
      <w:pPr>
        <w:pStyle w:val="Compact"/>
        <w:numPr>
          <w:ilvl w:val="1"/>
          <w:numId w:val="1015"/>
        </w:numPr>
      </w:pPr>
      <w:r>
        <w:rPr>
          <w:b/>
          <w:bCs/>
        </w:rPr>
        <w:t xml:space="preserve">Rising Disposal Costs</w:t>
      </w:r>
      <w:r>
        <w:t xml:space="preserve">: A significant increase in local hazardous waste landfill or transport costs.</w:t>
      </w:r>
    </w:p>
    <w:p>
      <w:pPr>
        <w:pStyle w:val="Compact"/>
        <w:numPr>
          <w:ilvl w:val="0"/>
          <w:numId w:val="1015"/>
        </w:numPr>
      </w:pPr>
      <w:r>
        <w:rPr>
          <w:b/>
          <w:bCs/>
        </w:rPr>
        <w:t xml:space="preserve">Blockers</w:t>
      </w:r>
      <w:r>
        <w:t xml:space="preserve">:</w:t>
      </w:r>
    </w:p>
    <w:p>
      <w:pPr>
        <w:pStyle w:val="Compact"/>
        <w:numPr>
          <w:ilvl w:val="1"/>
          <w:numId w:val="1016"/>
        </w:numPr>
      </w:pPr>
      <w:r>
        <w:rPr>
          <w:b/>
          <w:bCs/>
        </w:rPr>
        <w:t xml:space="preserve">Technology Risk</w:t>
      </w:r>
      <w:r>
        <w:t xml:space="preserve">: Unproven performance on their specific, complex waste matrix. A paid pilot or on-site demonstration is essential to overcome this.</w:t>
      </w:r>
    </w:p>
    <w:p>
      <w:pPr>
        <w:pStyle w:val="Compact"/>
        <w:numPr>
          <w:ilvl w:val="1"/>
          <w:numId w:val="1016"/>
        </w:numPr>
      </w:pPr>
      <w:r>
        <w:rPr>
          <w:b/>
          <w:bCs/>
        </w:rPr>
        <w:t xml:space="preserve">High CAPEX</w:t>
      </w:r>
      <w:r>
        <w:t xml:space="preserve">: A large upfront capital cost can be a barrier. A service-based model (e.g., pay-per-m³ treated) or equipment lease can mitigate this.</w:t>
      </w:r>
    </w:p>
    <w:p>
      <w:pPr>
        <w:pStyle w:val="Compact"/>
        <w:numPr>
          <w:ilvl w:val="1"/>
          <w:numId w:val="1016"/>
        </w:numPr>
      </w:pPr>
      <w:r>
        <w:rPr>
          <w:b/>
          <w:bCs/>
        </w:rPr>
        <w:t xml:space="preserve">Process Integration Complexity</w:t>
      </w:r>
      <w:r>
        <w:t xml:space="preserve">: Fear of disrupting core magnet manufacturing operations. The solution must have a simple, well-defined interface with the main plant.</w:t>
      </w:r>
    </w:p>
    <w:p>
      <w:pPr>
        <w:pStyle w:val="FirstParagraph"/>
      </w:pPr>
      <w:r>
        <w:rPr>
          <w:b/>
          <w:bCs/>
        </w:rPr>
        <w:t xml:space="preserve">Why Now:</w:t>
      </w:r>
      <w:r>
        <w:t xml:space="preserve"> </w:t>
      </w:r>
      <w:r>
        <w:t xml:space="preserve">The timing is critical due to the</w:t>
      </w:r>
      <w:r>
        <w:t xml:space="preserve"> </w:t>
      </w:r>
      <w:r>
        <w:rPr>
          <w:b/>
          <w:bCs/>
        </w:rPr>
        <w:t xml:space="preserve">coincidence of two major trends</w:t>
      </w:r>
      <w:r>
        <w:t xml:space="preserve">:</w:t>
      </w:r>
    </w:p>
    <w:p>
      <w:pPr>
        <w:pStyle w:val="Compact"/>
        <w:numPr>
          <w:ilvl w:val="0"/>
          <w:numId w:val="1017"/>
        </w:numPr>
      </w:pPr>
      <w:r>
        <w:rPr>
          <w:b/>
          <w:bCs/>
        </w:rPr>
        <w:t xml:space="preserve">Non-Chinese Supply Chain Buildout</w:t>
      </w:r>
      <w:r>
        <w:t xml:space="preserve">: A wave of new NdFeB magnet plants is being built in the US and EU between 2024 and 2029. This provides a limited window to become the specified, default waste treatment solution for this new generation of facilities.</w:t>
      </w:r>
    </w:p>
    <w:p>
      <w:pPr>
        <w:pStyle w:val="Compact"/>
        <w:numPr>
          <w:ilvl w:val="0"/>
          <w:numId w:val="1017"/>
        </w:numPr>
      </w:pPr>
      <w:r>
        <w:rPr>
          <w:b/>
          <w:bCs/>
        </w:rPr>
        <w:t xml:space="preserve">Increasing Regulatory Pressure</w:t>
      </w:r>
      <w:r>
        <w:t xml:space="preserve">: Regulators in the US and EU are tightening enforcement on industrial wastewater and are increasingly focused on a circular economy for critical materials, making compliance and resource recovery a higher priority for manufacturers.</w:t>
      </w:r>
    </w:p>
    <w:bookmarkEnd w:id="32"/>
    <w:bookmarkStart w:id="33" w:name="value-stack"/>
    <w:p>
      <w:pPr>
        <w:pStyle w:val="Heading2"/>
      </w:pPr>
      <w:r>
        <w:t xml:space="preserve">Value Stack</w:t>
      </w:r>
    </w:p>
    <w:p>
      <w:pPr>
        <w:pStyle w:val="FirstParagraph"/>
      </w:pPr>
      <w:r>
        <w:t xml:space="preserve">The value of an integrated REE recovery solution is multi-layered, with the most immediate and bankable value derived from avoided compliance costs.</w:t>
      </w:r>
    </w:p>
    <w:p>
      <w:pPr>
        <w:pStyle w:val="Compact"/>
        <w:numPr>
          <w:ilvl w:val="0"/>
          <w:numId w:val="1018"/>
        </w:numPr>
      </w:pPr>
      <w:r>
        <w:rPr>
          <w:b/>
          <w:bCs/>
        </w:rPr>
        <w:t xml:space="preserve">Avoided Wastewater Treatment Cost</w:t>
      </w:r>
      <w:r>
        <w:t xml:space="preserve">:</w:t>
      </w:r>
    </w:p>
    <w:p>
      <w:pPr>
        <w:pStyle w:val="Compact"/>
        <w:numPr>
          <w:ilvl w:val="1"/>
          <w:numId w:val="1019"/>
        </w:numPr>
      </w:pPr>
      <w:r>
        <w:rPr>
          <w:b/>
          <w:bCs/>
        </w:rPr>
        <w:t xml:space="preserve">Quantification</w:t>
      </w:r>
      <w:r>
        <w:t xml:space="preserve">: OPEX for conventional metal finishing wastewater treatment ranges from</w:t>
      </w:r>
      <w:r>
        <w:t xml:space="preserve"> </w:t>
      </w:r>
      <w:r>
        <w:rPr>
          <w:b/>
          <w:bCs/>
        </w:rPr>
        <w:t xml:space="preserve">$1.03 to $4.88 per cubic meter</w:t>
      </w:r>
      <w:r>
        <w:t xml:space="preserve">. For a plant generating 100 m³/day, this translates to an avoided annual cost of</w:t>
      </w:r>
      <w:r>
        <w:t xml:space="preserve"> </w:t>
      </w:r>
      <w:r>
        <w:rPr>
          <w:b/>
          <w:bCs/>
        </w:rPr>
        <w:t xml:space="preserve">$37,500 - $178,120</w:t>
      </w:r>
      <w:r>
        <w:t xml:space="preserve">. This value is realized if the proposed biological process replaces or simplifies the conventional chemical treatment train.</w:t>
      </w:r>
    </w:p>
    <w:p>
      <w:pPr>
        <w:pStyle w:val="Compact"/>
        <w:numPr>
          <w:ilvl w:val="0"/>
          <w:numId w:val="1019"/>
        </w:numPr>
      </w:pPr>
      <w:r>
        <w:rPr>
          <w:b/>
          <w:bCs/>
        </w:rPr>
        <w:t xml:space="preserve">Avoided Sludge Disposal / Reduced Hazardous Classification</w:t>
      </w:r>
      <w:r>
        <w:t xml:space="preserve">:</w:t>
      </w:r>
    </w:p>
    <w:p>
      <w:pPr>
        <w:pStyle w:val="Compact"/>
        <w:numPr>
          <w:ilvl w:val="1"/>
          <w:numId w:val="1020"/>
        </w:numPr>
      </w:pPr>
      <w:r>
        <w:rPr>
          <w:b/>
          <w:bCs/>
        </w:rPr>
        <w:t xml:space="preserve">Quantification</w:t>
      </w:r>
      <w:r>
        <w:t xml:space="preserve">: This is the largest component of the compliance value stack. Hazardous sludge disposal costs range from</w:t>
      </w:r>
      <w:r>
        <w:t xml:space="preserve"> </w:t>
      </w:r>
      <w:r>
        <w:rPr>
          <w:b/>
          <w:bCs/>
        </w:rPr>
        <w:t xml:space="preserve">$190 to over $310 per tonne</w:t>
      </w:r>
      <w:r>
        <w:t xml:space="preserve"> </w:t>
      </w:r>
      <w:r>
        <w:t xml:space="preserve">in the US and</w:t>
      </w:r>
      <w:r>
        <w:t xml:space="preserve"> </w:t>
      </w:r>
      <w:r>
        <w:rPr>
          <w:b/>
          <w:bCs/>
        </w:rPr>
        <w:t xml:space="preserve">€238+ per tonne</w:t>
      </w:r>
      <w:r>
        <w:t xml:space="preserve"> </w:t>
      </w:r>
      <w:r>
        <w:t xml:space="preserve">in the EU. If a plant generates 10 tons of wet sludge per month (a conservative estimate for a medium-sized unit), this amounts to an avoided annual cost of</w:t>
      </w:r>
      <w:r>
        <w:t xml:space="preserve"> </w:t>
      </w:r>
      <w:r>
        <w:rPr>
          <w:b/>
          <w:bCs/>
        </w:rPr>
        <w:t xml:space="preserve">$22,800 - $37,200+</w:t>
      </w:r>
      <w:r>
        <w:t xml:space="preserve"> </w:t>
      </w:r>
      <w:r>
        <w:t xml:space="preserve">in the US or</w:t>
      </w:r>
      <w:r>
        <w:t xml:space="preserve"> </w:t>
      </w:r>
      <w:r>
        <w:rPr>
          <w:b/>
          <w:bCs/>
        </w:rPr>
        <w:t xml:space="preserve">€28,560+</w:t>
      </w:r>
      <w:r>
        <w:t xml:space="preserve"> </w:t>
      </w:r>
      <w:r>
        <w:t xml:space="preserve">in the EU. A process that eliminates or de-classifies this sludge captures this value directly.</w:t>
      </w:r>
    </w:p>
    <w:p>
      <w:pPr>
        <w:pStyle w:val="Compact"/>
        <w:numPr>
          <w:ilvl w:val="0"/>
          <w:numId w:val="1020"/>
        </w:numPr>
      </w:pPr>
      <w:r>
        <w:rPr>
          <w:b/>
          <w:bCs/>
        </w:rPr>
        <w:t xml:space="preserve">Permitting/Pilot Pathway Value</w:t>
      </w:r>
      <w:r>
        <w:t xml:space="preserve">:</w:t>
      </w:r>
    </w:p>
    <w:p>
      <w:pPr>
        <w:pStyle w:val="Compact"/>
        <w:numPr>
          <w:ilvl w:val="1"/>
          <w:numId w:val="1021"/>
        </w:numPr>
      </w:pPr>
      <w:r>
        <w:rPr>
          <w:b/>
          <w:bCs/>
        </w:rPr>
        <w:t xml:space="preserve">Quantification</w:t>
      </w:r>
      <w:r>
        <w:t xml:space="preserve">: Difficult to quantify directly, but significant. By providing a "greener" solution that incorporates resource recovery, the technology can simplify and de-risk the environmental permitting process for new plants. This translates to</w:t>
      </w:r>
      <w:r>
        <w:t xml:space="preserve"> </w:t>
      </w:r>
      <w:r>
        <w:rPr>
          <w:b/>
          <w:bCs/>
        </w:rPr>
        <w:t xml:space="preserve">reduced project timelines</w:t>
      </w:r>
      <w:r>
        <w:t xml:space="preserve"> </w:t>
      </w:r>
      <w:r>
        <w:t xml:space="preserve">and</w:t>
      </w:r>
      <w:r>
        <w:t xml:space="preserve"> </w:t>
      </w:r>
      <w:r>
        <w:rPr>
          <w:b/>
          <w:bCs/>
        </w:rPr>
        <w:t xml:space="preserve">lower consulting fees</w:t>
      </w:r>
      <w:r>
        <w:t xml:space="preserve">. RCRA permit acquisition can cost</w:t>
      </w:r>
      <w:r>
        <w:t xml:space="preserve"> </w:t>
      </w:r>
      <w:r>
        <w:rPr>
          <w:b/>
          <w:bCs/>
        </w:rPr>
        <w:t xml:space="preserve">$250,000 - $500,000</w:t>
      </w:r>
      <w:r>
        <w:t xml:space="preserve"> </w:t>
      </w:r>
      <w:r>
        <w:t xml:space="preserve">(1996 dollars); a solution that simplifies this process has immense value.</w:t>
      </w:r>
    </w:p>
    <w:p>
      <w:pPr>
        <w:pStyle w:val="Compact"/>
        <w:numPr>
          <w:ilvl w:val="0"/>
          <w:numId w:val="1021"/>
        </w:numPr>
      </w:pPr>
      <w:r>
        <w:rPr>
          <w:b/>
          <w:bCs/>
        </w:rPr>
        <w:t xml:space="preserve">Supply-Security Premium or Mandates</w:t>
      </w:r>
      <w:r>
        <w:t xml:space="preserve">:</w:t>
      </w:r>
    </w:p>
    <w:p>
      <w:pPr>
        <w:pStyle w:val="Compact"/>
        <w:numPr>
          <w:ilvl w:val="1"/>
          <w:numId w:val="1022"/>
        </w:numPr>
      </w:pPr>
      <w:r>
        <w:rPr>
          <w:b/>
          <w:bCs/>
        </w:rPr>
        <w:t xml:space="preserve">Quantification</w:t>
      </w:r>
      <w:r>
        <w:t xml:space="preserve">: Not directly quantifiable from market prices. The value is strategic. For manufacturers with government contracts (e.g., defense) or those seeking to market their products as having a "secure, non-Chinese supply chain," on-site REE recovery provides a powerful marketing and strategic advantage. The EU's Critical Raw Materials Act and US government initiatives signal a growing mandate for such capabilities.</w:t>
      </w:r>
    </w:p>
    <w:p>
      <w:pPr>
        <w:pStyle w:val="Compact"/>
        <w:numPr>
          <w:ilvl w:val="0"/>
          <w:numId w:val="1022"/>
        </w:numPr>
      </w:pPr>
      <w:r>
        <w:rPr>
          <w:b/>
          <w:bCs/>
        </w:rPr>
        <w:t xml:space="preserve">Recovered REE Commodity Value (Secondary)</w:t>
      </w:r>
      <w:r>
        <w:t xml:space="preserve">:</w:t>
      </w:r>
    </w:p>
    <w:p>
      <w:pPr>
        <w:pStyle w:val="Compact"/>
        <w:numPr>
          <w:ilvl w:val="1"/>
          <w:numId w:val="1023"/>
        </w:numPr>
      </w:pPr>
      <w:r>
        <w:rPr>
          <w:b/>
          <w:bCs/>
        </w:rPr>
        <w:t xml:space="preserve">Quantification</w:t>
      </w:r>
      <w:r>
        <w:t xml:space="preserve">: Highly variable. Assuming a 1,000 tonne/year magnet plant generates 20% waste (200 tonnes) with 25% REE content, this yields 50 tonnes of REE. At an average price of</w:t>
      </w:r>
      <w:r>
        <w:t xml:space="preserve"> </w:t>
      </w:r>
      <w:r>
        <w:rPr>
          <w:b/>
          <w:bCs/>
        </w:rPr>
        <w:t xml:space="preserve">$50-$100/kg</w:t>
      </w:r>
      <w:r>
        <w:t xml:space="preserve"> </w:t>
      </w:r>
      <w:r>
        <w:t xml:space="preserve">for an NdPr-rich oxide mix, this represents a potential revenue of</w:t>
      </w:r>
      <w:r>
        <w:t xml:space="preserve"> </w:t>
      </w:r>
      <w:r>
        <w:rPr>
          <w:b/>
          <w:bCs/>
        </w:rPr>
        <w:t xml:space="preserve">$2.5M - $5.0M per year</w:t>
      </w:r>
      <w:r>
        <w:t xml:space="preserve">. This value is secondary and should be considered upside or used to offset service fees.</w:t>
      </w:r>
    </w:p>
    <w:bookmarkEnd w:id="33"/>
    <w:bookmarkStart w:id="34" w:name="data-gaps--retrieval-plan"/>
    <w:p>
      <w:pPr>
        <w:pStyle w:val="Heading2"/>
      </w:pPr>
      <w:r>
        <w:t xml:space="preserve">Data Gaps &amp; Retrieval Plan</w:t>
      </w:r>
    </w:p>
    <w:p>
      <w:pPr>
        <w:numPr>
          <w:ilvl w:val="0"/>
          <w:numId w:val="1024"/>
        </w:numPr>
      </w:pPr>
      <w:r>
        <w:rPr>
          <w:b/>
          <w:bCs/>
        </w:rPr>
        <w:t xml:space="preserve">Plant-Level Waste Volumes</w:t>
      </w:r>
      <w:r>
        <w:t xml:space="preserve">:</w:t>
      </w:r>
    </w:p>
    <w:p>
      <w:pPr>
        <w:pStyle w:val="Compact"/>
        <w:numPr>
          <w:ilvl w:val="1"/>
          <w:numId w:val="1025"/>
        </w:numPr>
      </w:pPr>
      <w:r>
        <w:rPr>
          <w:b/>
          <w:bCs/>
        </w:rPr>
        <w:t xml:space="preserve">Missing Fact</w:t>
      </w:r>
      <w:r>
        <w:t xml:space="preserve">: Actual generation volumes (m³/day for liquids, tonnes/year for solids) and frequency of disposal for each waste stream from a commercial NdFeB magnet plant.</w:t>
      </w:r>
    </w:p>
    <w:p>
      <w:pPr>
        <w:pStyle w:val="Compact"/>
        <w:numPr>
          <w:ilvl w:val="1"/>
          <w:numId w:val="1025"/>
        </w:numPr>
      </w:pPr>
      <w:r>
        <w:rPr>
          <w:b/>
          <w:bCs/>
        </w:rPr>
        <w:t xml:space="preserve">Retrieval Plan</w:t>
      </w:r>
      <w:r>
        <w:t xml:space="preserve">: Direct engagement with EHS managers at operational plants (e.g., Noveon Magnetics, MP Materials) under NDA. Request anonymized data from environmental permit applications or annual waste reports.</w:t>
      </w:r>
    </w:p>
    <w:p>
      <w:pPr>
        <w:numPr>
          <w:ilvl w:val="0"/>
          <w:numId w:val="1025"/>
        </w:numPr>
      </w:pPr>
      <w:r>
        <w:rPr>
          <w:b/>
          <w:bCs/>
        </w:rPr>
        <w:t xml:space="preserve">Real Electroplating Effluent Chemistry</w:t>
      </w:r>
      <w:r>
        <w:t xml:space="preserve">:</w:t>
      </w:r>
    </w:p>
    <w:p>
      <w:pPr>
        <w:pStyle w:val="Compact"/>
        <w:numPr>
          <w:ilvl w:val="1"/>
          <w:numId w:val="1026"/>
        </w:numPr>
      </w:pPr>
      <w:r>
        <w:rPr>
          <w:b/>
          <w:bCs/>
        </w:rPr>
        <w:t xml:space="preserve">Missing Fact</w:t>
      </w:r>
      <w:r>
        <w:t xml:space="preserve">: Quantitative composition of REEs, competing metals, and specific organic additives (surfactants, brighteners, chelators) in electroplating effluent from an active magnet production line.</w:t>
      </w:r>
    </w:p>
    <w:p>
      <w:pPr>
        <w:pStyle w:val="Compact"/>
        <w:numPr>
          <w:ilvl w:val="1"/>
          <w:numId w:val="1026"/>
        </w:numPr>
      </w:pPr>
      <w:r>
        <w:rPr>
          <w:b/>
          <w:bCs/>
        </w:rPr>
        <w:t xml:space="preserve">Retrieval Plan</w:t>
      </w:r>
      <w:r>
        <w:t xml:space="preserve">: Propose a funded sampling and analysis program with a friendly magnet manufacturer. Obtain samples directly from their wastewater stream before pretreatment. Analyze via ICP-MS for metals and GC-MS/LC-MS for organics.</w:t>
      </w:r>
    </w:p>
    <w:p>
      <w:pPr>
        <w:numPr>
          <w:ilvl w:val="0"/>
          <w:numId w:val="1026"/>
        </w:numPr>
      </w:pPr>
      <w:r>
        <w:rPr>
          <w:b/>
          <w:bCs/>
        </w:rPr>
        <w:t xml:space="preserve">Real Grinding Coolant Chemistry</w:t>
      </w:r>
      <w:r>
        <w:t xml:space="preserve">:</w:t>
      </w:r>
    </w:p>
    <w:p>
      <w:pPr>
        <w:pStyle w:val="Compact"/>
        <w:numPr>
          <w:ilvl w:val="1"/>
          <w:numId w:val="1027"/>
        </w:numPr>
      </w:pPr>
      <w:r>
        <w:rPr>
          <w:b/>
          <w:bCs/>
        </w:rPr>
        <w:t xml:space="preserve">Missing Fact</w:t>
      </w:r>
      <w:r>
        <w:t xml:space="preserve">: Same as above, but for grinding coolant/slurry. Specifically need concentrations of oils, surfactants, and suspended solids (wt%).</w:t>
      </w:r>
    </w:p>
    <w:p>
      <w:pPr>
        <w:pStyle w:val="Compact"/>
        <w:numPr>
          <w:ilvl w:val="1"/>
          <w:numId w:val="1027"/>
        </w:numPr>
      </w:pPr>
      <w:r>
        <w:rPr>
          <w:b/>
          <w:bCs/>
        </w:rPr>
        <w:t xml:space="preserve">Retrieval Plan</w:t>
      </w:r>
      <w:r>
        <w:t xml:space="preserve">: Same as for electroplating effluent. Sample both the liquid coolant and the settled sludge/swarf for a complete characterization.</w:t>
      </w:r>
    </w:p>
    <w:p>
      <w:pPr>
        <w:numPr>
          <w:ilvl w:val="0"/>
          <w:numId w:val="1027"/>
        </w:numPr>
      </w:pPr>
      <w:r>
        <w:rPr>
          <w:b/>
          <w:bCs/>
        </w:rPr>
        <w:t xml:space="preserve">Nd/Dy Effluent Limits in Local Permits</w:t>
      </w:r>
      <w:r>
        <w:t xml:space="preserve">:</w:t>
      </w:r>
    </w:p>
    <w:p>
      <w:pPr>
        <w:pStyle w:val="Compact"/>
        <w:numPr>
          <w:ilvl w:val="1"/>
          <w:numId w:val="1028"/>
        </w:numPr>
      </w:pPr>
      <w:r>
        <w:rPr>
          <w:b/>
          <w:bCs/>
        </w:rPr>
        <w:t xml:space="preserve">Missing Fact</w:t>
      </w:r>
      <w:r>
        <w:t xml:space="preserve">: Specific discharge limits for Nd, Pr, or Dy in any active NPDES (US) or IED (EU) permit for a rare earth processing or magnet facility.</w:t>
      </w:r>
    </w:p>
    <w:p>
      <w:pPr>
        <w:pStyle w:val="Compact"/>
        <w:numPr>
          <w:ilvl w:val="1"/>
          <w:numId w:val="1028"/>
        </w:numPr>
      </w:pPr>
      <w:r>
        <w:rPr>
          <w:b/>
          <w:bCs/>
        </w:rPr>
        <w:t xml:space="preserve">Retrieval Plan</w:t>
      </w:r>
      <w:r>
        <w:t xml:space="preserve">: File Freedom of Information Act (FOIA) or EU equivalent requests for the full permits of MP Materials (Fort Worth, TX), USA Rare Earth (Stillwater, OK), and Neo Performance Materials (Narva, Estonia). Search the permit documents for any REE-specific limits.</w:t>
      </w:r>
    </w:p>
    <w:p>
      <w:pPr>
        <w:numPr>
          <w:ilvl w:val="0"/>
          <w:numId w:val="1028"/>
        </w:numPr>
      </w:pPr>
      <w:r>
        <w:rPr>
          <w:b/>
          <w:bCs/>
        </w:rPr>
        <w:t xml:space="preserve">Cost of Sludge Disposal for Magnet Manufacturers</w:t>
      </w:r>
      <w:r>
        <w:t xml:space="preserve">:</w:t>
      </w:r>
    </w:p>
    <w:p>
      <w:pPr>
        <w:pStyle w:val="Compact"/>
        <w:numPr>
          <w:ilvl w:val="1"/>
          <w:numId w:val="1029"/>
        </w:numPr>
      </w:pPr>
      <w:r>
        <w:rPr>
          <w:b/>
          <w:bCs/>
        </w:rPr>
        <w:t xml:space="preserve">Missing Fact</w:t>
      </w:r>
      <w:r>
        <w:t xml:space="preserve">: Actual invoices or contract rates ($/tonne) for hazardous waste disposal from a US or EU magnet manufacturer.</w:t>
      </w:r>
    </w:p>
    <w:p>
      <w:pPr>
        <w:pStyle w:val="Compact"/>
        <w:numPr>
          <w:ilvl w:val="1"/>
          <w:numId w:val="1029"/>
        </w:numPr>
      </w:pPr>
      <w:r>
        <w:rPr>
          <w:b/>
          <w:bCs/>
        </w:rPr>
        <w:t xml:space="preserve">Retrieval Plan</w:t>
      </w:r>
      <w:r>
        <w:t xml:space="preserve">: During industry outreach (see Gap 1), confidentially request anonymized cost data from EHS managers. Alternatively, contact hazardous waste disposal vendors (e.g., Veolia, Clean Harbors) and request budgetary quotes for disposal of F006 sludge with a representative composition.</w:t>
      </w:r>
    </w:p>
    <w:p>
      <w:pPr>
        <w:numPr>
          <w:ilvl w:val="0"/>
          <w:numId w:val="1029"/>
        </w:numPr>
      </w:pPr>
      <w:r>
        <w:rPr>
          <w:b/>
          <w:bCs/>
        </w:rPr>
        <w:t xml:space="preserve">Wastewater Treatment OPEX Breakdown</w:t>
      </w:r>
      <w:r>
        <w:t xml:space="preserve">:</w:t>
      </w:r>
    </w:p>
    <w:p>
      <w:pPr>
        <w:pStyle w:val="Compact"/>
        <w:numPr>
          <w:ilvl w:val="1"/>
          <w:numId w:val="1030"/>
        </w:numPr>
      </w:pPr>
      <w:r>
        <w:rPr>
          <w:b/>
          <w:bCs/>
        </w:rPr>
        <w:t xml:space="preserve">Missing Fact</w:t>
      </w:r>
      <w:r>
        <w:t xml:space="preserve">: A detailed OPEX breakdown (chemicals, energy, labor, maintenance) for the wastewater treatment plant at an existing magnet facility.</w:t>
      </w:r>
    </w:p>
    <w:p>
      <w:pPr>
        <w:pStyle w:val="Compact"/>
        <w:numPr>
          <w:ilvl w:val="1"/>
          <w:numId w:val="1030"/>
        </w:numPr>
      </w:pPr>
      <w:r>
        <w:rPr>
          <w:b/>
          <w:bCs/>
        </w:rPr>
        <w:t xml:space="preserve">Retrieval Plan</w:t>
      </w:r>
      <w:r>
        <w:t xml:space="preserve">: Direct engagement with plant managers under NDA. Request anonymized operational data. This is essential for a precise "avoided cost" calculation.</w:t>
      </w:r>
    </w:p>
    <w:p>
      <w:pPr>
        <w:numPr>
          <w:ilvl w:val="0"/>
          <w:numId w:val="1030"/>
        </w:numPr>
      </w:pPr>
      <w:r>
        <w:rPr>
          <w:b/>
          <w:bCs/>
        </w:rPr>
        <w:t xml:space="preserve">Procurement Lead for Environmental Systems</w:t>
      </w:r>
      <w:r>
        <w:t xml:space="preserve">:</w:t>
      </w:r>
    </w:p>
    <w:p>
      <w:pPr>
        <w:pStyle w:val="Compact"/>
        <w:numPr>
          <w:ilvl w:val="1"/>
          <w:numId w:val="1031"/>
        </w:numPr>
      </w:pPr>
      <w:r>
        <w:rPr>
          <w:b/>
          <w:bCs/>
        </w:rPr>
        <w:t xml:space="preserve">Missing Fact</w:t>
      </w:r>
      <w:r>
        <w:t xml:space="preserve">: The specific job title and role responsible for specifying and purchasing wastewater/sludge technology at new-build magnet plants (e.g., is it the EPC firm, the corporate engineering team, or the local plant EHS lead?).</w:t>
      </w:r>
    </w:p>
    <w:p>
      <w:pPr>
        <w:pStyle w:val="Compact"/>
        <w:numPr>
          <w:ilvl w:val="1"/>
          <w:numId w:val="1031"/>
        </w:numPr>
      </w:pPr>
      <w:r>
        <w:rPr>
          <w:b/>
          <w:bCs/>
        </w:rPr>
        <w:t xml:space="preserve">Retrieval Plan</w:t>
      </w:r>
      <w:r>
        <w:t xml:space="preserve">: Use LinkedIn to identify and interview engineering and EHS professionals at companies like Fluor, MP Materials, and VAC who were involved in recent plant buildouts.</w:t>
      </w:r>
    </w:p>
    <w:p>
      <w:pPr>
        <w:numPr>
          <w:ilvl w:val="0"/>
          <w:numId w:val="1031"/>
        </w:numPr>
      </w:pPr>
      <w:r>
        <w:rPr>
          <w:b/>
          <w:bCs/>
        </w:rPr>
        <w:t xml:space="preserve">Permitting Pathway for Novel Treatment</w:t>
      </w:r>
      <w:r>
        <w:t xml:space="preserve">:</w:t>
      </w:r>
    </w:p>
    <w:p>
      <w:pPr>
        <w:pStyle w:val="Compact"/>
        <w:numPr>
          <w:ilvl w:val="1"/>
          <w:numId w:val="1032"/>
        </w:numPr>
      </w:pPr>
      <w:r>
        <w:rPr>
          <w:b/>
          <w:bCs/>
        </w:rPr>
        <w:t xml:space="preserve">Missing Fact</w:t>
      </w:r>
      <w:r>
        <w:t xml:space="preserve">: What specific pilot testing data and performance guarantees are required by a regulator (e.g., Texas TCEQ, Estonian Environment Agency) to approve a novel biological treatment system in a new plant's permit?</w:t>
      </w:r>
    </w:p>
    <w:p>
      <w:pPr>
        <w:pStyle w:val="Compact"/>
        <w:numPr>
          <w:ilvl w:val="1"/>
          <w:numId w:val="1032"/>
        </w:numPr>
      </w:pPr>
      <w:r>
        <w:rPr>
          <w:b/>
          <w:bCs/>
        </w:rPr>
        <w:t xml:space="preserve">Retrieval Plan</w:t>
      </w:r>
      <w:r>
        <w:t xml:space="preserve">: Engage an environmental permitting consultant with experience in the target jurisdictions (Texas, South Carolina, Estonia). Conduct a "pre-application meeting" with the relevant regulatory agency to understand pilot requirements.</w:t>
      </w:r>
    </w:p>
    <w:p>
      <w:pPr>
        <w:numPr>
          <w:ilvl w:val="0"/>
          <w:numId w:val="1032"/>
        </w:numPr>
      </w:pPr>
      <w:r>
        <w:rPr>
          <w:b/>
          <w:bCs/>
        </w:rPr>
        <w:t xml:space="preserve">Non-Chinese REE Oxide Premium</w:t>
      </w:r>
      <w:r>
        <w:t xml:space="preserve">:</w:t>
      </w:r>
    </w:p>
    <w:p>
      <w:pPr>
        <w:pStyle w:val="Compact"/>
        <w:numPr>
          <w:ilvl w:val="1"/>
          <w:numId w:val="1033"/>
        </w:numPr>
      </w:pPr>
      <w:r>
        <w:rPr>
          <w:b/>
          <w:bCs/>
        </w:rPr>
        <w:t xml:space="preserve">Missing Fact</w:t>
      </w:r>
      <w:r>
        <w:t xml:space="preserve">: Quantified, transactional evidence of a price premium paid for Nd/Pr/Dy oxides produced outside of China.</w:t>
      </w:r>
    </w:p>
    <w:p>
      <w:pPr>
        <w:pStyle w:val="Compact"/>
        <w:numPr>
          <w:ilvl w:val="1"/>
          <w:numId w:val="1033"/>
        </w:numPr>
      </w:pPr>
      <w:r>
        <w:rPr>
          <w:b/>
          <w:bCs/>
        </w:rPr>
        <w:t xml:space="preserve">Retrieval Plan</w:t>
      </w:r>
      <w:r>
        <w:t xml:space="preserve">: Interview procurement specialists at major REE buyers (automotive OEMs, wind turbine manufacturers). Consult with commodity analysts at firms like Adamas Intelligence or Argus Media who track the physical market.</w:t>
      </w:r>
    </w:p>
    <w:p>
      <w:pPr>
        <w:numPr>
          <w:ilvl w:val="0"/>
          <w:numId w:val="1033"/>
        </w:numPr>
      </w:pPr>
      <w:r>
        <w:rPr>
          <w:b/>
          <w:bCs/>
        </w:rPr>
        <w:t xml:space="preserve">Competing Ion Impact on Biology</w:t>
      </w:r>
      <w:r>
        <w:t xml:space="preserve">:</w:t>
      </w:r>
    </w:p>
    <w:p>
      <w:pPr>
        <w:pStyle w:val="Compact"/>
        <w:numPr>
          <w:ilvl w:val="1"/>
          <w:numId w:val="1034"/>
        </w:numPr>
      </w:pPr>
      <w:r>
        <w:rPr>
          <w:b/>
          <w:bCs/>
        </w:rPr>
        <w:t xml:space="preserve">Missing Fact</w:t>
      </w:r>
      <w:r>
        <w:t xml:space="preserve">: What are the specific tolerance limits of the proposed biological process to key contaminants identified in real waste streams (e.g., oils, surfactants, high concentrations of Fe, Cu)?</w:t>
      </w:r>
    </w:p>
    <w:p>
      <w:pPr>
        <w:pStyle w:val="Compact"/>
        <w:numPr>
          <w:ilvl w:val="1"/>
          <w:numId w:val="1034"/>
        </w:numPr>
      </w:pPr>
      <w:r>
        <w:rPr>
          <w:b/>
          <w:bCs/>
        </w:rPr>
        <w:t xml:space="preserve">Retrieval Plan</w:t>
      </w:r>
      <w:r>
        <w:t xml:space="preserve">: Conduct internal, lab-scale inhibition studies. Spike synthetic REE media with varying concentrations of contaminants found in the literature (e.g., Syntilo 9902 coolant, specific surfactants) and measure the impact on REE recovery efficiency. This is a critical technical de-risking step.</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2026-02-07T11:22:50Z</dcterms:created>
  <dcterms:modified xsi:type="dcterms:W3CDTF">2026-02-07T11:22:50Z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