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28771f589a0c4838dd1fa1335418ff11f540cb"/>
    <w:p>
      <w:pPr>
        <w:pStyle w:val="Heading2"/>
      </w:pPr>
      <w:r>
        <w:t xml:space="preserve">1. What Can Be Bought or Built Today</w:t>
      </w:r>
    </w:p>
    <w:p>
      <w:pPr>
        <w:pStyle w:val="FirstParagraph"/>
      </w:pPr>
      <w:r>
        <w:t xml:space="preserve">Within the screened set, the most “buildable today” options for</w:t>
      </w:r>
      <w:r>
        <w:t xml:space="preserve"> </w:t>
      </w:r>
      <w:r>
        <w:rPr>
          <w:b/>
          <w:bCs/>
        </w:rPr>
        <w:t xml:space="preserve">manufacturing wastes</w:t>
      </w:r>
      <w:r>
        <w:t xml:space="preserve"> </w:t>
      </w:r>
      <w:r>
        <w:t xml:space="preserve">(swarf, grinding sludge/slurry, leachates arising from manufacturing scrap processing) are conventional</w:t>
      </w:r>
      <w:r>
        <w:t xml:space="preserve"> </w:t>
      </w:r>
      <w:r>
        <w:rPr>
          <w:b/>
          <w:bCs/>
        </w:rPr>
        <w:t xml:space="preserve">hydrometallurgical precipitation and solvent-extraction-style flowsheets</w:t>
      </w:r>
      <w:r>
        <w:t xml:space="preserve">, plus</w:t>
      </w:r>
      <w:r>
        <w:t xml:space="preserve"> </w:t>
      </w:r>
      <w:r>
        <w:rPr>
          <w:b/>
          <w:bCs/>
        </w:rPr>
        <w:t xml:space="preserve">adsorbent polishing</w:t>
      </w:r>
      <w:r>
        <w:t xml:space="preserve"> </w:t>
      </w:r>
      <w:r>
        <w:t xml:space="preserve">of hydromet wastewaters; the evidence base in the excerpts is largely bench/lab, with one TEA/LCA-style industrial model for swarf processing. Acid-free dissolution with copper(II) nitrate is presented as an industrially modeled route for NdFeB</w:t>
      </w:r>
      <w:r>
        <w:t xml:space="preserve"> </w:t>
      </w:r>
      <w:r>
        <w:rPr>
          <w:b/>
          <w:bCs/>
        </w:rPr>
        <w:t xml:space="preserve">magnet swarf</w:t>
      </w:r>
      <w:r>
        <w:t xml:space="preserve"> </w:t>
      </w:r>
      <w:r>
        <w:t xml:space="preserve">(powders/filings from cutting and grinding), with downstream precipitation/filtration and oxide production steps (dissolution, filtration, ammonium hydroxide precipitation, oxalic acid precipitation, and roasting to mixed REOs).</w:t>
      </w:r>
    </w:p>
    <w:p>
      <w:pPr>
        <w:pStyle w:val="BodyText"/>
      </w:pPr>
      <w:r>
        <w:t xml:space="preserve">For solvent extraction, a D2EHPA-in-kerosene route is demonstrated at bench scale with counter-current staging and quantified co-extraction behavior (Fe/B/Co), and a coupled approach using</w:t>
      </w:r>
      <w:r>
        <w:t xml:space="preserve"> </w:t>
      </w:r>
      <w:r>
        <w:rPr>
          <w:b/>
          <w:bCs/>
        </w:rPr>
        <w:t xml:space="preserve">solvent extraction plus extraction chromatography</w:t>
      </w:r>
      <w:r>
        <w:t xml:space="preserve"> </w:t>
      </w:r>
      <w:r>
        <w:t xml:space="preserve">is described to split REEs into separate fractions under sulfuric-acid elution conditions.</w:t>
      </w:r>
    </w:p>
    <w:p>
      <w:pPr>
        <w:pStyle w:val="BodyText"/>
      </w:pPr>
      <w:r>
        <w:t xml:space="preserve">For “shop-floor” solids handling before hydromet (i.e., reducing iron interference before leaching), one recent process uses</w:t>
      </w:r>
      <w:r>
        <w:t xml:space="preserve"> </w:t>
      </w:r>
      <w:r>
        <w:rPr>
          <w:b/>
          <w:bCs/>
        </w:rPr>
        <w:t xml:space="preserve">flash reduction plus two-step wet magnetic separation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scraps produced during cutting, grinding, and polishing</w:t>
      </w:r>
      <w:r>
        <w:t xml:space="preserve">, explicitly sourced from a magnet manufacturer (Ganzhou YouLi Technology). This is a pre-concentration route that increases REOs in a REO-rich phase and enriches an Fe-rich phase, with the stated benefit of minimizing Fe interference in subsequent leaching and avoiding substantial leaching waste residue rich in rare earth phases.</w:t>
      </w:r>
    </w:p>
    <w:p>
      <w:pPr>
        <w:pStyle w:val="BodyText"/>
      </w:pPr>
      <w:r>
        <w:t xml:space="preserve">On the “removal from wastewater” end (rather than bulk recovery from solids), a nitrogen-rich hydrogel adsorbent (PEI-ALG@KLN) is presented for “waste NdFeB magnet hydrometallurgical wastewater,” with reported Nd/Dy recovery and Fe rejection, suggesting a plausible</w:t>
      </w:r>
      <w:r>
        <w:t xml:space="preserve"> </w:t>
      </w:r>
      <w:r>
        <w:rPr>
          <w:b/>
          <w:bCs/>
        </w:rPr>
        <w:t xml:space="preserve">polishing/secondary recovery</w:t>
      </w:r>
      <w:r>
        <w:t xml:space="preserve"> </w:t>
      </w:r>
      <w:r>
        <w:t xml:space="preserve">unit operation after hydromet steps where an aqueous stream exists.</w:t>
      </w:r>
    </w:p>
    <w:p>
      <w:pPr>
        <w:pStyle w:val="BodyText"/>
      </w:pPr>
      <w:r>
        <w:t xml:space="preserve">Named commercial entities appearing in the provided excerpts are primarily</w:t>
      </w:r>
      <w:r>
        <w:t xml:space="preserve"> </w:t>
      </w:r>
      <w:r>
        <w:rPr>
          <w:b/>
          <w:bCs/>
        </w:rPr>
        <w:t xml:space="preserve">suppliers of reagents or feedstock</w:t>
      </w:r>
      <w:r>
        <w:t xml:space="preserve"> </w:t>
      </w:r>
      <w:r>
        <w:t xml:space="preserve">rather than turnkey wastewater vendors: D2EHPA (97%) is stated as supplied by Sigma Aldrich, and manufacturer-provided scrap is attributed to Ganzhou YouLi Technology (Ganzhou, China).</w:t>
      </w:r>
    </w:p>
    <w:bookmarkEnd w:id="20"/>
    <w:bookmarkStart w:id="21" w:name="Xff81f523a2a3cc43f5e9093a591720feb3f1b9a"/>
    <w:p>
      <w:pPr>
        <w:pStyle w:val="Heading2"/>
      </w:pPr>
      <w:r>
        <w:t xml:space="preserve">2. Best Credible Benchmarks</w:t>
      </w:r>
    </w:p>
    <w:p>
      <w:pPr>
        <w:pStyle w:val="FirstParagraph"/>
      </w:pPr>
      <w:r>
        <w:t xml:space="preserve">The table below summarizes the best extractable, quantitative benchmarks in the provided excerpts, separated by whether the process targets bulk recovery from solids/leachates or adsorption from a wastewater stream. All values are reported as stated, with the evidence level indicated.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 class</w:t>
            </w:r>
          </w:p>
        </w:tc>
        <w:tc>
          <w:tcPr/>
          <w:p>
            <w:pPr>
              <w:pStyle w:val="Compact"/>
            </w:pPr>
            <w:r>
              <w:t xml:space="preserve">Waste stream type</w:t>
            </w:r>
          </w:p>
        </w:tc>
        <w:tc>
          <w:tcPr/>
          <w:p>
            <w:pPr>
              <w:pStyle w:val="Compact"/>
            </w:pPr>
            <w:r>
              <w:t xml:space="preserve">Best Nd metric</w:t>
            </w:r>
          </w:p>
        </w:tc>
        <w:tc>
          <w:tcPr/>
          <w:p>
            <w:pPr>
              <w:pStyle w:val="Compact"/>
            </w:pPr>
            <w:r>
              <w:t xml:space="preserve">Best Dy metric</w:t>
            </w:r>
          </w:p>
        </w:tc>
        <w:tc>
          <w:tcPr/>
          <w:p>
            <w:pPr>
              <w:pStyle w:val="Compact"/>
            </w:pPr>
            <w:r>
              <w:t xml:space="preserve">Best Pr metric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Hydromet (acid-free dissolution + precipitation to mixed REOs)</w:t>
            </w:r>
          </w:p>
        </w:tc>
        <w:tc>
          <w:tcPr/>
          <w:p>
            <w:pPr>
              <w:pStyle w:val="Compact"/>
            </w:pPr>
            <w:r>
              <w:t xml:space="preserve">Magnet swarf from cutting/grinding</w:t>
            </w:r>
          </w:p>
        </w:tc>
        <w:tc>
          <w:tcPr/>
          <w:p>
            <w:pPr>
              <w:pStyle w:val="Compact"/>
            </w:pPr>
            <w:r>
              <w:t xml:space="preserve">Overall REE extraction/recovery efficiency 96%–99% (baseline 97%)</w:t>
            </w:r>
          </w:p>
        </w:tc>
        <w:tc>
          <w:tcPr/>
          <w:p>
            <w:pPr>
              <w:pStyle w:val="Compact"/>
            </w:pPr>
            <w:r>
              <w:t xml:space="preserve">Dy treated as part of mixed REO output; scenarios assume 0.48% Dy in swarf (baseline) and vary Dy to 0% and 6% alongside 96%–99% leaching assumptions</w:t>
            </w:r>
          </w:p>
        </w:tc>
        <w:tc>
          <w:tcPr/>
          <w:p>
            <w:pPr>
              <w:pStyle w:val="Compact"/>
            </w:pPr>
            <w:r>
              <w:t xml:space="preserve">Pr treated as part of mixed REO output; baseline assumes 3.33% Pr in swarf</w:t>
            </w:r>
          </w:p>
        </w:tc>
        <w:tc>
          <w:tcPr/>
          <w:p>
            <w:pPr>
              <w:pStyle w:val="Compact"/>
            </w:pPr>
            <w:r>
              <w:t xml:space="preserve">TEA/LCA estimate based on lab data and equipment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Hydromet + solvent extraction (D2EHPA SX)</w:t>
            </w:r>
          </w:p>
        </w:tc>
        <w:tc>
          <w:tcPr/>
          <w:p>
            <w:pPr>
              <w:pStyle w:val="Compact"/>
            </w:pPr>
            <w:r>
              <w:t xml:space="preserve">PLS (leachate) from NdFeB waste</w:t>
            </w:r>
          </w:p>
        </w:tc>
        <w:tc>
          <w:tcPr/>
          <w:p>
            <w:pPr>
              <w:pStyle w:val="Compact"/>
            </w:pPr>
            <w:r>
              <w:t xml:space="preserve">99.9% Nd extraction with three counter-current stages; &gt;80% Nd stripped using 1.25 M H2SO4 at 25 °C (A/O 0.5)</w:t>
            </w:r>
          </w:p>
        </w:tc>
        <w:tc>
          <w:tcPr/>
          <w:p>
            <w:pPr>
              <w:pStyle w:val="Compact"/>
            </w:pPr>
            <w:r>
              <w:t xml:space="preserve">&gt;99.7% Dy extraction; &gt;99% Dy extraction at pH 1.9</w:t>
            </w:r>
          </w:p>
        </w:tc>
        <w:tc>
          <w:tcPr/>
          <w:p>
            <w:pPr>
              <w:pStyle w:val="Compact"/>
            </w:pPr>
            <w:r>
              <w:t xml:space="preserve">92% Pr extraction</w:t>
            </w:r>
          </w:p>
        </w:tc>
        <w:tc>
          <w:tcPr/>
          <w:p>
            <w:pPr>
              <w:pStyle w:val="Compact"/>
            </w:pPr>
            <w:r>
              <w:t xml:space="preserve">Lab-scale (250 mL beaker SX/stripping)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Ion exchange/resin (extraction chromatography with D2EHPA-impregnated column)</w:t>
            </w:r>
          </w:p>
        </w:tc>
        <w:tc>
          <w:tcPr/>
          <w:p>
            <w:pPr>
              <w:pStyle w:val="Compact"/>
            </w:pPr>
            <w:r>
              <w:t xml:space="preserve">PLS fed to column (Nd 462 mg/L; Pr 38 mg/L)</w:t>
            </w:r>
          </w:p>
        </w:tc>
        <w:tc>
          <w:tcPr/>
          <w:p>
            <w:pPr>
              <w:pStyle w:val="Compact"/>
            </w:pPr>
            <w:r>
              <w:t xml:space="preserve">Nd+Pr fraction purity &gt;98%; Nd fraction target below 0.01% Sm</w:t>
            </w:r>
          </w:p>
        </w:tc>
        <w:tc>
          <w:tcPr/>
          <w:p>
            <w:pPr>
              <w:pStyle w:val="Compact"/>
            </w:pPr>
            <w:r>
              <w:t xml:space="preserve">Dy recovered last; Dy elution requires &gt;0.9 M H2SO4</w:t>
            </w:r>
          </w:p>
        </w:tc>
        <w:tc>
          <w:tcPr/>
          <w:p>
            <w:pPr>
              <w:pStyle w:val="Compact"/>
            </w:pPr>
            <w:r>
              <w:t xml:space="preserve">&gt;50% Pr recovery in a third fraction with purity &gt;75% (real PLS)</w:t>
            </w:r>
          </w:p>
        </w:tc>
        <w:tc>
          <w:tcPr/>
          <w:p>
            <w:pPr>
              <w:pStyle w:val="Compact"/>
            </w:pPr>
            <w:r>
              <w:t xml:space="preserve">Lab-scale (50 µL injections; 1 mL/min eluate flowrate)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Hydromet (AMSS roasting + HCl leach + oxalate precipitation + calcination)</w:t>
            </w:r>
          </w:p>
        </w:tc>
        <w:tc>
          <w:tcPr/>
          <w:p>
            <w:pPr>
              <w:pStyle w:val="Compact"/>
            </w:pPr>
            <w:r>
              <w:t xml:space="preserve">Swarf/slurry with coolant (AMSS includes 52.5% cooling reagent)</w:t>
            </w:r>
          </w:p>
        </w:tc>
        <w:tc>
          <w:tcPr/>
          <w:p>
            <w:pPr>
              <w:pStyle w:val="Compact"/>
            </w:pPr>
            <w:r>
              <w:t xml:space="preserve">99% Nd dissolved in 0.5 N HCl; 99% Nd recovery; 18 g oxalic acid per L solution to precipitate 99% Nd; final product purity “over 99%”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 (not reported quantitatively)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 (not reported quantitatively)</w:t>
            </w:r>
          </w:p>
        </w:tc>
        <w:tc>
          <w:tcPr/>
          <w:p>
            <w:pPr>
              <w:pStyle w:val="Compact"/>
            </w:pPr>
            <w:r>
              <w:t xml:space="preserve">Lab-scale (older,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Biological/biosorption (PEI-ALG@KLN hydrogel adsorbent)</w:t>
            </w:r>
          </w:p>
        </w:tc>
        <w:tc>
          <w:tcPr/>
          <w:p>
            <w:pPr>
              <w:pStyle w:val="Compact"/>
            </w:pPr>
            <w:r>
              <w:t xml:space="preserve">“Waste NdFeB magnet hydrometallurgical wastewater”</w:t>
            </w:r>
          </w:p>
        </w:tc>
        <w:tc>
          <w:tcPr/>
          <w:p>
            <w:pPr>
              <w:pStyle w:val="Compact"/>
            </w:pPr>
            <w:r>
              <w:t xml:space="preserve">Nd adsorption capacity 125 mg/g; Nd recovery rate &gt;93%; capacity remains &gt;85% after five adsorption–desorption cycles</w:t>
            </w:r>
          </w:p>
        </w:tc>
        <w:tc>
          <w:tcPr/>
          <w:p>
            <w:pPr>
              <w:pStyle w:val="Compact"/>
            </w:pPr>
            <w:r>
              <w:t xml:space="preserve">Dy recovery rate &gt;93% (reported jointly with Nd)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 (not reported quantitatively)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(flash reduction + magnetic separation)</w:t>
            </w:r>
          </w:p>
        </w:tc>
        <w:tc>
          <w:tcPr/>
          <w:p>
            <w:pPr>
              <w:pStyle w:val="Compact"/>
            </w:pPr>
            <w:r>
              <w:t xml:space="preserve">Scraps from cutting/grinding/polishing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 (element-specific Nd not reported)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</w:t>
            </w:r>
          </w:p>
        </w:tc>
        <w:tc>
          <w:tcPr/>
          <w:p>
            <w:pPr>
              <w:pStyle w:val="Compact"/>
            </w:pPr>
            <w:r>
              <w:t xml:space="preserve">Not found in provided excerpts</w:t>
            </w:r>
          </w:p>
        </w:tc>
        <w:tc>
          <w:tcPr/>
          <w:p>
            <w:pPr>
              <w:pStyle w:val="Compact"/>
            </w:pPr>
            <w:r>
              <w:t xml:space="preserve">Lab-scale (100 g processed; ~5 s flash reduction residence time)</w:t>
            </w:r>
          </w:p>
        </w:tc>
      </w:tr>
    </w:tbl>
    <w:p>
      <w:pPr>
        <w:pStyle w:val="BodyText"/>
      </w:pPr>
      <w:r>
        <w:t xml:space="preserve">Across the hydromet/SX pathways, the strongest</w:t>
      </w:r>
      <w:r>
        <w:t xml:space="preserve"> </w:t>
      </w:r>
      <w:r>
        <w:rPr>
          <w:b/>
          <w:bCs/>
        </w:rPr>
        <w:t xml:space="preserve">Nd and Dy extraction</w:t>
      </w:r>
      <w:r>
        <w:t xml:space="preserve"> </w:t>
      </w:r>
      <w:r>
        <w:t xml:space="preserve">numbers in the provided excerpts are from the staged D2EHPA solvent extraction experiments (99.9% Nd extraction; &gt;99.7% Dy extraction). In contrast, the adsorption approach reports &gt;93% recovery (Nd and Dy) and provides an Nd adsorption capacity (125 mg/g), but does not (in the provided excerpts) report wastewater discharge limits, residual concentrations, or full-stream mass balances that would be required to benchmark it against industrial effluent compliance needs.</w:t>
      </w:r>
    </w:p>
    <w:p>
      <w:pPr>
        <w:pStyle w:val="BodyText"/>
      </w:pPr>
      <w:r>
        <w:t xml:space="preserve">For costs and energy, only the TEA/LCA-style swarf process provides explicit, extractable cost and energy assumptions in the provided excerpts: total cost of $1,092,585–$1,525,596/year (also expressed as ~$11 per kg of swarf processed or ~$29–$36 per kg of mixed REO produced), filtration energy assumed as 5.5 kWh/ton of dry material, and roasting energy reported as 16 kWh/kg of REO (4 kW muffle furnace; up to 4 hours per 1 kg REO).</w:t>
      </w:r>
    </w:p>
    <w:bookmarkEnd w:id="21"/>
    <w:bookmarkStart w:id="22" w:name="X38d0ce4c42e80a349c3cbbd5b79e9fe25d26189"/>
    <w:p>
      <w:pPr>
        <w:pStyle w:val="Heading2"/>
      </w:pPr>
      <w:r>
        <w:t xml:space="preserve">3. Dominant Hidden Costs and Burdens</w:t>
      </w:r>
    </w:p>
    <w:p>
      <w:pPr>
        <w:pStyle w:val="FirstParagraph"/>
      </w:pPr>
      <w:r>
        <w:t xml:space="preserve">The dominant “hidden costs” visible in the excerpts are not line-item OPEX tables (which are generally absent from the lab-scale papers), but rather the</w:t>
      </w:r>
      <w:r>
        <w:t xml:space="preserve"> </w:t>
      </w:r>
      <w:r>
        <w:rPr>
          <w:b/>
          <w:bCs/>
        </w:rPr>
        <w:t xml:space="preserve">pretreatment requirements</w:t>
      </w:r>
      <w:r>
        <w:t xml:space="preserve">,</w:t>
      </w:r>
      <w:r>
        <w:t xml:space="preserve"> </w:t>
      </w:r>
      <w:r>
        <w:rPr>
          <w:b/>
          <w:bCs/>
        </w:rPr>
        <w:t xml:space="preserve">interference management</w:t>
      </w:r>
      <w:r>
        <w:t xml:space="preserve">, and</w:t>
      </w:r>
      <w:r>
        <w:t xml:space="preserve"> </w:t>
      </w:r>
      <w:r>
        <w:rPr>
          <w:b/>
          <w:bCs/>
        </w:rPr>
        <w:t xml:space="preserve">secondary solids/wastewater streams</w:t>
      </w:r>
      <w:r>
        <w:t xml:space="preserve"> </w:t>
      </w:r>
      <w:r>
        <w:t xml:space="preserve">implied by the chemistry and separations used.</w:t>
      </w:r>
    </w:p>
    <w:p>
      <w:pPr>
        <w:pStyle w:val="BodyText"/>
      </w:pPr>
      <w:r>
        <w:t xml:space="preserve">A recurring burden is</w:t>
      </w:r>
      <w:r>
        <w:t xml:space="preserve"> </w:t>
      </w:r>
      <w:r>
        <w:rPr>
          <w:b/>
          <w:bCs/>
        </w:rPr>
        <w:t xml:space="preserve">iron management</w:t>
      </w:r>
      <w:r>
        <w:t xml:space="preserve">. In the acid-free dissolution route, dissolution produces an REE-containing solution alongside copper and iron precipitates that must be separated by filtration, and an additional wastewater-treatment step is described to remove iron using calcium chloride and calcium hydroxide (prepared from calcium oxide). In the D2EHPA SX route, co-extraction is quantified (7% Fe, 4% B, 2% Co across three counter-current stages), and downstream handling is implied in the need for scrubbing (oxalic acid scrubbing enabling &gt;86% Fe and &gt;88% B scrubbing). In the same source family, the raffinate iron-removal step is described as potentially slow, with precipitation rates requiring control to maintain filterability, which signals a time-and-solids-handling penalty even when the solvent-extraction step itself performs well.</w:t>
      </w:r>
    </w:p>
    <w:p>
      <w:pPr>
        <w:pStyle w:val="BodyText"/>
      </w:pPr>
      <w:r>
        <w:t xml:space="preserve">Another recurring burden is</w:t>
      </w:r>
      <w:r>
        <w:t xml:space="preserve"> </w:t>
      </w:r>
      <w:r>
        <w:rPr>
          <w:b/>
          <w:bCs/>
        </w:rPr>
        <w:t xml:space="preserve">coolant/organic content in manufacturing slurries</w:t>
      </w:r>
      <w:r>
        <w:t xml:space="preserve">. The AMSS (acoustic magnet swarf slurry) is described as containing 52.5% cooling reagent, and oxidation roasting is described as serving to remove cooling reagent and decrease iron dissolution, implying a significant thermal pretreatment and organic handling step to make leaching workable. Consistent with this, the AMSS route includes multiple high-temperature steps (e.g., oxidation roasting at 600 °C for 6 hours; calcination at 900 °C for 0.5 hour) and elevated-temperature leaching (e.g., 95 °C for 4 hours), which collectively imply substantial equipment and energy burdens even when direct Nd recovery is high in lab tests.</w:t>
      </w:r>
    </w:p>
    <w:p>
      <w:pPr>
        <w:pStyle w:val="BodyText"/>
      </w:pPr>
      <w:r>
        <w:t xml:space="preserve">Pre-concentration by flash reduction plus magnetic separation is positioned as a way to</w:t>
      </w:r>
      <w:r>
        <w:t xml:space="preserve"> </w:t>
      </w:r>
      <w:r>
        <w:rPr>
          <w:b/>
          <w:bCs/>
        </w:rPr>
        <w:t xml:space="preserve">reduce Fe interference</w:t>
      </w:r>
      <w:r>
        <w:t xml:space="preserve"> </w:t>
      </w:r>
      <w:r>
        <w:t xml:space="preserve">and to avoid substantial leaching waste residue rich in rare earth phases, which is a different kind of “hidden cost” lever: shifting burden upstream into thermal reduction and physical separation to reduce downstream residue and leach complexity.</w:t>
      </w:r>
    </w:p>
    <w:p>
      <w:pPr>
        <w:pStyle w:val="BodyText"/>
      </w:pPr>
      <w:r>
        <w:t xml:space="preserve">Finally, reagent circularity and loss can be a major burden. In the acid-free copper-nitrate dissolution TEA/LCA, copper nitrate is identified as a primary source of non-carcinogenics and ecotoxicity impacts, and copper nitrate recycling efficiency is stated as ~70%, implying ongoing reagent makeup and associated burden even under a “recycling” design.</w:t>
      </w:r>
    </w:p>
    <w:bookmarkEnd w:id="22"/>
    <w:bookmarkStart w:id="23" w:name="Xeff3e60d0e6bae16882bfedeb89297a99afe69f"/>
    <w:p>
      <w:pPr>
        <w:pStyle w:val="Heading2"/>
      </w:pPr>
      <w:r>
        <w:t xml:space="preserve">4. Biological Win and Fail Conditions</w:t>
      </w:r>
    </w:p>
    <w:p>
      <w:pPr>
        <w:pStyle w:val="FirstParagraph"/>
      </w:pPr>
      <w:r>
        <w:t xml:space="preserve">The provided excerpts suggest two plausible incumbent benchmarks for a biological or bio-derived sorbent approach: (i) high extraction performance from hydromet/SX routes, and (ii) quantified Fe/REE discrimination. In staged D2EHPA solvent extraction, the benchmark extraction values reported are 99.9% Nd extraction and &gt;99.7% Dy extraction under the stated counter-current staging, with quantified co-extraction (7% Fe, 4% B, 2% Co). In the PEI-ALG@KLN adsorption work, the benchmark values reported are &gt;93% recovery for Nd and Dy, Nd capacity 125 mg/g, and Fe recovery only 5.04%, with &gt;85% capacity retention after five adsorption–desorption cycles.</w:t>
      </w:r>
    </w:p>
    <w:p>
      <w:pPr>
        <w:pStyle w:val="BodyText"/>
      </w:pPr>
      <w:r>
        <w:t xml:space="preserve">A credible set of</w:t>
      </w:r>
      <w:r>
        <w:t xml:space="preserve"> </w:t>
      </w:r>
      <w:r>
        <w:rPr>
          <w:b/>
          <w:bCs/>
        </w:rPr>
        <w:t xml:space="preserve">biological win conditions</w:t>
      </w:r>
      <w:r>
        <w:t xml:space="preserve"> </w:t>
      </w:r>
      <w:r>
        <w:t xml:space="preserve">(as hypotheses anchored to the extracted numbers) is therefore:</w:t>
      </w:r>
    </w:p>
    <w:p>
      <w:pPr>
        <w:pStyle w:val="Compact"/>
        <w:numPr>
          <w:ilvl w:val="0"/>
          <w:numId w:val="1001"/>
        </w:numPr>
      </w:pPr>
      <w:r>
        <w:t xml:space="preserve">The bio-based route should demonstrate Nd and Dy recovery that is at least comparable to the reported &gt;93% recovery values, while maintaining strong Fe rejection comparable to Fe recovery of 5.04% in the adsorbent example.</w:t>
      </w:r>
    </w:p>
    <w:p>
      <w:pPr>
        <w:pStyle w:val="Compact"/>
        <w:numPr>
          <w:ilvl w:val="0"/>
          <w:numId w:val="1001"/>
        </w:numPr>
      </w:pPr>
      <w:r>
        <w:t xml:space="preserve">The bio-based route should show stability over multiple reuse cycles at least comparable to “capacity remains more than 85% after five adsorption–desorption cycles,” because regeneration durability directly affects consumables and waste burdens for sorbent systems.</w:t>
      </w:r>
    </w:p>
    <w:p>
      <w:pPr>
        <w:pStyle w:val="Compact"/>
        <w:numPr>
          <w:ilvl w:val="0"/>
          <w:numId w:val="1001"/>
        </w:numPr>
      </w:pPr>
      <w:r>
        <w:t xml:space="preserve">If competing directly with solvent extraction for leachates, the bio-based route must be evaluated head-to-head against the very high extraction benchmarks reported for SX (99.9% Nd; &gt;99.7% Dy), which likely necessitates either multi-stage contacting or a process design that can deliver comparable overall recovery at realistic flow and solids loads.</w:t>
      </w:r>
    </w:p>
    <w:p>
      <w:pPr>
        <w:pStyle w:val="FirstParagraph"/>
      </w:pPr>
      <w:r>
        <w:t xml:space="preserve">Corresponding</w:t>
      </w:r>
      <w:r>
        <w:t xml:space="preserve"> </w:t>
      </w:r>
      <w:r>
        <w:rPr>
          <w:b/>
          <w:bCs/>
        </w:rPr>
        <w:t xml:space="preserve">biological fail conditions</w:t>
      </w:r>
      <w:r>
        <w:t xml:space="preserve"> </w:t>
      </w:r>
      <w:r>
        <w:t xml:space="preserve">(again, hypotheses grounded in incumbent numbers) include:</w:t>
      </w:r>
    </w:p>
    <w:p>
      <w:pPr>
        <w:pStyle w:val="Compact"/>
        <w:numPr>
          <w:ilvl w:val="0"/>
          <w:numId w:val="1002"/>
        </w:numPr>
      </w:pPr>
      <w:r>
        <w:t xml:space="preserve">Strong performance collapse in the presence of iron-bearing matrices, because iron interference is a repeatedly surfaced operational issue across hydromet and SX routes (filtration of Fe/Cu precipitates, iron precipitation control for filterability, co-extraction that demands scrubbing).</w:t>
      </w:r>
    </w:p>
    <w:p>
      <w:pPr>
        <w:pStyle w:val="Compact"/>
        <w:numPr>
          <w:ilvl w:val="0"/>
          <w:numId w:val="1002"/>
        </w:numPr>
      </w:pPr>
      <w:r>
        <w:t xml:space="preserve">Inability to operate on coolant-laden or organic-contaminated streams without upstream destruction or removal, because manufacturing slurries can contain large coolant fractions (e.g., 52.5% cooling reagent in AMSS) and roasting is used explicitly to remove these organics before leaching in one manufacturing-slurry flowsheet.</w:t>
      </w:r>
    </w:p>
    <w:bookmarkEnd w:id="23"/>
    <w:bookmarkStart w:id="24" w:name="X67b9eddb90a4c8cc6bdebca59217665af516b7b"/>
    <w:p>
      <w:pPr>
        <w:pStyle w:val="Heading2"/>
      </w:pPr>
      <w:r>
        <w:t xml:space="preserve">5. Plant Baseline</w:t>
      </w:r>
    </w:p>
    <w:p>
      <w:pPr>
        <w:pStyle w:val="FirstParagraph"/>
      </w:pPr>
      <w:r>
        <w:t xml:space="preserve">The excerpts provide clear descriptions of</w:t>
      </w:r>
      <w:r>
        <w:t xml:space="preserve"> </w:t>
      </w:r>
      <w:r>
        <w:rPr>
          <w:b/>
          <w:bCs/>
        </w:rPr>
        <w:t xml:space="preserve">where manufacturing wastes arise</w:t>
      </w:r>
      <w:r>
        <w:t xml:space="preserve"> </w:t>
      </w:r>
      <w:r>
        <w:t xml:space="preserve">(e.g., magnet swarf as powders and filings from cutting and grinding; scraps produced during cutting, grinding, and polishing; grinding sludge from the sintered-magnet production process). They also show why these wastes are operationally challenging (e.g., AMSS described as 52.5% cooling reagent).</w:t>
      </w:r>
    </w:p>
    <w:p>
      <w:pPr>
        <w:pStyle w:val="BodyText"/>
      </w:pPr>
      <w:r>
        <w:t xml:space="preserve">However, the provided excerpts do not contain an explicit, quantitative description of the prevailing in-plant “do-nothing” handling route (e.g., direct disposal routes, on-site neutralization-only, off-site hazardous waste classification, or internal returns to melt) for these manufacturing waste streams. A practical baseline-assessment approach consistent with the burdens described in the technical excerpts is to document: (i) where iron is removed (e.g., CaCl2 + Ca(OH)2 iron removal is described as a wastewater-treatment step in one TEA/LCA), (ii) whether coolant-rich slurries are thermally treated (oxidation roasting described as removing cooling reagent), and (iii) whether any plant already deploys physical pre-concentration to reduce leach residue burdens (flash reduction + magnetic separation described as avoiding substantial leaching waste residue).</w:t>
      </w:r>
    </w:p>
    <w:bookmarkEnd w:id="24"/>
    <w:bookmarkStart w:id="25" w:name="Xad8e9f7efe8b2c4ace8b41b43ba39e3830f97e3"/>
    <w:p>
      <w:pPr>
        <w:pStyle w:val="Heading2"/>
      </w:pPr>
      <w:r>
        <w:t xml:space="preserve">6. Top Data Gaps</w:t>
      </w:r>
    </w:p>
    <w:p>
      <w:pPr>
        <w:pStyle w:val="FirstParagraph"/>
      </w:pPr>
      <w:r>
        <w:t xml:space="preserve">The gaps below are ranked by decision impact and time-to-resolve, and each includes a concrete retrieval plan. The list is constrained to what the excerpts explicitly do and do not report.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Element-specific Dy and Pr performance on true manufacturing wastewaters (not just leachates)</w:t>
      </w:r>
      <w:r>
        <w:t xml:space="preserve">. Dy and Pr metrics are often absent in the manufacturing slurry and sludge routes, while Nd is reported more frequently (e.g., AMSS Nd dissolution/recovery is quantified, but Dy/Pr are not). Retrieval plan: measure Nd/Pr/Dy concentrations (ICP-OES/ICP-MS) in influent/effluent streams for pilot trials on manufacturing coolants/rinse waters; look for plant wastewater monitoring reports and hydromet bleed-stream analyses.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Residual concentrations and discharge metrics</w:t>
      </w:r>
      <w:r>
        <w:t xml:space="preserve"> </w:t>
      </w:r>
      <w:r>
        <w:t xml:space="preserve">for any technology applied to manufacturing wastewaters (mg/L after treatment). The adsorbent work reports recovery rates and capacity but not discharge endpoints in the excerpts. Retrieval plan: run batch and column tests reporting effluent concentration vs bed volumes; internal EHS compliance records typically capture discharge concentrations by outfall and permit parameter.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Pretreatment requirements for adsorbent use</w:t>
      </w:r>
      <w:r>
        <w:t xml:space="preserve">, including pH control, solids filtration, and regeneration chemistry. The adsorbent excerpts mention adsorption–desorption cycling but do not specify regeneration reagents. Retrieval plan: obtain full text methods and supporting information; request vendor-style regeneration protocol; verify via mass balance on eluate/reagent consumption per cycle.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Full reagent consumption rates for hydromet leaching and precipitation steps</w:t>
      </w:r>
      <w:r>
        <w:t xml:space="preserve">. One route reports oxalic acid demand as “18 grams” per “litre of solution,” but broader reagent consumption (acid/base neutralization demand, scrubbing reagent) is not consistently enumerated in excerpts. Retrieval plan: from process design packages, compile reagent make-up and bleed; lab can measure titration curves (acid/base demand) and precipitation yields vs dosage.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Secondary waste quantities and characterization</w:t>
      </w:r>
      <w:r>
        <w:t xml:space="preserve"> </w:t>
      </w:r>
      <w:r>
        <w:t xml:space="preserve">(filter cake mass, hazardous classification, Cu/Fe sludge). Filtration of Cu/Fe precipitates and iron precipitation control are described, but not the resulting sludge quantities. Retrieval plan: measure solids generation (kg dry solids per m³ treated) and TCLP/metals; look for waste manifests and sludge dewatering logs from similar hydroxide precipitation systems.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Economic breakdown of the TEA/LCA total cost into CAPEX and OPEX line items</w:t>
      </w:r>
      <w:r>
        <w:t xml:space="preserve">. The TEA/LCA provides total annual cost and notes amortization over 20 years, but investment and operating line-item structure is not extractable from the excerpts. Retrieval plan: access full TEA spreadsheet/supplement; request vendor EPC estimates for reactor/filtration/roaster; compare to the modeled reactor sizing example (198-gallon reactor for 100 tons/year).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Solvent losses and solvent management requirements</w:t>
      </w:r>
      <w:r>
        <w:t xml:space="preserve"> </w:t>
      </w:r>
      <w:r>
        <w:t xml:space="preserve">for D2EHPA/kerosene systems. The SX excerpt specifies D2EHPA concentration and stripping conditions but not solvent loss rates. Retrieval plan: pilot-scale mixer-settler or column trial with organic inventory tracking; solvent loss typically appears in HSE solvent-emissions plans and OPEX reagent makeup tables.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Performance under realistic chelators, oils, surfactants, and coolant additives</w:t>
      </w:r>
      <w:r>
        <w:t xml:space="preserve"> </w:t>
      </w:r>
      <w:r>
        <w:t xml:space="preserve">typical of grinding coolants and plating/finishing operations. The AMSS work demonstrates the magnitude of coolant fraction and uses roasting to remove it, but does not quantify organic interference in downstream separations. Retrieval plan: characterize TOC and specific additives in coolant and rinse waters; spike tests to quantify adsorption/SX performance impact at controlled compositions.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Scale-up throughput for chromatography and adsorbent columns</w:t>
      </w:r>
      <w:r>
        <w:t xml:space="preserve">. Chromatography is reported at 50 µL injections and 1 mL/min flow, which is far from plant scale. Retrieval plan: translate to column capacity by measuring dynamic binding capacity and breakthrough curves at relevant superficial velocities; vendors’ column-resin datasheets and pilot skid specs typically provide these metrics.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Selectivity coefficients (or separation factors) for Nd/Pr/Dy vs Fe/Co/B</w:t>
      </w:r>
      <w:r>
        <w:t xml:space="preserve"> </w:t>
      </w:r>
      <w:r>
        <w:t xml:space="preserve">across technologies. SX reports co-extraction and stripping behavior in %, while adsorption reports Fe recovery; neither provides a unified selectivity coefficient in the excerpts. Retrieval plan: compute separation factors from measured distribution coefficients in controlled experiments and report with co-ion composition (Fe, Co, B).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Energy intensity for high-temperature pretreatments</w:t>
      </w:r>
      <w:r>
        <w:t xml:space="preserve"> </w:t>
      </w:r>
      <w:r>
        <w:t xml:space="preserve">in roasting-based manufacturing-waste flowsheets. Roasting temperatures and durations are given, and one TEA provides roasting energy intensity, but roasting energy is not consistently reported across routes. Retrieval plan: instrument roasters/furnaces for kWh per batch; energy reporting appears in TEA/LCA appendices and utility bills for thermal units.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Impact of iron oxidation state control on downstream separations</w:t>
      </w:r>
      <w:r>
        <w:t xml:space="preserve">. One leachate route adds 0.1 vol.% H2SO4 after filtration “to prevent the oxidation of ferrous iron,” implying sensitivity to redox state. Retrieval plan: measure Fe(II)/Fe(III) speciation and its effect on extraction/adsorption; this is typically discussed in hydromet operating manuals and lab reports on PLS stability.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Quantified benefit of physical pre-concentration on leaching residue and downstream reagent consumption</w:t>
      </w:r>
      <w:r>
        <w:t xml:space="preserve">. Flash reduction + magnetic separation reports REOs enrichment and qualitative residue avoidance, but does not (in excerpts) quantify downstream reagent savings or residue mass. Retrieval plan: run paired leach tests (with/without pre-concentration) and quantify residue mass, leach kinetics, and acid consumption; capture in pilot campaign reports.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Applicability to electroplating/finishing effluent and rinse waters</w:t>
      </w:r>
      <w:r>
        <w:t xml:space="preserve">. None of the provided excerpts explicitly treats plating effluent or rinse waters. Retrieval plan: search and screen plating-effluent rare-earth removal studies; in-plant validation via composite sampling at plating rinse lines and bench adsorption/precipitation trials with co-ions (Ni, Cu, Zn) as present.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Commercial vendor offerings for manufacturing-waste recovery</w:t>
      </w:r>
      <w:r>
        <w:t xml:space="preserve"> </w:t>
      </w:r>
      <w:r>
        <w:t xml:space="preserve">(as opposed to EOL recycling plants). The excerpts include reagent suppliers and a manufacturer scrap source, but do not include turnkey vendor process datasheets for coolant/sludge/wastewater treatment. Retrieval plan: collect vendor technical datasheets and case studies; the fastest path is structured vendor calls requesting: treated flow (m³/day), inlet metals (mg/L), outlet metals (mg/L), resin/sorbent life, consumables, and installed cost basis; then validate via a short on-site trial using plant composite samples.</w:t>
      </w:r>
    </w:p>
    <w:bookmarkEnd w:id="25"/>
    <w:bookmarkStart w:id="26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The strongest quantitative benchmarks in the provided excerpts for manufacturing-waste-derived streams come from a bench</w:t>
      </w:r>
      <w:r>
        <w:t xml:space="preserve"> </w:t>
      </w:r>
      <w:r>
        <w:rPr>
          <w:b/>
          <w:bCs/>
        </w:rPr>
        <w:t xml:space="preserve">D2EHPA solvent extraction</w:t>
      </w:r>
      <w:r>
        <w:t xml:space="preserve"> </w:t>
      </w:r>
      <w:r>
        <w:t xml:space="preserve">route (99.9% Nd extraction; &gt;99.7% Dy extraction) and a TEA/LCA-modeled</w:t>
      </w:r>
      <w:r>
        <w:t xml:space="preserve"> </w:t>
      </w:r>
      <w:r>
        <w:rPr>
          <w:b/>
          <w:bCs/>
        </w:rPr>
        <w:t xml:space="preserve">acid-free dissolution</w:t>
      </w:r>
      <w:r>
        <w:t xml:space="preserve"> </w:t>
      </w:r>
      <w:r>
        <w:t xml:space="preserve">route (overall REE extraction/recovery 96%–99%, baseline 97%). For wastewater-side removal, a bio-derived hydrogel adsorbent shows &gt;93% recovery of Nd and Dy and reports Nd capacity of 125 mg/g with Fe recovery of 5.04%, suggesting promise for selective polishing but with missing discharge-style metrics in the excerpts. Across routes, the dominant hidden burdens are iron handling (filtration/precipitation and slow iron-removal kinetics), coolant/organic content (AMSS at 52.5% cooling reagent driving roasting pretreatment), and reagent circularity/loss (copper nitrate recycling efficiency ~70% and identified as an ecotoxicity driver). A biological approach plausibly “wins” if it maintains &gt;93% Nd/Dy recovery with strong Fe rejection and multi-cycle stability (&gt;85% capacity after five cycles), and “fails” if it cannot tolerate iron-rich matrices or coolant-laden streams without energy-intensive pretreatment comparable to oxidation roasting. The excerpts clearly identify where wastes originate (cutting/grinding swarf; grinding sludge; polishing scraps) but do not provide a direct, quantified description of the prevailing in-plant “do-nothing” baseline, so establishing a baseline should begin by mapping existing iron removal, coolant handling, and residue management practices against the unit operations explicitly described in the recovery flowsheets (e.g., CaCl2 + Ca(OH)2 iron removal; oxidation roasting for coolant removal; pre-concentration to avoid leach residues).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  <w:insideH w:color="404040" w:space="0" w:sz="4" w:val="single"/>
        <w:insideV w:color="40404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rPr>
      <w:cantSplit/>
    </w:trPr>
    <w:tcPr>
      <w:tc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</w:tcBorders>
    </w:tcPr>
    <w:tblStylePr w:type="firstRow">
      <w:rPr>
        <w:b/>
        <w:bCs/>
      </w:rPr>
      <w:tblPr>
        <w:jc w:val="left"/>
        <w:tblInd w:type="dxa" w:w="0"/>
      </w:tblPr>
      <w:trPr>
        <w:jc w:val="left"/>
        <w:tblHeader/>
      </w:trPr>
      <w:tcPr>
        <w:tcBorders>
          <w:top w:color="404040" w:space="0" w:sz="6" w:val="single"/>
          <w:left w:color="404040" w:space="0" w:sz="4" w:val="single"/>
          <w:bottom w:color="404040" w:space="0" w:sz="6" w:val="single"/>
          <w:right w:color="404040" w:space="0" w:sz="4" w:val="single"/>
        </w:tcBorders>
        <w:shd w:color="auto" w:fill="F0F0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2026-02-07T11:34:49Z</dcterms:created>
  <dcterms:modified xsi:type="dcterms:W3CDTF">2026-02-07T11:34:49Z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/code/chef/pandoc/chicago-short-notes-and-bib.csl</vt:lpwstr>
  </property>
</Properties>
</file>