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lant-capacities"/>
    <w:p>
      <w:pPr>
        <w:pStyle w:val="Heading2"/>
      </w:pPr>
      <w:r>
        <w:t xml:space="preserve">Plant Capacities</w:t>
      </w:r>
    </w:p>
    <w:p>
      <w:pPr>
        <w:pStyle w:val="FirstParagraph"/>
      </w:pPr>
      <w:r>
        <w:t xml:space="preserve">This section details announced and operational NdFeB magnet manufacturing capacity, focusing on new buildouts in the US, EU, and Vietnam.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Geography</w:t>
            </w:r>
          </w:p>
        </w:tc>
        <w:tc>
          <w:tcPr/>
          <w:p>
            <w:pPr>
              <w:pStyle w:val="Compact"/>
            </w:pPr>
            <w:r>
              <w:t xml:space="preserve">Waste Stream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Evidence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Capacity (MP Materials)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tonnes/year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Fort Worth, TX, USA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Initial capacity at "Independence" facility; gradual ramp beginning late 2025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Capacity (MP Materials, 10X Facility)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metric tons/year</w:t>
            </w:r>
          </w:p>
        </w:tc>
        <w:tc>
          <w:tcPr/>
          <w:p>
            <w:pPr>
              <w:pStyle w:val="Compact"/>
            </w:pPr>
            <w:r>
              <w:t xml:space="preserve">2028 (expected)</w:t>
            </w:r>
          </w:p>
        </w:tc>
        <w:tc>
          <w:tcPr/>
          <w:p>
            <w:pPr>
              <w:pStyle w:val="Compact"/>
            </w:pPr>
            <w:r>
              <w:t xml:space="preserve">Mountain Pass, CA, USA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Planned second domestic magnet facility, "10X Facility"</w:t>
            </w:r>
          </w:p>
        </w:tc>
        <w:tc>
          <w:tcPr/>
          <w:p>
            <w:pPr>
              <w:pStyle w:val="Compact"/>
            </w:pPr>
            <w:r>
              <w:t xml:space="preserve">Policy/market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Capacity (E-VAC Magnetics)</w:t>
            </w:r>
          </w:p>
        </w:tc>
        <w:tc>
          <w:tcPr/>
          <w:p>
            <w:pPr>
              <w:pStyle w:val="Compact"/>
            </w:pPr>
            <w:r>
              <w:t xml:space="preserve">~1,500</w:t>
            </w:r>
          </w:p>
        </w:tc>
        <w:tc>
          <w:tcPr/>
          <w:p>
            <w:pPr>
              <w:pStyle w:val="Compact"/>
            </w:pPr>
            <w:r>
              <w:t xml:space="preserve">tonnes/year</w:t>
            </w:r>
          </w:p>
        </w:tc>
        <w:tc>
          <w:tcPr/>
          <w:p>
            <w:pPr>
              <w:pStyle w:val="Compact"/>
            </w:pPr>
            <w:r>
              <w:t xml:space="preserve">2025 (late fall)</w:t>
            </w:r>
          </w:p>
        </w:tc>
        <w:tc>
          <w:tcPr/>
          <w:p>
            <w:pPr>
              <w:pStyle w:val="Compact"/>
            </w:pPr>
            <w:r>
              <w:t xml:space="preserve">Sumter, SC, USA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Sintered NdFeB magnet plant under construction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Capacity (USA Rare Earth)</w:t>
            </w:r>
          </w:p>
        </w:tc>
        <w:tc>
          <w:tcPr/>
          <w:p>
            <w:pPr>
              <w:pStyle w:val="Compact"/>
            </w:pPr>
            <w:r>
              <w:t xml:space="preserve">1,200 (initial)</w:t>
            </w:r>
          </w:p>
        </w:tc>
        <w:tc>
          <w:tcPr/>
          <w:p>
            <w:pPr>
              <w:pStyle w:val="Compact"/>
            </w:pPr>
            <w:r>
              <w:t xml:space="preserve">tonnes/year</w:t>
            </w:r>
          </w:p>
        </w:tc>
        <w:tc>
          <w:tcPr/>
          <w:p>
            <w:pPr>
              <w:pStyle w:val="Compact"/>
            </w:pPr>
            <w:r>
              <w:t xml:space="preserve">2025-2026</w:t>
            </w:r>
          </w:p>
        </w:tc>
        <w:tc>
          <w:tcPr/>
          <w:p>
            <w:pPr>
              <w:pStyle w:val="Compact"/>
            </w:pPr>
            <w:r>
              <w:t xml:space="preserve">Stillwater, OK, USA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Ramping to 4,800 tonnes/year by ~2026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Capacity (Noveon Magnetics)</w:t>
            </w:r>
          </w:p>
        </w:tc>
        <w:tc>
          <w:tcPr/>
          <w:p>
            <w:pPr>
              <w:pStyle w:val="Compact"/>
            </w:pPr>
            <w:r>
              <w:t xml:space="preserve">&gt;2,000</w:t>
            </w:r>
          </w:p>
        </w:tc>
        <w:tc>
          <w:tcPr/>
          <w:p>
            <w:pPr>
              <w:pStyle w:val="Compact"/>
            </w:pPr>
            <w:r>
              <w:t xml:space="preserve">tons/year</w:t>
            </w:r>
          </w:p>
        </w:tc>
        <w:tc>
          <w:tcPr/>
          <w:p>
            <w:pPr>
              <w:pStyle w:val="Compact"/>
            </w:pPr>
            <w:r>
              <w:t xml:space="preserve">2020 (ramped up)</w:t>
            </w:r>
          </w:p>
        </w:tc>
        <w:tc>
          <w:tcPr/>
          <w:p>
            <w:pPr>
              <w:pStyle w:val="Compact"/>
            </w:pPr>
            <w:r>
              <w:t xml:space="preserve">San Marcos, TX, USA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Operational facility; expanding capacity beyond 2,000 tons/year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Capacity (Neo Performance Materials)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tonnes/year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Narva, Estonia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Phase 1 capacity; plans to expand to 5,000 tonnes/year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Capacity (HyProMag USA)</w:t>
            </w:r>
          </w:p>
        </w:tc>
        <w:tc>
          <w:tcPr/>
          <w:p>
            <w:pPr>
              <w:pStyle w:val="Compact"/>
            </w:pPr>
            <w:r>
              <w:t xml:space="preserve">1,552 (total)</w:t>
            </w:r>
          </w:p>
        </w:tc>
        <w:tc>
          <w:tcPr/>
          <w:p>
            <w:pPr>
              <w:pStyle w:val="Compact"/>
            </w:pPr>
            <w:r>
              <w:t xml:space="preserve">metric tons NdFeB/year</w:t>
            </w:r>
          </w:p>
        </w:tc>
        <w:tc>
          <w:tcPr/>
          <w:p>
            <w:pPr>
              <w:pStyle w:val="Compact"/>
            </w:pPr>
            <w:r>
              <w:t xml:space="preserve">2027-2029</w:t>
            </w:r>
          </w:p>
        </w:tc>
        <w:tc>
          <w:tcPr/>
          <w:p>
            <w:pPr>
              <w:pStyle w:val="Compact"/>
            </w:pPr>
            <w:r>
              <w:t xml:space="preserve">Dallas-Fort Worth, TX, USA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Texas Hub; comprises 941 tpa recycled magnets and 611 tpa co-products</w:t>
            </w:r>
          </w:p>
        </w:tc>
        <w:tc>
          <w:tcPr/>
          <w:p>
            <w:pPr>
              <w:pStyle w:val="Compact"/>
            </w:pPr>
            <w:r>
              <w:t xml:space="preserve">Policy/market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Capacity (POSCO International JV)</w:t>
            </w:r>
          </w:p>
        </w:tc>
        <w:tc>
          <w:tcPr/>
          <w:p>
            <w:pPr>
              <w:pStyle w:val="Compact"/>
            </w:pPr>
            <w:r>
              <w:t xml:space="preserve">3,000 (initial)</w:t>
            </w:r>
          </w:p>
        </w:tc>
        <w:tc>
          <w:tcPr/>
          <w:p>
            <w:pPr>
              <w:pStyle w:val="Compact"/>
            </w:pPr>
            <w:r>
              <w:t xml:space="preserve">tons/year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USA (TX, TN, or AZ)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Planned factory with future scale-up to 5,000 tons/year</w:t>
            </w:r>
          </w:p>
        </w:tc>
        <w:tc>
          <w:tcPr/>
          <w:p>
            <w:pPr>
              <w:pStyle w:val="Compact"/>
            </w:pPr>
            <w:r>
              <w:t xml:space="preserve">Policy/market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Capacity (SGI Vina)</w:t>
            </w:r>
          </w:p>
        </w:tc>
        <w:tc>
          <w:tcPr/>
          <w:p>
            <w:pPr>
              <w:pStyle w:val="Compact"/>
            </w:pPr>
            <w:r>
              <w:t xml:space="preserve">4,000-5,000</w:t>
            </w:r>
          </w:p>
        </w:tc>
        <w:tc>
          <w:tcPr/>
          <w:p>
            <w:pPr>
              <w:pStyle w:val="Compact"/>
            </w:pPr>
            <w:r>
              <w:t xml:space="preserve">tons/year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Quang Nam Province, Vietnam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Stage I (1,600 tpa) in Q1-24; Stage II (4,000 tpa) by mid-2025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Capacity (Shin-Etsu Vietnam)</w:t>
            </w:r>
          </w:p>
        </w:tc>
        <w:tc>
          <w:tcPr/>
          <w:p>
            <w:pPr>
              <w:pStyle w:val="Compact"/>
            </w:pPr>
            <w:r>
              <w:t xml:space="preserve">2,200</w:t>
            </w:r>
          </w:p>
        </w:tc>
        <w:tc>
          <w:tcPr/>
          <w:p>
            <w:pPr>
              <w:pStyle w:val="Compact"/>
            </w:pPr>
            <w:r>
              <w:t xml:space="preserve">tons/year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Hai Phong Province, Vietnam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Expansion completed in mid-2018, doubling capacity from 1,100 tpa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Capacity (Daido Steel)</w:t>
            </w:r>
          </w:p>
        </w:tc>
        <w:tc>
          <w:tcPr/>
          <w:p>
            <w:pPr>
              <w:pStyle w:val="Compact"/>
            </w:pPr>
            <w:r>
              <w:t xml:space="preserve">1,800</w:t>
            </w:r>
          </w:p>
        </w:tc>
        <w:tc>
          <w:tcPr/>
          <w:p>
            <w:pPr>
              <w:pStyle w:val="Compact"/>
            </w:pPr>
            <w:r>
              <w:t xml:space="preserve">tons/year</w:t>
            </w:r>
          </w:p>
        </w:tc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Gifu Prefecture, Japan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Expansion to 150 tons/month (1,800 tpa) planned for fiscal 2030</w:t>
            </w:r>
          </w:p>
        </w:tc>
        <w:tc>
          <w:tcPr/>
          <w:p>
            <w:pPr>
              <w:pStyle w:val="Compact"/>
            </w:pPr>
            <w:r>
              <w:t xml:space="preserve">Policy/market estimate</w:t>
            </w:r>
          </w:p>
        </w:tc>
      </w:tr>
    </w:tbl>
    <w:bookmarkEnd w:id="20"/>
    <w:bookmarkStart w:id="21" w:name="waste-chemistry"/>
    <w:p>
      <w:pPr>
        <w:pStyle w:val="Heading2"/>
      </w:pPr>
      <w:r>
        <w:t xml:space="preserve">Waste Chemistry</w:t>
      </w:r>
    </w:p>
    <w:p>
      <w:pPr>
        <w:pStyle w:val="FirstParagraph"/>
      </w:pPr>
      <w:r>
        <w:t xml:space="preserve">This section outlines the chemical composition of various NdFeB manufacturing waste streams as reported in academic and technical literature.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Geography</w:t>
            </w:r>
          </w:p>
        </w:tc>
        <w:tc>
          <w:tcPr/>
          <w:p>
            <w:pPr>
              <w:pStyle w:val="Compact"/>
            </w:pPr>
            <w:r>
              <w:t xml:space="preserve">Waste Stream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Evidence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REE Concentration</w:t>
            </w:r>
          </w:p>
        </w:tc>
        <w:tc>
          <w:tcPr/>
          <w:p>
            <w:pPr>
              <w:pStyle w:val="Compact"/>
            </w:pPr>
            <w:r>
              <w:t xml:space="preserve">up to 30</w:t>
            </w:r>
          </w:p>
        </w:tc>
        <w:tc>
          <w:tcPr/>
          <w:p>
            <w:pPr>
              <w:pStyle w:val="Compact"/>
            </w:pPr>
            <w:r>
              <w:t xml:space="preserve">wt%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Machining waste (cutting/grinding)</w:t>
            </w:r>
          </w:p>
        </w:tc>
        <w:tc>
          <w:tcPr/>
          <w:p>
            <w:pPr>
              <w:pStyle w:val="Compact"/>
            </w:pPr>
            <w:r>
              <w:t xml:space="preserve">Sintered Nd-Pr-Fe-B magnet residue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 Concentration</w:t>
            </w:r>
          </w:p>
        </w:tc>
        <w:tc>
          <w:tcPr/>
          <w:p>
            <w:pPr>
              <w:pStyle w:val="Compact"/>
            </w:pPr>
            <w:r>
              <w:t xml:space="preserve">27.19</w:t>
            </w:r>
          </w:p>
        </w:tc>
        <w:tc>
          <w:tcPr/>
          <w:p>
            <w:pPr>
              <w:pStyle w:val="Compact"/>
            </w:pPr>
            <w:r>
              <w:t xml:space="preserve">wt%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Magnet Swarf</w:t>
            </w:r>
          </w:p>
        </w:tc>
        <w:tc>
          <w:tcPr/>
          <w:p>
            <w:pPr>
              <w:pStyle w:val="Compact"/>
            </w:pPr>
            <w:r>
              <w:t xml:space="preserve">Baseline composition assumed for TEA/LCA model</w:t>
            </w:r>
          </w:p>
        </w:tc>
        <w:tc>
          <w:tcPr/>
          <w:p>
            <w:pPr>
              <w:pStyle w:val="Compact"/>
            </w:pPr>
            <w:r>
              <w:t xml:space="preserve">Lab-scale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Concentration</w:t>
            </w:r>
          </w:p>
        </w:tc>
        <w:tc>
          <w:tcPr/>
          <w:p>
            <w:pPr>
              <w:pStyle w:val="Compact"/>
            </w:pPr>
            <w:r>
              <w:t xml:space="preserve">3.33</w:t>
            </w:r>
          </w:p>
        </w:tc>
        <w:tc>
          <w:tcPr/>
          <w:p>
            <w:pPr>
              <w:pStyle w:val="Compact"/>
            </w:pPr>
            <w:r>
              <w:t xml:space="preserve">wt%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Magnet Swarf</w:t>
            </w:r>
          </w:p>
        </w:tc>
        <w:tc>
          <w:tcPr/>
          <w:p>
            <w:pPr>
              <w:pStyle w:val="Compact"/>
            </w:pPr>
            <w:r>
              <w:t xml:space="preserve">Baseline composition assumed for TEA/LCA model</w:t>
            </w:r>
          </w:p>
        </w:tc>
        <w:tc>
          <w:tcPr/>
          <w:p>
            <w:pPr>
              <w:pStyle w:val="Compact"/>
            </w:pPr>
            <w:r>
              <w:t xml:space="preserve">Lab-scale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 Concentration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wt%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Magnet Swarf</w:t>
            </w:r>
          </w:p>
        </w:tc>
        <w:tc>
          <w:tcPr/>
          <w:p>
            <w:pPr>
              <w:pStyle w:val="Compact"/>
            </w:pPr>
            <w:r>
              <w:t xml:space="preserve">Baseline composition assumed for TEA/LCA model</w:t>
            </w:r>
          </w:p>
        </w:tc>
        <w:tc>
          <w:tcPr/>
          <w:p>
            <w:pPr>
              <w:pStyle w:val="Compact"/>
            </w:pPr>
            <w:r>
              <w:t xml:space="preserve">Lab-scale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 Concentration</w:t>
            </w:r>
          </w:p>
        </w:tc>
        <w:tc>
          <w:tcPr/>
          <w:p>
            <w:pPr>
              <w:pStyle w:val="Compact"/>
            </w:pPr>
            <w:r>
              <w:t xml:space="preserve">66.4</w:t>
            </w:r>
          </w:p>
        </w:tc>
        <w:tc>
          <w:tcPr/>
          <w:p>
            <w:pPr>
              <w:pStyle w:val="Compact"/>
            </w:pPr>
            <w:r>
              <w:t xml:space="preserve">wt%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Grinding residue</w:t>
            </w:r>
          </w:p>
        </w:tc>
        <w:tc>
          <w:tcPr/>
          <w:p>
            <w:pPr>
              <w:pStyle w:val="Compact"/>
            </w:pPr>
            <w:r>
              <w:t xml:space="preserve">Industrial machine grinding of N38 magnet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 Concentration</w:t>
            </w:r>
          </w:p>
        </w:tc>
        <w:tc>
          <w:tcPr/>
          <w:p>
            <w:pPr>
              <w:pStyle w:val="Compact"/>
            </w:pPr>
            <w:r>
              <w:t xml:space="preserve">52.4</w:t>
            </w:r>
          </w:p>
        </w:tc>
        <w:tc>
          <w:tcPr/>
          <w:p>
            <w:pPr>
              <w:pStyle w:val="Compact"/>
            </w:pPr>
            <w:r>
              <w:t xml:space="preserve">wt%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Diamond cut residue</w:t>
            </w:r>
          </w:p>
        </w:tc>
        <w:tc>
          <w:tcPr/>
          <w:p>
            <w:pPr>
              <w:pStyle w:val="Compact"/>
            </w:pPr>
            <w:r>
              <w:t xml:space="preserve">Laboratory cutting bench sample</w:t>
            </w:r>
          </w:p>
        </w:tc>
        <w:tc>
          <w:tcPr/>
          <w:p>
            <w:pPr>
              <w:pStyle w:val="Compact"/>
            </w:pPr>
            <w:r>
              <w:t xml:space="preserve">Lab-scale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 Concentration</w:t>
            </w:r>
          </w:p>
        </w:tc>
        <w:tc>
          <w:tcPr/>
          <w:p>
            <w:pPr>
              <w:pStyle w:val="Compact"/>
            </w:pPr>
            <w:r>
              <w:t xml:space="preserve">67.3135</w:t>
            </w:r>
          </w:p>
        </w:tc>
        <w:tc>
          <w:tcPr/>
          <w:p>
            <w:pPr>
              <w:pStyle w:val="Compact"/>
            </w:pPr>
            <w:r>
              <w:t xml:space="preserve">wt%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NdFeB Sludge</w:t>
            </w:r>
          </w:p>
        </w:tc>
        <w:tc>
          <w:tcPr/>
          <w:p>
            <w:pPr>
              <w:pStyle w:val="Compact"/>
            </w:pPr>
            <w:r>
              <w:t xml:space="preserve">Pretreatment powder from industrial sludge (XRF analysis)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 Concentration</w:t>
            </w:r>
          </w:p>
        </w:tc>
        <w:tc>
          <w:tcPr/>
          <w:p>
            <w:pPr>
              <w:pStyle w:val="Compact"/>
            </w:pPr>
            <w:r>
              <w:t xml:space="preserve">60.3</w:t>
            </w:r>
          </w:p>
        </w:tc>
        <w:tc>
          <w:tcPr/>
          <w:p>
            <w:pPr>
              <w:pStyle w:val="Compact"/>
            </w:pPr>
            <w:r>
              <w:t xml:space="preserve">wt%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Sintering waste</w:t>
            </w:r>
          </w:p>
        </w:tc>
        <w:tc>
          <w:tcPr/>
          <w:p>
            <w:pPr>
              <w:pStyle w:val="Compact"/>
            </w:pPr>
            <w:r>
              <w:t xml:space="preserve">Ground manufacturing waste from sintering stage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 Concentration</w:t>
            </w:r>
          </w:p>
        </w:tc>
        <w:tc>
          <w:tcPr/>
          <w:p>
            <w:pPr>
              <w:pStyle w:val="Compact"/>
            </w:pPr>
            <w:r>
              <w:t xml:space="preserve">1.1343</w:t>
            </w:r>
          </w:p>
        </w:tc>
        <w:tc>
          <w:tcPr/>
          <w:p>
            <w:pPr>
              <w:pStyle w:val="Compact"/>
            </w:pPr>
            <w:r>
              <w:t xml:space="preserve">wt%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NdFeB Sludge</w:t>
            </w:r>
          </w:p>
        </w:tc>
        <w:tc>
          <w:tcPr/>
          <w:p>
            <w:pPr>
              <w:pStyle w:val="Compact"/>
            </w:pPr>
            <w:r>
              <w:t xml:space="preserve">Pretreatment powder from industrial sludge (XRF analysis)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Organics Content</w:t>
            </w:r>
          </w:p>
        </w:tc>
        <w:tc>
          <w:tcPr/>
          <w:p>
            <w:pPr>
              <w:pStyle w:val="Compact"/>
            </w:pPr>
            <w:r>
              <w:t xml:space="preserve">52.5</w:t>
            </w:r>
          </w:p>
        </w:tc>
        <w:tc>
          <w:tcPr/>
          <w:p>
            <w:pPr>
              <w:pStyle w:val="Compact"/>
            </w:pPr>
            <w:r>
              <w:t xml:space="preserve">wt%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Swarf Slurry (AMSS)</w:t>
            </w:r>
          </w:p>
        </w:tc>
        <w:tc>
          <w:tcPr/>
          <w:p>
            <w:pPr>
              <w:pStyle w:val="Compact"/>
            </w:pPr>
            <w:r>
              <w:t xml:space="preserve">Stated as "cooling reagent" in the slurry composition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 Concentration (leachate)</w:t>
            </w:r>
          </w:p>
        </w:tc>
        <w:tc>
          <w:tcPr/>
          <w:p>
            <w:pPr>
              <w:pStyle w:val="Compact"/>
            </w:pPr>
            <w:r>
              <w:t xml:space="preserve">9.01</w:t>
            </w:r>
          </w:p>
        </w:tc>
        <w:tc>
          <w:tcPr/>
          <w:p>
            <w:pPr>
              <w:pStyle w:val="Compact"/>
            </w:pPr>
            <w:r>
              <w:t xml:space="preserve">g/L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NdFeB Scrap Leachate</w:t>
            </w:r>
          </w:p>
        </w:tc>
        <w:tc>
          <w:tcPr/>
          <w:p>
            <w:pPr>
              <w:pStyle w:val="Compact"/>
            </w:pPr>
            <w:r>
              <w:t xml:space="preserve">Scrap dissolved in nitric acid before hydrothermal treatment</w:t>
            </w:r>
          </w:p>
        </w:tc>
        <w:tc>
          <w:tcPr/>
          <w:p>
            <w:pPr>
              <w:pStyle w:val="Compact"/>
            </w:pPr>
            <w:r>
              <w:t xml:space="preserve">Lab-scale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 Concentration (leachate)</w:t>
            </w:r>
          </w:p>
        </w:tc>
        <w:tc>
          <w:tcPr/>
          <w:p>
            <w:pPr>
              <w:pStyle w:val="Compact"/>
            </w:pPr>
            <w:r>
              <w:t xml:space="preserve">10.53</w:t>
            </w:r>
          </w:p>
        </w:tc>
        <w:tc>
          <w:tcPr/>
          <w:p>
            <w:pPr>
              <w:pStyle w:val="Compact"/>
            </w:pPr>
            <w:r>
              <w:t xml:space="preserve">g/L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NdFeB Scrap Leachate</w:t>
            </w:r>
          </w:p>
        </w:tc>
        <w:tc>
          <w:tcPr/>
          <w:p>
            <w:pPr>
              <w:pStyle w:val="Compact"/>
            </w:pPr>
            <w:r>
              <w:t xml:space="preserve">Scrap dissolved in nitric acid before hydrothermal treatment</w:t>
            </w:r>
          </w:p>
        </w:tc>
        <w:tc>
          <w:tcPr/>
          <w:p>
            <w:pPr>
              <w:pStyle w:val="Compact"/>
            </w:pPr>
            <w:r>
              <w:t xml:space="preserve">Lab-scale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 Concentration (leachate)</w:t>
            </w:r>
          </w:p>
        </w:tc>
        <w:tc>
          <w:tcPr/>
          <w:p>
            <w:pPr>
              <w:pStyle w:val="Compact"/>
            </w:pPr>
            <w:r>
              <w:t xml:space="preserve">1.63</w:t>
            </w:r>
          </w:p>
        </w:tc>
        <w:tc>
          <w:tcPr/>
          <w:p>
            <w:pPr>
              <w:pStyle w:val="Compact"/>
            </w:pPr>
            <w:r>
              <w:t xml:space="preserve">g/L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EoL HDD Magnet Leachate</w:t>
            </w:r>
          </w:p>
        </w:tc>
        <w:tc>
          <w:tcPr/>
          <w:p>
            <w:pPr>
              <w:pStyle w:val="Compact"/>
            </w:pPr>
            <w:r>
              <w:t xml:space="preserve">Leachate from HCl extraction of ground HDD magnet powder</w:t>
            </w:r>
          </w:p>
        </w:tc>
        <w:tc>
          <w:tcPr/>
          <w:p>
            <w:pPr>
              <w:pStyle w:val="Compact"/>
            </w:pPr>
            <w:r>
              <w:t xml:space="preserve">Lab-scale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 Concentration (leachate)</w:t>
            </w:r>
          </w:p>
        </w:tc>
        <w:tc>
          <w:tcPr/>
          <w:p>
            <w:pPr>
              <w:pStyle w:val="Compact"/>
            </w:pPr>
            <w:r>
              <w:t xml:space="preserve">~4.5</w:t>
            </w:r>
          </w:p>
        </w:tc>
        <w:tc>
          <w:tcPr/>
          <w:p>
            <w:pPr>
              <w:pStyle w:val="Compact"/>
            </w:pPr>
            <w:r>
              <w:t xml:space="preserve">g/L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EoL HDD Magnet Leachate</w:t>
            </w:r>
          </w:p>
        </w:tc>
        <w:tc>
          <w:tcPr/>
          <w:p>
            <w:pPr>
              <w:pStyle w:val="Compact"/>
            </w:pPr>
            <w:r>
              <w:t xml:space="preserve">Calculated from reported 45.76 wt% Fe in solids at 10 g/L pulp density</w:t>
            </w:r>
          </w:p>
        </w:tc>
        <w:tc>
          <w:tcPr/>
          <w:p>
            <w:pPr>
              <w:pStyle w:val="Compact"/>
            </w:pPr>
            <w:r>
              <w:t xml:space="preserve">Lab-scale</w:t>
            </w:r>
          </w:p>
        </w:tc>
      </w:tr>
    </w:tbl>
    <w:bookmarkEnd w:id="21"/>
    <w:bookmarkStart w:id="22" w:name="compliance-economics"/>
    <w:p>
      <w:pPr>
        <w:pStyle w:val="Heading2"/>
      </w:pPr>
      <w:r>
        <w:t xml:space="preserve">Compliance Economics</w:t>
      </w:r>
    </w:p>
    <w:p>
      <w:pPr>
        <w:pStyle w:val="FirstParagraph"/>
      </w:pPr>
      <w:r>
        <w:t xml:space="preserve">This section provides cost data for industrial wastewater treatment and hazardous waste disposal, which serve as a baseline for the compliance-driven business case.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Geography</w:t>
            </w:r>
          </w:p>
        </w:tc>
        <w:tc>
          <w:tcPr/>
          <w:p>
            <w:pPr>
              <w:pStyle w:val="Compact"/>
            </w:pPr>
            <w:r>
              <w:t xml:space="preserve">Waste stream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Evidence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Hazardous Sludge Disposal</w:t>
            </w:r>
          </w:p>
        </w:tc>
        <w:tc>
          <w:tcPr/>
          <w:p>
            <w:pPr>
              <w:pStyle w:val="Compact"/>
            </w:pPr>
            <w:r>
              <w:t xml:space="preserve">15,000-25,000</w:t>
            </w:r>
          </w:p>
        </w:tc>
        <w:tc>
          <w:tcPr/>
          <w:p>
            <w:pPr>
              <w:pStyle w:val="Compact"/>
            </w:pPr>
            <w:r>
              <w:t xml:space="preserve">INR/tonne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ETP Sludge</w:t>
            </w:r>
          </w:p>
        </w:tc>
        <w:tc>
          <w:tcPr/>
          <w:p>
            <w:pPr>
              <w:pStyle w:val="Compact"/>
            </w:pPr>
            <w:r>
              <w:t xml:space="preserve">Disposal at CPCB-approved TSDFs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Non-Hazardous Sludge Disposal</w:t>
            </w:r>
          </w:p>
        </w:tc>
        <w:tc>
          <w:tcPr/>
          <w:p>
            <w:pPr>
              <w:pStyle w:val="Compact"/>
            </w:pPr>
            <w:r>
              <w:t xml:space="preserve">3,000-8,000</w:t>
            </w:r>
          </w:p>
        </w:tc>
        <w:tc>
          <w:tcPr/>
          <w:p>
            <w:pPr>
              <w:pStyle w:val="Compact"/>
            </w:pPr>
            <w:r>
              <w:t xml:space="preserve">INR/tonne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ETP Sludge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Hazardous Waste Disposal</w:t>
            </w:r>
          </w:p>
        </w:tc>
        <w:tc>
          <w:tcPr/>
          <w:p>
            <w:pPr>
              <w:pStyle w:val="Compact"/>
            </w:pPr>
            <w:r>
              <w:t xml:space="preserve">310</w:t>
            </w:r>
          </w:p>
        </w:tc>
        <w:tc>
          <w:tcPr/>
          <w:p>
            <w:pPr>
              <w:pStyle w:val="Compact"/>
            </w:pPr>
            <w:r>
              <w:t xml:space="preserve">USD/ton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California, USA</w:t>
            </w:r>
          </w:p>
        </w:tc>
        <w:tc>
          <w:tcPr/>
          <w:p>
            <w:pPr>
              <w:pStyle w:val="Compact"/>
            </w:pPr>
            <w:r>
              <w:t xml:space="preserve">Restricted hazardous waste</w:t>
            </w:r>
          </w:p>
        </w:tc>
        <w:tc>
          <w:tcPr/>
          <w:p>
            <w:pPr>
              <w:pStyle w:val="Compact"/>
            </w:pPr>
            <w:r>
              <w:t xml:space="preserve">Average disposal fee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Hazardous Waste Incineration</w:t>
            </w:r>
          </w:p>
        </w:tc>
        <w:tc>
          <w:tcPr/>
          <w:p>
            <w:pPr>
              <w:pStyle w:val="Compact"/>
            </w:pPr>
            <w:r>
              <w:t xml:space="preserve">529</w:t>
            </w:r>
          </w:p>
        </w:tc>
        <w:tc>
          <w:tcPr/>
          <w:p>
            <w:pPr>
              <w:pStyle w:val="Compact"/>
            </w:pPr>
            <w:r>
              <w:t xml:space="preserve">USD/ton</w:t>
            </w:r>
          </w:p>
        </w:tc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General hazardous waste</w:t>
            </w:r>
          </w:p>
        </w:tc>
        <w:tc>
          <w:tcPr/>
          <w:p>
            <w:pPr>
              <w:pStyle w:val="Compact"/>
            </w:pPr>
            <w:r>
              <w:t xml:space="preserve">Average cost from USACE survey of RCRA-permitted facilities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Wastewater Treatment OPEX</w:t>
            </w:r>
          </w:p>
        </w:tc>
        <w:tc>
          <w:tcPr/>
          <w:p>
            <w:pPr>
              <w:pStyle w:val="Compact"/>
            </w:pPr>
            <w:r>
              <w:t xml:space="preserve">3.09</w:t>
            </w:r>
          </w:p>
        </w:tc>
        <w:tc>
          <w:tcPr/>
          <w:p>
            <w:pPr>
              <w:pStyle w:val="Compact"/>
            </w:pPr>
            <w:r>
              <w:t xml:space="preserve">USD/m³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Turkey</w:t>
            </w:r>
          </w:p>
        </w:tc>
        <w:tc>
          <w:tcPr/>
          <w:p>
            <w:pPr>
              <w:pStyle w:val="Compact"/>
            </w:pPr>
            <w:r>
              <w:t xml:space="preserve">Metalworking wastewater</w:t>
            </w:r>
          </w:p>
        </w:tc>
        <w:tc>
          <w:tcPr/>
          <w:p>
            <w:pPr>
              <w:pStyle w:val="Compact"/>
            </w:pPr>
            <w:r>
              <w:t xml:space="preserve">Bench-scale continuous electrocoagulation process</w:t>
            </w:r>
          </w:p>
        </w:tc>
        <w:tc>
          <w:tcPr/>
          <w:p>
            <w:pPr>
              <w:pStyle w:val="Compact"/>
            </w:pPr>
            <w:r>
              <w:t xml:space="preserve">Lab-scale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Hazardous Liquid Disposal</w:t>
            </w:r>
          </w:p>
        </w:tc>
        <w:tc>
          <w:tcPr/>
          <w:p>
            <w:pPr>
              <w:pStyle w:val="Compact"/>
            </w:pPr>
            <w:r>
              <w:t xml:space="preserve">1.84-3.11</w:t>
            </w:r>
          </w:p>
        </w:tc>
        <w:tc>
          <w:tcPr/>
          <w:p>
            <w:pPr>
              <w:pStyle w:val="Compact"/>
            </w:pPr>
            <w:r>
              <w:t xml:space="preserve">USD/gallon</w:t>
            </w:r>
          </w:p>
        </w:tc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Hazardous wastewater</w:t>
            </w:r>
          </w:p>
        </w:tc>
        <w:tc>
          <w:tcPr/>
          <w:p>
            <w:pPr>
              <w:pStyle w:val="Compact"/>
            </w:pPr>
            <w:r>
              <w:t xml:space="preserve">Cost for discharge to POTW/TSD, adjusted to 2000 USD</w:t>
            </w:r>
          </w:p>
        </w:tc>
        <w:tc>
          <w:tcPr/>
          <w:p>
            <w:pPr>
              <w:pStyle w:val="Compact"/>
            </w:pPr>
            <w:r>
              <w:t xml:space="preserve">Policy/market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Permit Acquisition Cost</w:t>
            </w:r>
          </w:p>
        </w:tc>
        <w:tc>
          <w:tcPr/>
          <w:p>
            <w:pPr>
              <w:pStyle w:val="Compact"/>
            </w:pPr>
            <w:r>
              <w:t xml:space="preserve">250,000-500,000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1996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Hazardous waste incinerator</w:t>
            </w:r>
          </w:p>
        </w:tc>
        <w:tc>
          <w:tcPr/>
          <w:p>
            <w:pPr>
              <w:pStyle w:val="Compact"/>
            </w:pPr>
            <w:r>
              <w:t xml:space="preserve">Estimated cost to obtain a RCRA or BIF permit</w:t>
            </w:r>
          </w:p>
        </w:tc>
        <w:tc>
          <w:tcPr/>
          <w:p>
            <w:pPr>
              <w:pStyle w:val="Compact"/>
            </w:pPr>
            <w:r>
              <w:t xml:space="preserve">Policy/market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Testing Cost</w:t>
            </w:r>
          </w:p>
        </w:tc>
        <w:tc>
          <w:tcPr/>
          <w:p>
            <w:pPr>
              <w:pStyle w:val="Compact"/>
            </w:pPr>
            <w:r>
              <w:t xml:space="preserve">~300,000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1996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Hazardous waste incinerator</w:t>
            </w:r>
          </w:p>
        </w:tc>
        <w:tc>
          <w:tcPr/>
          <w:p>
            <w:pPr>
              <w:pStyle w:val="Compact"/>
            </w:pPr>
            <w:r>
              <w:t xml:space="preserve">Cost per trial burn required for permit, based on vendor quotes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Compliance Overhead</w:t>
            </w:r>
          </w:p>
        </w:tc>
        <w:tc>
          <w:tcPr/>
          <w:p>
            <w:pPr>
              <w:pStyle w:val="Compact"/>
            </w:pPr>
            <w:r>
              <w:t xml:space="preserve">50,000-100,000</w:t>
            </w:r>
          </w:p>
        </w:tc>
        <w:tc>
          <w:tcPr/>
          <w:p>
            <w:pPr>
              <w:pStyle w:val="Compact"/>
            </w:pPr>
            <w:r>
              <w:t xml:space="preserve">INR/year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ETP Sludge</w:t>
            </w:r>
          </w:p>
        </w:tc>
        <w:tc>
          <w:tcPr/>
          <w:p>
            <w:pPr>
              <w:pStyle w:val="Compact"/>
            </w:pPr>
            <w:r>
              <w:t xml:space="preserve">Documentation &amp; compliance for medium-sized industrial units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</w:tbl>
    <w:bookmarkEnd w:id="22"/>
    <w:bookmarkStart w:id="23" w:name="ree-pricing"/>
    <w:p>
      <w:pPr>
        <w:pStyle w:val="Heading2"/>
      </w:pPr>
      <w:r>
        <w:t xml:space="preserve">REE Pricing</w:t>
      </w:r>
    </w:p>
    <w:p>
      <w:pPr>
        <w:pStyle w:val="FirstParagraph"/>
      </w:pPr>
      <w:r>
        <w:t xml:space="preserve">This section summarizes recent and historical price data for key rare earth elements, highlighting volatility. This value is considered secondary upside.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Geography</w:t>
            </w:r>
          </w:p>
        </w:tc>
        <w:tc>
          <w:tcPr/>
          <w:p>
            <w:pPr>
              <w:pStyle w:val="Compact"/>
            </w:pPr>
            <w:r>
              <w:t xml:space="preserve">Waste Stream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Evidence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 Oxide Price</w:t>
            </w:r>
          </w:p>
        </w:tc>
        <w:tc>
          <w:tcPr/>
          <w:p>
            <w:pPr>
              <w:pStyle w:val="Compact"/>
            </w:pPr>
            <w:r>
              <w:t xml:space="preserve">49,763</w:t>
            </w:r>
          </w:p>
        </w:tc>
        <w:tc>
          <w:tcPr/>
          <w:p>
            <w:pPr>
              <w:pStyle w:val="Compact"/>
            </w:pPr>
            <w:r>
              <w:t xml:space="preserve">USD/metric ton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Historical average price</w:t>
            </w:r>
          </w:p>
        </w:tc>
        <w:tc>
          <w:tcPr/>
          <w:p>
            <w:pPr>
              <w:pStyle w:val="Compact"/>
            </w:pPr>
            <w:r>
              <w:t xml:space="preserve">Policy/market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 Oxide Price (Forecast)</w:t>
            </w:r>
          </w:p>
        </w:tc>
        <w:tc>
          <w:tcPr/>
          <w:p>
            <w:pPr>
              <w:pStyle w:val="Compact"/>
            </w:pPr>
            <w:r>
              <w:t xml:space="preserve">77,500</w:t>
            </w:r>
          </w:p>
        </w:tc>
        <w:tc>
          <w:tcPr/>
          <w:p>
            <w:pPr>
              <w:pStyle w:val="Compact"/>
            </w:pPr>
            <w:r>
              <w:t xml:space="preserve">USD/metric ton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Statista forecast</w:t>
            </w:r>
          </w:p>
        </w:tc>
        <w:tc>
          <w:tcPr/>
          <w:p>
            <w:pPr>
              <w:pStyle w:val="Compact"/>
            </w:pPr>
            <w:r>
              <w:t xml:space="preserve">Policy/market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NdPr Oxide Price (Forecast)</w:t>
            </w:r>
          </w:p>
        </w:tc>
        <w:tc>
          <w:tcPr/>
          <w:p>
            <w:pPr>
              <w:pStyle w:val="Compact"/>
            </w:pPr>
            <w:r>
              <w:t xml:space="preserve">90,000</w:t>
            </w:r>
          </w:p>
        </w:tc>
        <w:tc>
          <w:tcPr/>
          <w:p>
            <w:pPr>
              <w:pStyle w:val="Compact"/>
            </w:pPr>
            <w:r>
              <w:t xml:space="preserve">USD/tonne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BMI average yearly price forecast</w:t>
            </w:r>
          </w:p>
        </w:tc>
        <w:tc>
          <w:tcPr/>
          <w:p>
            <w:pPr>
              <w:pStyle w:val="Compact"/>
            </w:pPr>
            <w:r>
              <w:t xml:space="preserve">Policy/market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 Price</w:t>
            </w:r>
          </w:p>
        </w:tc>
        <w:tc>
          <w:tcPr/>
          <w:p>
            <w:pPr>
              <w:pStyle w:val="Compact"/>
            </w:pPr>
            <w:r>
              <w:t xml:space="preserve">930.70</w:t>
            </w:r>
          </w:p>
        </w:tc>
        <w:tc>
          <w:tcPr/>
          <w:p>
            <w:pPr>
              <w:pStyle w:val="Compact"/>
            </w:pPr>
            <w:r>
              <w:t xml:space="preserve">USD/kg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Retail price for private investors, last updated Feb 06, 2026</w:t>
            </w:r>
          </w:p>
        </w:tc>
        <w:tc>
          <w:tcPr/>
          <w:p>
            <w:pPr>
              <w:pStyle w:val="Compact"/>
            </w:pPr>
            <w:r>
              <w:t xml:space="preserve">Market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 Oxide Price</w:t>
            </w:r>
          </w:p>
        </w:tc>
        <w:tc>
          <w:tcPr/>
          <w:p>
            <w:pPr>
              <w:pStyle w:val="Compact"/>
            </w:pPr>
            <w:r>
              <w:t xml:space="preserve">263.34</w:t>
            </w:r>
          </w:p>
        </w:tc>
        <w:tc>
          <w:tcPr/>
          <w:p>
            <w:pPr>
              <w:pStyle w:val="Compact"/>
            </w:pPr>
            <w:r>
              <w:t xml:space="preserve">USD/kg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Northeast Asia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Market price for January 2026</w:t>
            </w:r>
          </w:p>
        </w:tc>
        <w:tc>
          <w:tcPr/>
          <w:p>
            <w:pPr>
              <w:pStyle w:val="Compact"/>
            </w:pPr>
            <w:r>
              <w:t xml:space="preserve">Market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 Price Volatility</w:t>
            </w:r>
          </w:p>
        </w:tc>
        <w:tc>
          <w:tcPr/>
          <w:p>
            <w:pPr>
              <w:pStyle w:val="Compact"/>
            </w:pPr>
            <w:r>
              <w:t xml:space="preserve">+105.05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Year-to-date price change as of Feb 06, 2026</w:t>
            </w:r>
          </w:p>
        </w:tc>
        <w:tc>
          <w:tcPr/>
          <w:p>
            <w:pPr>
              <w:pStyle w:val="Compact"/>
            </w:pPr>
            <w:r>
              <w:t xml:space="preserve">Market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 Price</w:t>
            </w:r>
          </w:p>
        </w:tc>
        <w:tc>
          <w:tcPr/>
          <w:p>
            <w:pPr>
              <w:pStyle w:val="Compact"/>
            </w:pPr>
            <w:r>
              <w:t xml:space="preserve">194.40</w:t>
            </w:r>
          </w:p>
        </w:tc>
        <w:tc>
          <w:tcPr/>
          <w:p>
            <w:pPr>
              <w:pStyle w:val="Compact"/>
            </w:pPr>
            <w:r>
              <w:t xml:space="preserve">USD/kg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Retail price for private investors, last updated Feb 06, 2026</w:t>
            </w:r>
          </w:p>
        </w:tc>
        <w:tc>
          <w:tcPr/>
          <w:p>
            <w:pPr>
              <w:pStyle w:val="Compact"/>
            </w:pPr>
            <w:r>
              <w:t xml:space="preserve">Market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 Price Volatility</w:t>
            </w:r>
          </w:p>
        </w:tc>
        <w:tc>
          <w:tcPr/>
          <w:p>
            <w:pPr>
              <w:pStyle w:val="Compact"/>
            </w:pPr>
            <w:r>
              <w:t xml:space="preserve">+199.08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2020-2026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Price change since January 2020</w:t>
            </w:r>
          </w:p>
        </w:tc>
        <w:tc>
          <w:tcPr/>
          <w:p>
            <w:pPr>
              <w:pStyle w:val="Compact"/>
            </w:pPr>
            <w:r>
              <w:t xml:space="preserve">Market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NdPr Price (Historical)</w:t>
            </w:r>
          </w:p>
        </w:tc>
        <w:tc>
          <w:tcPr/>
          <w:p>
            <w:pPr>
              <w:pStyle w:val="Compact"/>
            </w:pPr>
            <w:r>
              <w:t xml:space="preserve">360,500</w:t>
            </w:r>
          </w:p>
        </w:tc>
        <w:tc>
          <w:tcPr/>
          <w:p>
            <w:pPr>
              <w:pStyle w:val="Compact"/>
            </w:pPr>
            <w:r>
              <w:t xml:space="preserve">CNY/Tonne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Historical spot price on 2020-01-02</w:t>
            </w:r>
          </w:p>
        </w:tc>
        <w:tc>
          <w:tcPr/>
          <w:p>
            <w:pPr>
              <w:pStyle w:val="Compact"/>
            </w:pPr>
            <w:r>
              <w:t xml:space="preserve">Market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NdPr Price (Historical Peak)</w:t>
            </w:r>
          </w:p>
        </w:tc>
        <w:tc>
          <w:tcPr/>
          <w:p>
            <w:pPr>
              <w:pStyle w:val="Compact"/>
            </w:pPr>
            <w:r>
              <w:t xml:space="preserve">1,520,000</w:t>
            </w:r>
          </w:p>
        </w:tc>
        <w:tc>
          <w:tcPr/>
          <w:p>
            <w:pPr>
              <w:pStyle w:val="Compact"/>
            </w:pPr>
            <w:r>
              <w:t xml:space="preserve">CNY/Tonne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All-time high price in February 2022</w:t>
            </w:r>
          </w:p>
        </w:tc>
        <w:tc>
          <w:tcPr/>
          <w:p>
            <w:pPr>
              <w:pStyle w:val="Compact"/>
            </w:pPr>
            <w:r>
              <w:t xml:space="preserve">Market Estimate</w:t>
            </w:r>
          </w:p>
        </w:tc>
      </w:tr>
    </w:tbl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120" w:line="276" w:lineRule="auto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jc w:val="left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36"/>
      <w:szCs w:val="3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404040" w:space="0" w:sz="4" w:val="single"/>
        <w:left w:color="404040" w:space="0" w:sz="4" w:val="single"/>
        <w:bottom w:color="404040" w:space="0" w:sz="4" w:val="single"/>
        <w:right w:color="404040" w:space="0" w:sz="4" w:val="single"/>
        <w:insideH w:color="404040" w:space="0" w:sz="4" w:val="single"/>
        <w:insideV w:color="40404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rPr>
      <w:cantSplit/>
    </w:trPr>
    <w:tcPr>
      <w:tcBorders>
        <w:top w:color="404040" w:space="0" w:sz="4" w:val="single"/>
        <w:left w:color="404040" w:space="0" w:sz="4" w:val="single"/>
        <w:bottom w:color="404040" w:space="0" w:sz="4" w:val="single"/>
        <w:right w:color="404040" w:space="0" w:sz="4" w:val="single"/>
      </w:tcBorders>
    </w:tcPr>
    <w:tblStylePr w:type="firstRow">
      <w:rPr>
        <w:b/>
        <w:bCs/>
      </w:rPr>
      <w:tblPr>
        <w:jc w:val="left"/>
        <w:tblInd w:type="dxa" w:w="0"/>
      </w:tblPr>
      <w:trPr>
        <w:jc w:val="left"/>
        <w:tblHeader/>
      </w:trPr>
      <w:tcPr>
        <w:tcBorders>
          <w:top w:color="404040" w:space="0" w:sz="6" w:val="single"/>
          <w:left w:color="404040" w:space="0" w:sz="4" w:val="single"/>
          <w:bottom w:color="404040" w:space="0" w:sz="6" w:val="single"/>
          <w:right w:color="404040" w:space="0" w:sz="4" w:val="single"/>
        </w:tcBorders>
        <w:shd w:color="auto" w:fill="F0F0F0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0F05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eorgi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2026-02-07T11:22:50Z</dcterms:created>
  <dcterms:modified xsi:type="dcterms:W3CDTF">2026-02-07T11:22:50Z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sl">
    <vt:lpwstr>/code/chef/pandoc/chicago-short-notes-and-bib.csl</vt:lpwstr>
  </property>
</Properties>
</file>