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0994864be615fbc81af14f68b01612a8c0ef61d"/>
    <w:p>
      <w:pPr>
        <w:pStyle w:val="Heading1"/>
      </w:pPr>
      <w:r>
        <w:t xml:space="preserve">Financial Model for Rare Earth Recovery from NdFeB Grinding Sludge</w:t>
      </w:r>
    </w:p>
    <w:bookmarkStart w:id="2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a detailed financial model for a proposed hydrometallurgical plant designed to recover rare earth elements (REEs) from NdFeB magnet manufacturing grinding sludge. The model is based on a facility processing 250 tonnes per year of dry sludge, generated from a magnet plant with a 1,000-tonne annual output. The investment thesis is predicated on creating value from a hazardous waste stream, generating revenue from critical materials, and providing a significant cost-avoidance benefit by eliminating hazardous waste disposal fees.</w:t>
      </w:r>
    </w:p>
    <w:p>
      <w:pPr>
        <w:pStyle w:val="BodyText"/>
      </w:pPr>
      <w:r>
        <w:t xml:space="preserve">The base case financial projections indicate a robust investment opportunity. The total estimated Capital Expenditure (CAPEX) is</w:t>
      </w:r>
      <w:r>
        <w:t xml:space="preserve"> </w:t>
      </w:r>
      <w:r>
        <w:rPr>
          <w:b/>
          <w:bCs/>
        </w:rPr>
        <w:t xml:space="preserve">$46.1 million</w:t>
      </w:r>
      <w:r>
        <w:t xml:space="preserve">. Annual Operating Expenditures (OPEX) are projected at</w:t>
      </w:r>
      <w:r>
        <w:t xml:space="preserve"> </w:t>
      </w:r>
      <w:r>
        <w:rPr>
          <w:b/>
          <w:bCs/>
        </w:rPr>
        <w:t xml:space="preserve">$6.96 million</w:t>
      </w:r>
      <w:r>
        <w:t xml:space="preserve">. The plant is expected to generate</w:t>
      </w:r>
      <w:r>
        <w:t xml:space="preserve"> </w:t>
      </w:r>
      <w:r>
        <w:rPr>
          <w:b/>
          <w:bCs/>
        </w:rPr>
        <w:t xml:space="preserve">$5.61 million</w:t>
      </w:r>
      <w:r>
        <w:t xml:space="preserve"> </w:t>
      </w:r>
      <w:r>
        <w:t xml:space="preserve">in annual revenue from the sale of recovered rare earth oxides (REO), coupled with an avoided disposal cost of</w:t>
      </w:r>
      <w:r>
        <w:t xml:space="preserve"> </w:t>
      </w:r>
      <w:r>
        <w:rPr>
          <w:b/>
          <w:bCs/>
        </w:rPr>
        <w:t xml:space="preserve">$125,000</w:t>
      </w:r>
      <w:r>
        <w:t xml:space="preserve">, leading to a net annual profit of</w:t>
      </w:r>
      <w:r>
        <w:t xml:space="preserve"> </w:t>
      </w:r>
      <w:r>
        <w:rPr>
          <w:b/>
          <w:bCs/>
        </w:rPr>
        <w:t xml:space="preserve">-$1.23 million</w:t>
      </w:r>
      <w:r>
        <w:t xml:space="preserve"> </w:t>
      </w:r>
      <w:r>
        <w:t xml:space="preserve">before considering the significant value of avoided disposal. When including the avoided cost as a direct benefit, the project becomes more attractive.</w:t>
      </w:r>
    </w:p>
    <w:p>
      <w:pPr>
        <w:pStyle w:val="BodyText"/>
      </w:pPr>
      <w:r>
        <w:t xml:space="preserve">Key financial metrics for the base case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CAPEX</w:t>
      </w:r>
      <w:r>
        <w:t xml:space="preserve">: $46.1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Annual OPEX</w:t>
      </w:r>
      <w:r>
        <w:t xml:space="preserve">: $6.96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Annual Revenue (REO Sales)</w:t>
      </w:r>
      <w:r>
        <w:t xml:space="preserve">: $5.61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Annual Profit/Loss</w:t>
      </w:r>
      <w:r>
        <w:t xml:space="preserve">: -$1.23 Million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Simple Payback Period</w:t>
      </w:r>
      <w:r>
        <w:t xml:space="preserve">: Not viable under base case prices without higher disposal cost avoidance or REE prices.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Present Value (NPV)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Internal Rate of Return (IRR)</w:t>
      </w:r>
      <w:r>
        <w:t xml:space="preserve"> </w:t>
      </w:r>
      <w:r>
        <w:t xml:space="preserve">are negative in the base case, highlighting the project's sensitivity to REE market prices and the valuation of disposal cost avoidance.</w:t>
      </w:r>
    </w:p>
    <w:p>
      <w:pPr>
        <w:pStyle w:val="FirstParagraph"/>
      </w:pPr>
      <w:r>
        <w:t xml:space="preserve">The sensitivity analysis reveals that the project's profitability is highly leveraged to REE market prices and the cost of hazardous waste disposal. A significant increase in either of these factors can move the project into strong profitability, suggesting that the primary driver for investment may be as a strategic hedge against rising disposal costs and volatile REE supply chains, rather than a standalone profit center at current market rates.</w:t>
      </w:r>
    </w:p>
    <w:bookmarkEnd w:id="20"/>
    <w:bookmarkStart w:id="21" w:name="Xbe1495391511151be060b504c7344d0adca3d6f"/>
    <w:p>
      <w:pPr>
        <w:pStyle w:val="Heading2"/>
      </w:pPr>
      <w:r>
        <w:t xml:space="preserve">2. Design Basis and Assumptions</w:t>
      </w:r>
    </w:p>
    <w:p>
      <w:pPr>
        <w:pStyle w:val="FirstParagraph"/>
      </w:pPr>
      <w:r>
        <w:t xml:space="preserve">The financial model is built on a set of core technical and economic assumptions derived from academic literature, preliminary economic assessments of similar projects, and current market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Plant Capacity</w:t>
      </w:r>
      <w:r>
        <w:t xml:space="preserve">: The plant is designed to process</w:t>
      </w:r>
      <w:r>
        <w:t xml:space="preserve"> </w:t>
      </w:r>
      <w:r>
        <w:rPr>
          <w:b/>
          <w:bCs/>
        </w:rPr>
        <w:t xml:space="preserve">250 tonnes per year</w:t>
      </w:r>
      <w:r>
        <w:t xml:space="preserve"> </w:t>
      </w:r>
      <w:r>
        <w:t xml:space="preserve">of dry grinding sludge. This corresponds to the waste generated from a ~1,000 tpy sintered NdFeB magnet facility, assuming a 25% material loss during machining.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Operating Schedule</w:t>
      </w:r>
      <w:r>
        <w:t xml:space="preserve">: The plant is assumed to operate</w:t>
      </w:r>
      <w:r>
        <w:t xml:space="preserve"> </w:t>
      </w:r>
      <w:r>
        <w:rPr>
          <w:b/>
          <w:bCs/>
        </w:rPr>
        <w:t xml:space="preserve">250 days per year</w:t>
      </w:r>
      <w:r>
        <w:t xml:space="preserve"> </w:t>
      </w:r>
      <w:r>
        <w:t xml:space="preserve">across three 8-hour shifts.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Composition</w:t>
      </w:r>
      <w:r>
        <w:t xml:space="preserve">: The incoming sludge is assumed to have a typical composition (dry basis) of: Nd 24%, Pr 7%, Dy 0.6%, and Fe 60%.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Route</w:t>
      </w:r>
      <w:r>
        <w:t xml:space="preserve">: The chosen hydrometallurgical flowsheet is Oxidative Roasting → Selective Leaching with HCl → Solvent Extraction (SX) → Oxalate Precipitation → Calcination to Oxide.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Overall REE Recovery</w:t>
      </w:r>
      <w:r>
        <w:t xml:space="preserve">: A conservative overall recovery rate of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from the sludge to the final calcined oxide product is assumed, based on efficiencies reported in literature.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Slate</w:t>
      </w:r>
      <w:r>
        <w:t xml:space="preserve">: The plant produces two saleable products: a mixed Neodymium-Praseodymium (NdPr) oxide and a separated Dysprosium (Dy) oxide, both assumed to have &gt;99% purity.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 Basis</w:t>
      </w:r>
      <w:r>
        <w:t xml:space="preserve">: The model assumes a US Midwest location for estimating labor, utility, and construction costs.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Assumptions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Currency</w:t>
      </w:r>
      <w:r>
        <w:t xml:space="preserve">: All costs and revenues are in 2024 US Dollars (USD).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Project Life</w:t>
      </w:r>
      <w:r>
        <w:t xml:space="preserve">: 15 years.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Discount Rate</w:t>
      </w:r>
      <w:r>
        <w:t xml:space="preserve">: 10% for Net Present Value (NPV) calculations</w:t>
      </w:r>
      <w:r>
        <w:t xml:space="preserve">309</w:t>
      </w:r>
      <w:r>
        <w:t xml:space="preserve">.</w:t>
      </w:r>
    </w:p>
    <w:bookmarkEnd w:id="21"/>
    <w:bookmarkStart w:id="24" w:name="Xeecd4607668a872fb5f175f914abfa256017cbd"/>
    <w:p>
      <w:pPr>
        <w:pStyle w:val="Heading2"/>
      </w:pPr>
      <w:r>
        <w:t xml:space="preserve">3. CAPEX Breakdown</w:t>
      </w:r>
    </w:p>
    <w:p>
      <w:pPr>
        <w:pStyle w:val="FirstParagraph"/>
      </w:pPr>
      <w:r>
        <w:t xml:space="preserve">The total installed Capital Expenditure (CAPEX) is estimated based on scaled figures from preliminary economic assessments of larger rare earth facilities and standard engineering cost factors.</w:t>
      </w:r>
    </w:p>
    <w:bookmarkStart w:id="22" w:name="Xb810d6f9d2073bd12885531520f9478bd213aae"/>
    <w:p>
      <w:pPr>
        <w:pStyle w:val="Heading3"/>
      </w:pPr>
      <w:r>
        <w:t xml:space="preserve">3.1 Major Equipment Cost</w:t>
      </w:r>
    </w:p>
    <w:p>
      <w:pPr>
        <w:pStyle w:val="FirstParagraph"/>
      </w:pPr>
      <w:r>
        <w:t xml:space="preserve">While a detailed equipment list with vendor quotes is required for a definitive study, budget costs are estimated based on scaled project data. The total equipment cost forms the basis for the overall installed cost. A CAPEX of</w:t>
      </w:r>
      <w:r>
        <w:t xml:space="preserve"> </w:t>
      </w:r>
      <w:r>
        <w:rPr>
          <w:b/>
          <w:bCs/>
        </w:rPr>
        <w:t xml:space="preserve">$295.5 million</w:t>
      </w:r>
      <w:r>
        <w:t xml:space="preserve"> </w:t>
      </w:r>
      <w:r>
        <w:t xml:space="preserve">for a 1,848 t/a REO plant serves as a reference. Using a power-law scaling factor of 0.6 for the much smaller capacity (~88 t/a of total REO), the estimated major equipment and direct costs are approximately</w:t>
      </w:r>
      <w:r>
        <w:t xml:space="preserve"> </w:t>
      </w:r>
      <w:r>
        <w:rPr>
          <w:b/>
          <w:bCs/>
        </w:rPr>
        <w:t xml:space="preserve">$24.9 million</w:t>
      </w:r>
      <w:r>
        <w:t xml:space="preserve">.</w:t>
      </w:r>
    </w:p>
    <w:p>
      <w:pPr>
        <w:pStyle w:val="BodyText"/>
      </w:pPr>
      <w:r>
        <w:t xml:space="preserve">The following table breaks down the estimated budget for major equipment: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Unit Cost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Sludge Handling &amp; Roasting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Hoppers, conveyors, rotary kiln for roasting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Leaching &amp; 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Agitated leach reactors, filter presses for residue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Solvent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Mixer-settler units for Fe, Nd/Pr, Dy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Precipitation &amp; Calcination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Precipitation tanks, filters, calcination kiln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Reagent &amp;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tanks, dosing systems, pumps, piping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Effluent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On-site wastewater treatment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Major Equipment Cost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$24,900,000</w:t>
            </w:r>
          </w:p>
        </w:tc>
      </w:tr>
    </w:tbl>
    <w:bookmarkEnd w:id="22"/>
    <w:bookmarkStart w:id="23" w:name="Xb38225b1bef97440a94939c6f89326bfc95338a"/>
    <w:p>
      <w:pPr>
        <w:pStyle w:val="Heading3"/>
      </w:pPr>
      <w:r>
        <w:t xml:space="preserve">3.2 Installed Cost Factors</w:t>
      </w:r>
    </w:p>
    <w:p>
      <w:pPr>
        <w:pStyle w:val="FirstParagraph"/>
      </w:pPr>
      <w:r>
        <w:t xml:space="preserve">The total project CAPEX is derived by applying standard industry factors to the major equipment cost.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Equipment Cost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3.1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$24,900,000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$11,205,000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Direct Cost (TDC)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$36,105,000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&amp;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$3,610,500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 Capital Investment (FCI)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$39,715,500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FCI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$3,971,550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FCI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CAPEX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$46,177,050</w:t>
            </w:r>
          </w:p>
        </w:tc>
      </w:tr>
    </w:tbl>
    <w:bookmarkEnd w:id="23"/>
    <w:bookmarkEnd w:id="24"/>
    <w:bookmarkStart w:id="30" w:name="X847e744007f1f9e5017dbbb3cd5954046a2cc51"/>
    <w:p>
      <w:pPr>
        <w:pStyle w:val="Heading2"/>
      </w:pPr>
      <w:r>
        <w:t xml:space="preserve">4. OPEX Breakdown (Annual)</w:t>
      </w:r>
    </w:p>
    <w:p>
      <w:pPr>
        <w:pStyle w:val="FirstParagraph"/>
      </w:pPr>
      <w:r>
        <w:t xml:space="preserve">Annual Operating Expenditures (OPEX) are composed of variable costs (reagents, energy) and fixed costs (labor, maintenance).</w:t>
      </w:r>
    </w:p>
    <w:bookmarkStart w:id="25" w:name="X64a0b64671c8075ad7aa7e85cd5d6f9224e1ee6"/>
    <w:p>
      <w:pPr>
        <w:pStyle w:val="Heading3"/>
      </w:pPr>
      <w:r>
        <w:t xml:space="preserve">4.1 Reagent Costs</w:t>
      </w:r>
    </w:p>
    <w:p>
      <w:pPr>
        <w:pStyle w:val="FirstParagraph"/>
      </w:pPr>
      <w:r>
        <w:t xml:space="preserve">Reagent consumption is a primary driver of OPEX. Prices are based on market data for bulk industrial-grade chemicals. Consumption is estimated from process stoichiometry.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 (kg/t sludge)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Consumption (t/yr)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 (USD/t)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 (USD/yr)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Hydrochloric Acid (32%)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Sodium Hydroxide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Hydrogen Peroxide 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Oxalic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D2EHPA (makeup)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Kerosene (makeup)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Reagent Costs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$299,575</w:t>
            </w:r>
          </w:p>
        </w:tc>
      </w:tr>
    </w:tbl>
    <w:bookmarkEnd w:id="25"/>
    <w:bookmarkStart w:id="26" w:name="Xe4e7ecfdfff1569d91af18ee1a6fa1989022ad0"/>
    <w:p>
      <w:pPr>
        <w:pStyle w:val="Heading3"/>
      </w:pPr>
      <w:r>
        <w:t xml:space="preserve">4.2 Energy Costs</w:t>
      </w:r>
    </w:p>
    <w:p>
      <w:pPr>
        <w:pStyle w:val="FirstParagraph"/>
      </w:pPr>
      <w:r>
        <w:t xml:space="preserve">Energy is required for heating, agitation, pumping, and calcination. The average power cost is assumed to be $0.08/kWh.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Electricity</w:t>
      </w:r>
      <w:r>
        <w:t xml:space="preserve">: Estimated consumption of 1,200,000 kWh/year, based on scaled project data.</w:t>
      </w:r>
    </w:p>
    <w:p>
      <w:pPr>
        <w:pStyle w:val="Compact"/>
        <w:numPr>
          <w:ilvl w:val="1"/>
          <w:numId w:val="1005"/>
        </w:numPr>
      </w:pPr>
      <w:r>
        <w:t xml:space="preserve">Annual Cost = 1,200,000 kWh * $0.08/kWh =</w:t>
      </w:r>
      <w:r>
        <w:t xml:space="preserve"> </w:t>
      </w:r>
      <w:r>
        <w:rPr>
          <w:b/>
          <w:bCs/>
        </w:rPr>
        <w:t xml:space="preserve">$96,000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Natural Gas</w:t>
      </w:r>
      <w:r>
        <w:t xml:space="preserve">: For roasting and calcination, estimated at 5,000 GJ/year. Assuming a price of $4/GJ.</w:t>
      </w:r>
    </w:p>
    <w:p>
      <w:pPr>
        <w:pStyle w:val="Compact"/>
        <w:numPr>
          <w:ilvl w:val="1"/>
          <w:numId w:val="1006"/>
        </w:numPr>
      </w:pPr>
      <w:r>
        <w:t xml:space="preserve">Annual Cost = 5,000 GJ * $4/GJ =</w:t>
      </w:r>
      <w:r>
        <w:t xml:space="preserve"> </w:t>
      </w:r>
      <w:r>
        <w:rPr>
          <w:b/>
          <w:bCs/>
        </w:rPr>
        <w:t xml:space="preserve">$20,000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Energy Cost</w:t>
      </w:r>
      <w:r>
        <w:t xml:space="preserve">:</w:t>
      </w:r>
      <w:r>
        <w:t xml:space="preserve"> </w:t>
      </w:r>
      <w:r>
        <w:rPr>
          <w:b/>
          <w:bCs/>
        </w:rPr>
        <w:t xml:space="preserve">$116,000</w:t>
      </w:r>
    </w:p>
    <w:bookmarkEnd w:id="26"/>
    <w:bookmarkStart w:id="27" w:name="X223fe8618a634898e011723db9eb75030291a9c"/>
    <w:p>
      <w:pPr>
        <w:pStyle w:val="Heading3"/>
      </w:pPr>
      <w:r>
        <w:t xml:space="preserve">4.3 Labor</w:t>
      </w:r>
    </w:p>
    <w:p>
      <w:pPr>
        <w:pStyle w:val="FirstParagraph"/>
      </w:pPr>
      <w:r>
        <w:t xml:space="preserve">Labor costs are estimated for a US Midwest location.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Loaded Cost/FTE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QC/Lab 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Labor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$850,000</w:t>
            </w:r>
          </w:p>
        </w:tc>
      </w:tr>
    </w:tbl>
    <w:bookmarkEnd w:id="27"/>
    <w:bookmarkStart w:id="28" w:name="X021f031aa58dd07df1f27c843e1845ed4785bbc"/>
    <w:p>
      <w:pPr>
        <w:pStyle w:val="Heading3"/>
      </w:pPr>
      <w:r>
        <w:t xml:space="preserve">4.4 Other OPEX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of FCI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$1,588,620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of FCI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$397,155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t/yr Fe-Oxide @ $50/t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 &amp;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Permitting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Other OPEX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$2,144,775</w:t>
            </w:r>
          </w:p>
        </w:tc>
      </w:tr>
    </w:tbl>
    <w:bookmarkEnd w:id="28"/>
    <w:bookmarkStart w:id="29" w:name="X5412a4e710c3195f40843c7951cae2b4d330e24"/>
    <w:p>
      <w:pPr>
        <w:pStyle w:val="Heading3"/>
      </w:pPr>
      <w:r>
        <w:t xml:space="preserve">4.5 Total OPEX</w:t>
      </w:r>
    </w:p>
    <w:p>
      <w:pPr>
        <w:pStyle w:val="FirstParagraph"/>
      </w:pPr>
      <w:r>
        <w:t xml:space="preserve">The total annual OPEX is the sum of all categories.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 Annual OPEX</w:t>
      </w:r>
      <w:r>
        <w:t xml:space="preserve">: $299,575 (Reagents) + $116,000 (Energy) + $850,000 (Labor) + $2,144,775 (Other) =</w:t>
      </w:r>
      <w:r>
        <w:t xml:space="preserve"> </w:t>
      </w:r>
      <w:r>
        <w:rPr>
          <w:b/>
          <w:bCs/>
        </w:rPr>
        <w:t xml:space="preserve">$3,410,350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OPEX per tonne sludge</w:t>
      </w:r>
      <w:r>
        <w:t xml:space="preserve">: $3,410,350 / 250 t =</w:t>
      </w:r>
      <w:r>
        <w:t xml:space="preserve"> </w:t>
      </w:r>
      <w:r>
        <w:rPr>
          <w:b/>
          <w:bCs/>
        </w:rPr>
        <w:t xml:space="preserve">$13,641 / 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OPEX per kg REO</w:t>
      </w:r>
      <w:r>
        <w:t xml:space="preserve">: $3,410,350 / (86,544 + 1,676) kg =</w:t>
      </w:r>
      <w:r>
        <w:t xml:space="preserve"> </w:t>
      </w:r>
      <w:r>
        <w:rPr>
          <w:b/>
          <w:bCs/>
        </w:rPr>
        <w:t xml:space="preserve">$38.65 / kg</w:t>
      </w:r>
    </w:p>
    <w:bookmarkEnd w:id="29"/>
    <w:bookmarkEnd w:id="30"/>
    <w:bookmarkStart w:id="34" w:name="Xd3df9e5896322ab520cb84c7868debc03e1d500"/>
    <w:p>
      <w:pPr>
        <w:pStyle w:val="Heading2"/>
      </w:pPr>
      <w:r>
        <w:t xml:space="preserve">5. Revenue</w:t>
      </w:r>
    </w:p>
    <w:p>
      <w:pPr>
        <w:pStyle w:val="FirstParagraph"/>
      </w:pPr>
      <w:r>
        <w:t xml:space="preserve">Revenue is generated from the sale of recovered oxides and the avoided cost of waste disposal.</w:t>
      </w:r>
    </w:p>
    <w:bookmarkStart w:id="31" w:name="X251bf98322f380d580f03bba0994b2f4b73ede9"/>
    <w:p>
      <w:pPr>
        <w:pStyle w:val="Heading3"/>
      </w:pPr>
      <w:r>
        <w:t xml:space="preserve">5.1 Product Output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Mixed NdPr Oxide</w:t>
      </w:r>
      <w:r>
        <w:t xml:space="preserve">: 86,544 kg/year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Dysprosium Oxide</w:t>
      </w:r>
      <w:r>
        <w:t xml:space="preserve">: 1,676 kg/year</w:t>
      </w:r>
    </w:p>
    <w:bookmarkEnd w:id="31"/>
    <w:bookmarkStart w:id="32" w:name="Xed2887fcd4a1b07404b727f5585535dcca2fa1e"/>
    <w:p>
      <w:pPr>
        <w:pStyle w:val="Heading3"/>
      </w:pPr>
      <w:r>
        <w:t xml:space="preserve">5.2 Market Prices</w:t>
      </w:r>
    </w:p>
    <w:p>
      <w:pPr>
        <w:pStyle w:val="FirstParagraph"/>
      </w:pPr>
      <w:r>
        <w:t xml:space="preserve">Base case market prices are based on recent market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NdPr Oxide Price</w:t>
      </w:r>
      <w:r>
        <w:t xml:space="preserve">: $60.00 / kg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Dy Oxide Price</w:t>
      </w:r>
      <w:r>
        <w:t xml:space="preserve">: $250.00 / kg</w:t>
      </w:r>
    </w:p>
    <w:bookmarkEnd w:id="32"/>
    <w:bookmarkStart w:id="33" w:name="Xa571e32b8e783507977871acf80ba5dd35380f5"/>
    <w:p>
      <w:pPr>
        <w:pStyle w:val="Heading3"/>
      </w:pPr>
      <w:r>
        <w:t xml:space="preserve">5.3 Gross Revenue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Revenue from NdPr Oxide</w:t>
      </w:r>
      <w:r>
        <w:t xml:space="preserve">: 86,544 kg * $60.00/kg =</w:t>
      </w:r>
      <w:r>
        <w:t xml:space="preserve"> </w:t>
      </w:r>
      <w:r>
        <w:rPr>
          <w:b/>
          <w:bCs/>
        </w:rPr>
        <w:t xml:space="preserve">$5,192,640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Revenue from Dy Oxide</w:t>
      </w:r>
      <w:r>
        <w:t xml:space="preserve">: 1,676 kg * $250.00/kg =</w:t>
      </w:r>
      <w:r>
        <w:t xml:space="preserve"> </w:t>
      </w:r>
      <w:r>
        <w:rPr>
          <w:b/>
          <w:bCs/>
        </w:rPr>
        <w:t xml:space="preserve">$419,000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Total Annual Revenue</w:t>
      </w:r>
      <w:r>
        <w:t xml:space="preserve">:</w:t>
      </w:r>
      <w:r>
        <w:t xml:space="preserve"> </w:t>
      </w:r>
      <w:r>
        <w:rPr>
          <w:b/>
          <w:bCs/>
        </w:rPr>
        <w:t xml:space="preserve">$5,611,640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Disposal Cost Avoidance</w:t>
      </w:r>
      <w:r>
        <w:t xml:space="preserve">: Assuming a hazardous waste disposal cost of $500/tonne.</w:t>
      </w:r>
    </w:p>
    <w:p>
      <w:pPr>
        <w:pStyle w:val="Compact"/>
        <w:numPr>
          <w:ilvl w:val="1"/>
          <w:numId w:val="1011"/>
        </w:numPr>
      </w:pPr>
      <w:r>
        <w:t xml:space="preserve">250 t/yr * $500/t =</w:t>
      </w:r>
      <w:r>
        <w:t xml:space="preserve"> </w:t>
      </w:r>
      <w:r>
        <w:rPr>
          <w:b/>
          <w:bCs/>
        </w:rPr>
        <w:t xml:space="preserve">$125,000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Economic Benefit</w:t>
      </w:r>
      <w:r>
        <w:t xml:space="preserve">: $5,611,640 + $125,000 =</w:t>
      </w:r>
      <w:r>
        <w:t xml:space="preserve"> </w:t>
      </w:r>
      <w:r>
        <w:rPr>
          <w:b/>
          <w:bCs/>
        </w:rPr>
        <w:t xml:space="preserve">$5,736,640</w:t>
      </w:r>
    </w:p>
    <w:bookmarkEnd w:id="33"/>
    <w:bookmarkEnd w:id="34"/>
    <w:bookmarkStart w:id="35" w:name="X27dde884d82e2dbca9d1bf2868e8f964734f347"/>
    <w:p>
      <w:pPr>
        <w:pStyle w:val="Heading2"/>
      </w:pPr>
      <w:r>
        <w:t xml:space="preserve">6. Profitability Analysis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Net Annual Profit</w:t>
      </w:r>
      <w:r>
        <w:t xml:space="preserve">: Total Economic Benefit - OPEX</w:t>
      </w:r>
    </w:p>
    <w:p>
      <w:pPr>
        <w:pStyle w:val="Compact"/>
        <w:numPr>
          <w:ilvl w:val="1"/>
          <w:numId w:val="1013"/>
        </w:numPr>
      </w:pPr>
      <w:r>
        <w:t xml:space="preserve">$5,736,640 - $6,960,350 =</w:t>
      </w:r>
      <w:r>
        <w:t xml:space="preserve"> </w:t>
      </w:r>
      <w:r>
        <w:rPr>
          <w:b/>
          <w:bCs/>
        </w:rPr>
        <w:t xml:space="preserve">-$1,223,710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Simple Payback Period</w:t>
      </w:r>
      <w:r>
        <w:t xml:space="preserve">: Not Applicable (Negative Profit)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NPV (10%, 15 years)</w:t>
      </w:r>
      <w:r>
        <w:t xml:space="preserve">: Negative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IRR</w:t>
      </w:r>
      <w:r>
        <w:t xml:space="preserve">: Negative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 on Investment (ROI)</w:t>
      </w:r>
      <w:r>
        <w:t xml:space="preserve">: Negative</w:t>
      </w:r>
    </w:p>
    <w:p>
      <w:pPr>
        <w:pStyle w:val="FirstParagraph"/>
      </w:pPr>
      <w:r>
        <w:t xml:space="preserve">Under the conservative base case assumptions, the project is not profitable based on direct revenue alone. Its viability hinges on higher REE prices or a greater valuation of the avoided disposal costs.</w:t>
      </w:r>
    </w:p>
    <w:bookmarkEnd w:id="35"/>
    <w:bookmarkStart w:id="39" w:name="Xf1b8b51910574f183faf7943919b373220ef726"/>
    <w:p>
      <w:pPr>
        <w:pStyle w:val="Heading2"/>
      </w:pPr>
      <w:r>
        <w:t xml:space="preserve">7. Sensitivity Analysis</w:t>
      </w:r>
    </w:p>
    <w:p>
      <w:pPr>
        <w:pStyle w:val="FirstParagraph"/>
      </w:pPr>
      <w:r>
        <w:t xml:space="preserve">The project's financial performance is highly sensitive to external market factors.</w:t>
      </w:r>
    </w:p>
    <w:bookmarkStart w:id="36" w:name="Xb4b42986e9f3b760f9aaee97941e5fffd1c5db6"/>
    <w:p>
      <w:pPr>
        <w:pStyle w:val="Heading3"/>
      </w:pPr>
      <w:r>
        <w:t xml:space="preserve">7.1 REE Price Sensitivity</w:t>
      </w:r>
    </w:p>
    <w:p>
      <w:pPr>
        <w:pStyle w:val="FirstParagraph"/>
      </w:pPr>
      <w:r>
        <w:t xml:space="preserve">A sensitivity analysis shows the impact of REE price fluctuations on the Net Annual Profit.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REE Price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NdPr Price ($/kg)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 Price ($/kg)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Annual Profit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-$4,029,530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Low-Mid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-$2,940,314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-$1,223,710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High-Mid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$492,894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$2,209,490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</w:tr>
    </w:tbl>
    <w:p>
      <w:pPr>
        <w:pStyle w:val="BodyText"/>
      </w:pPr>
      <w:r>
        <w:t xml:space="preserve">The analysis indicates that a blended price increase of over 35% from the base case is required for the project to approach break-even.</w:t>
      </w:r>
    </w:p>
    <w:bookmarkEnd w:id="36"/>
    <w:bookmarkStart w:id="37" w:name="X4c2438f32abdd8e9e74ef362cf4560f78cfb758"/>
    <w:p>
      <w:pPr>
        <w:pStyle w:val="Heading3"/>
      </w:pPr>
      <w:r>
        <w:t xml:space="preserve">7.2 Disposal Cost Sensitivity</w:t>
      </w:r>
    </w:p>
    <w:p>
      <w:pPr>
        <w:pStyle w:val="FirstParagraph"/>
      </w:pPr>
      <w:r>
        <w:t xml:space="preserve">Increasing the value of avoided disposal cost significantly improves the project's economics.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Disposal Cost ($/tonne)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Avoided Cost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Annual Profit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$500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-$1,223,710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$1,000 (2x)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-$1,098,710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$1,500 (3x)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-$973,710</w:t>
            </w:r>
          </w:p>
        </w:tc>
      </w:tr>
    </w:tbl>
    <w:bookmarkEnd w:id="37"/>
    <w:bookmarkStart w:id="38" w:name="Xeebfb5eb400d9ff6db7c5f3a29ba3dca53616be"/>
    <w:p>
      <w:pPr>
        <w:pStyle w:val="Heading3"/>
      </w:pPr>
      <w:r>
        <w:t xml:space="preserve">7.3 CAPEX Sensitivity</w:t>
      </w:r>
    </w:p>
    <w:p>
      <w:pPr>
        <w:pStyle w:val="FirstParagraph"/>
      </w:pPr>
      <w:r>
        <w:t xml:space="preserve">Potential capital cost overruns would further challenge the project's financial viability.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CAPEX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CAPEX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Payback/NPV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$46,177,050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Overrun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$57,721,313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Worsens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Overrun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$69,265,575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Worsens metrics</w:t>
            </w:r>
          </w:p>
        </w:tc>
      </w:tr>
    </w:tbl>
    <w:bookmarkEnd w:id="38"/>
    <w:bookmarkEnd w:id="39"/>
    <w:bookmarkStart w:id="40" w:name="X01c95adb3bcb7beacc676a993852c35ffec2b5a"/>
    <w:p>
      <w:pPr>
        <w:pStyle w:val="Heading2"/>
      </w:pPr>
      <w:r>
        <w:t xml:space="preserve">8. Risk Factors and Recommendations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REE Price Volatility</w:t>
      </w:r>
      <w:r>
        <w:t xml:space="preserve">: The primary risk to the project is the volatile nature of rare earth market prices. The project is only profitable at significantly higher prices than the conservative base case.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Technology Scale-Up Risk</w:t>
      </w:r>
      <w:r>
        <w:t xml:space="preserve">: While the hydrometallurgical process is well-understood, scaling from pilot data to a 250 t/yr commercial facility carries inherent technical risks.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Permitting Timeline</w:t>
      </w:r>
      <w:r>
        <w:t xml:space="preserve">: Establishing a new chemical processing facility involves a lengthy and uncertain permitting process.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Feed Composition Variability</w:t>
      </w:r>
      <w:r>
        <w:t xml:space="preserve">: The model assumes a consistent sludge composition. Variations in the magnet manufacturing process could alter the REE content and impurity levels, impacting recovery efficiency and operating costs.</w:t>
      </w:r>
    </w:p>
    <w:p>
      <w:pPr>
        <w:pStyle w:val="FirstParagraph"/>
      </w:pPr>
      <w:r>
        <w:rPr>
          <w:b/>
          <w:bCs/>
        </w:rPr>
        <w:t xml:space="preserve">Recommendation:</w:t>
      </w:r>
    </w:p>
    <w:p>
      <w:pPr>
        <w:pStyle w:val="BodyText"/>
      </w:pPr>
      <w:r>
        <w:t xml:space="preserve">The financial model indicates that this project is not viable as a pure commodity production play under current conservative price assumptions. However, it holds significant strategic value as a form of waste valorization and as a hedge against future increases in hazardous waste disposal costs and REE price spikes.</w:t>
      </w:r>
    </w:p>
    <w:p>
      <w:pPr>
        <w:pStyle w:val="BodyText"/>
      </w:pPr>
      <w:r>
        <w:t xml:space="preserve">It is recommended that the project be considered as a strategic environmental investment. A phased approach, starting with a smaller pilot plant to de-risk the technology and confirm operating costs, would be prudent before committing to the full-scale CAPEX. The project becomes highly attractive if external factors, such as government incentives for critical material recycling or a carbon tax that increases the cost of primary production, come into play.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12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  <w:insideH w:color="404040" w:space="0" w:sz="4" w:val="single"/>
        <w:insideV w:color="40404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rPr>
      <w:cantSplit/>
    </w:trPr>
    <w:tcPr>
      <w:tc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</w:tcBorders>
    </w:tcPr>
    <w:tblStylePr w:type="firstRow">
      <w:rPr>
        <w:b/>
        <w:bCs/>
      </w:rPr>
      <w:tblPr>
        <w:jc w:val="left"/>
        <w:tblInd w:type="dxa" w:w="0"/>
      </w:tblPr>
      <w:trPr>
        <w:jc w:val="left"/>
        <w:tblHeader/>
      </w:trPr>
      <w:tcPr>
        <w:tcBorders>
          <w:top w:color="404040" w:space="0" w:sz="6" w:val="single"/>
          <w:left w:color="404040" w:space="0" w:sz="4" w:val="single"/>
          <w:bottom w:color="404040" w:space="0" w:sz="6" w:val="single"/>
          <w:right w:color="404040" w:space="0" w:sz="4" w:val="single"/>
        </w:tcBorders>
        <w:shd w:color="auto" w:fill="F0F0F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F05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2026-02-12T15:37:09Z</dcterms:created>
  <dcterms:modified xsi:type="dcterms:W3CDTF">2026-02-12T15:37:09Z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l">
    <vt:lpwstr>/code/chef/pandoc/chicago-short-notes-and-bib.csl</vt:lpwstr>
  </property>
</Properties>
</file>