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c8e7add0f0eebba601a920b37ccc764c679ab7"/>
    <w:p>
      <w:pPr>
        <w:pStyle w:val="Heading1"/>
      </w:pPr>
      <w:r>
        <w:t xml:space="preserve">Market Analysis: Recovering Rare Earths from Permanent Magnet Waste</w:t>
      </w:r>
    </w:p>
    <w:bookmarkStart w:id="20" w:name="executive-summary"/>
    <w:p>
      <w:pPr>
        <w:pStyle w:val="Heading2"/>
      </w:pPr>
      <w:r>
        <w:t xml:space="preserve">Executive Summary</w:t>
      </w:r>
    </w:p>
    <w:p>
      <w:pPr>
        <w:pStyle w:val="FirstParagraph"/>
      </w:pPr>
      <w:r>
        <w:t xml:space="preserve">The market for recovering Rare Earth Elements (REEs)—specifically Neodymium (Nd), Dysprosium (Dy), Praseodymium (Pr), Terbium (Tb), and Samarium (Sm)—from permanent magnet manufacturing and end-of-life waste streams presents a rapidly expanding opportunity driven by geopolitical imperatives and the global transition to clean energy. With the global recycled neodymium magnet market valued at approximately USD 325 million in 2024 and projected to grow at a CAGR of 7.8%, the sector is poised for significant investment. This growth is underpinned by the increasing demand for high-performance NdFeB and SmCo magnets in electric vehicles (EVs), wind turbines, and consumer electronics, coupled with extreme supply chain concentration, as China controls over 90% of global magnet manufacturing and REE refining.</w:t>
      </w:r>
    </w:p>
    <w:p>
      <w:pPr>
        <w:pStyle w:val="BodyText"/>
      </w:pPr>
      <w:r>
        <w:t xml:space="preserve">Key findings indicate that while recycling currently accounts for less than 5% of REE supply, the potential is substantial. Manufacturing processes generate significant scrap, with 10-30% of magnet material lost as swarf and sludge. End-of-life products, particularly from the automotive and wind sectors, are becoming a vast "urban mine" of critical materials. The economic viability of recovery is strengthening, driven by volatile REE prices and government initiatives like the EU's Critical Raw Materials Act, which mandates a 25% recycling target by 2030, and U.S. Defense Production Act investments that are de-risking domestic projects.</w:t>
      </w:r>
    </w:p>
    <w:p>
      <w:pPr>
        <w:pStyle w:val="BodyText"/>
      </w:pPr>
      <w:r>
        <w:t xml:space="preserve">Technologically, hydrometallurgy remains the most mature and widely deployed method, achieving recovery efficiencies of over 95%. However, it faces challenges related to high chemical consumption and wastewater generation. Emerging technologies such as hydrogen processing (HPMS), advanced membrane separation, and electrochemical methods promise significantly lower environmental footprints—with up to 87% less energy use and 84-95% fewer greenhouse gas emissions—and are reaching commercial pilot stages. Capital expenditures for new facilities range from $20-125 million, with operating costs for advanced methods estimated between $20-65/kg of recovered REE oxide. Strategic recommendations include investing in diversified recovery technologies, securing long-term feedstock agreements, and leveraging government incentives to establish resilient, domestic, and circular REE supply chains.</w:t>
      </w:r>
    </w:p>
    <w:bookmarkEnd w:id="20"/>
    <w:bookmarkStart w:id="25" w:name="Xcdb242987bfc64bd9a713f56d3c9f91d59eb24d"/>
    <w:p>
      <w:pPr>
        <w:pStyle w:val="Heading2"/>
      </w:pPr>
      <w:r>
        <w:t xml:space="preserve">1. Market Size &amp; Waste Generation (2024-2030)</w:t>
      </w:r>
    </w:p>
    <w:p>
      <w:pPr>
        <w:pStyle w:val="FirstParagraph"/>
      </w:pPr>
      <w:r>
        <w:t xml:space="preserve">The market opportunity for REE recovery is directly linked to the expanding permanent magnet sector and the corresponding increase in manufacturing and end-of-life waste. Global demand for NdFeB magnets is projected to grow at a CAGR of 9.7% from 2020 to 2030, which could lead to an annual supply shortage of 48,000 tonnes by 2030. The global permanent magnet market, valued at over USD 22 billion in 2023, is forecast to reach nearly USD 40 billion by 2030. The dedicated magnet recycling market is growing even faster, with one forecast predicting a robust CAGR of 15.6%, expanding from USD 1.2 billion in 2024 to USD 4.5 billion by 2033.</w:t>
      </w:r>
    </w:p>
    <w:bookmarkStart w:id="21" w:name="production-volumes-by-region"/>
    <w:p>
      <w:pPr>
        <w:pStyle w:val="Heading3"/>
      </w:pPr>
      <w:r>
        <w:t xml:space="preserve">Production Volumes by Region</w:t>
      </w:r>
    </w:p>
    <w:p>
      <w:pPr>
        <w:pStyle w:val="FirstParagraph"/>
      </w:pPr>
      <w:r>
        <w:t xml:space="preserve">Global production of NdFeB magnets is heavily concentrated in China. In 2019, approximately 93% of the ~130,000 tonnes of NdFeB magnets produced worldwide originated in China. This dominance extends across the supply chain, with China accounting for over 85% of refined REE output. Other regions have minimal production capacity in comparison; Europe accounts for less than 1% of global NdFeB magnet manufacturing, and the United States recorded no production between 2017 and 2022. Japan and Vietnam account for most of the remaining share, at approximately 7% and 1%, respectively.</w:t>
      </w:r>
    </w:p>
    <w:bookmarkEnd w:id="21"/>
    <w:bookmarkStart w:id="22" w:name="X538f4f2b71a2e6929d4e791b9370e2230854eaa"/>
    <w:p>
      <w:pPr>
        <w:pStyle w:val="Heading3"/>
      </w:pPr>
      <w:r>
        <w:t xml:space="preserve">Waste Generation from End-of-Life Products</w:t>
      </w:r>
    </w:p>
    <w:p>
      <w:pPr>
        <w:pStyle w:val="FirstParagraph"/>
      </w:pPr>
      <w:r>
        <w:t xml:space="preserve">The transition to electric mobility and renewable energy is creating a substantial future reservoir of end-of-life magnets.</w:t>
      </w:r>
    </w:p>
    <w:p>
      <w:pPr>
        <w:pStyle w:val="Compact"/>
        <w:numPr>
          <w:ilvl w:val="0"/>
          <w:numId w:val="1001"/>
        </w:numPr>
      </w:pPr>
      <w:r>
        <w:rPr>
          <w:b/>
          <w:bCs/>
        </w:rPr>
        <w:t xml:space="preserve">Electric Vehicles (EVs):</w:t>
      </w:r>
      <w:r>
        <w:t xml:space="preserve"> </w:t>
      </w:r>
      <w:r>
        <w:t xml:space="preserve">Each EV contains approximately 1-2 kg of NdFeB magnets in its traction motor, and some hybrid vehicles contain up to 4.5 kg of REEs. With the global EV fleet projected to grow from 30 million in 2022 to 250 million by 2030, the volume of end-of-life EV motors will become a primary source of recoverable REEs. Over the next two decades, retired EVs are expected to yield over 11,000 tonnes of Nd and 1,000 tonnes of Dy.</w:t>
      </w:r>
    </w:p>
    <w:p>
      <w:pPr>
        <w:pStyle w:val="Compact"/>
        <w:numPr>
          <w:ilvl w:val="0"/>
          <w:numId w:val="1001"/>
        </w:numPr>
      </w:pPr>
      <w:r>
        <w:rPr>
          <w:b/>
          <w:bCs/>
        </w:rPr>
        <w:t xml:space="preserve">Wind Turbines:</w:t>
      </w:r>
      <w:r>
        <w:t xml:space="preserve"> </w:t>
      </w:r>
      <w:r>
        <w:t xml:space="preserve">Direct-drive permanent magnet generators used in wind turbines contain significant quantities of REEs, with an average of 580-650 kg of NdFeB magnets per megawatt (MW) of capacity. The cumulative global wind turbine waste stream is projected to reach millions of tonnes after 2030, containing thousands of tonnes of recoverable REEs.</w:t>
      </w:r>
    </w:p>
    <w:p>
      <w:pPr>
        <w:pStyle w:val="Compact"/>
        <w:numPr>
          <w:ilvl w:val="0"/>
          <w:numId w:val="1001"/>
        </w:numPr>
      </w:pPr>
      <w:r>
        <w:rPr>
          <w:b/>
          <w:bCs/>
        </w:rPr>
        <w:t xml:space="preserve">Hard Disk Drives (HDDs) &amp; Consumer Electronics:</w:t>
      </w:r>
      <w:r>
        <w:t xml:space="preserve"> </w:t>
      </w:r>
      <w:r>
        <w:t xml:space="preserve">HDDs represent a large current waste flow, with each drive containing 10-20 grams of magnet material. Globally, this generates an estimated 37,000 to 54,000 tonnes of magnet waste annually. Consumer electronics as a whole consumed over 35,000 tonnes of NdFeB magnets in 2020.</w:t>
      </w:r>
    </w:p>
    <w:bookmarkEnd w:id="22"/>
    <w:bookmarkStart w:id="23" w:name="manufacturing-waste-streams"/>
    <w:p>
      <w:pPr>
        <w:pStyle w:val="Heading3"/>
      </w:pPr>
      <w:r>
        <w:t xml:space="preserve">Manufacturing Waste Streams</w:t>
      </w:r>
    </w:p>
    <w:p>
      <w:pPr>
        <w:pStyle w:val="FirstParagraph"/>
      </w:pPr>
      <w:r>
        <w:t xml:space="preserve">A significant and immediately available source of recyclable material is generated during the magnet manufacturing process itself.</w:t>
      </w:r>
    </w:p>
    <w:p>
      <w:pPr>
        <w:pStyle w:val="Compact"/>
        <w:numPr>
          <w:ilvl w:val="0"/>
          <w:numId w:val="1002"/>
        </w:numPr>
      </w:pPr>
      <w:r>
        <w:rPr>
          <w:b/>
          <w:bCs/>
        </w:rPr>
        <w:t xml:space="preserve">Scrap &amp; Swarf:</w:t>
      </w:r>
      <w:r>
        <w:t xml:space="preserve"> </w:t>
      </w:r>
      <w:r>
        <w:t xml:space="preserve">An estimated 10-30% of the initial magnet alloy becomes waste during manufacturing steps like sintering, grinding, and machining. Given a global production of 130,000-150,000 tonnes of NdFeB magnets annually, this translates to 13,000 to 45,000 tonnes of high-grade, recoverable manufacturing scrap per year.</w:t>
      </w:r>
    </w:p>
    <w:p>
      <w:pPr>
        <w:pStyle w:val="Compact"/>
        <w:numPr>
          <w:ilvl w:val="0"/>
          <w:numId w:val="1002"/>
        </w:numPr>
      </w:pPr>
      <w:r>
        <w:rPr>
          <w:b/>
          <w:bCs/>
        </w:rPr>
        <w:t xml:space="preserve">Grinding Coolants and Effluents:</w:t>
      </w:r>
      <w:r>
        <w:t xml:space="preserve"> </w:t>
      </w:r>
      <w:r>
        <w:t xml:space="preserve">While precise volumes are not widely published, grinding and cutting operations generate liquid waste streams (coolants, slurries) that contain fine particles of magnet material. These streams are often disposed of, representing a loss of valuable REEs.</w:t>
      </w:r>
    </w:p>
    <w:bookmarkEnd w:id="23"/>
    <w:bookmarkStart w:id="24" w:name="ree-content-in-waste"/>
    <w:p>
      <w:pPr>
        <w:pStyle w:val="Heading3"/>
      </w:pPr>
      <w:r>
        <w:t xml:space="preserve">REE Content in Waste</w:t>
      </w:r>
    </w:p>
    <w:p>
      <w:pPr>
        <w:pStyle w:val="FirstParagraph"/>
      </w:pPr>
      <w:r>
        <w:t xml:space="preserve">The concentration of valuable REEs varies by waste stream but is generally high, making these streams attractive for recycling.</w:t>
      </w:r>
    </w:p>
    <w:p>
      <w:pPr>
        <w:pStyle w:val="Compact"/>
        <w:numPr>
          <w:ilvl w:val="0"/>
          <w:numId w:val="1003"/>
        </w:numPr>
      </w:pPr>
      <w:r>
        <w:rPr>
          <w:b/>
          <w:bCs/>
        </w:rPr>
        <w:t xml:space="preserve">NdFeB Magnet Scrap:</w:t>
      </w:r>
      <w:r>
        <w:t xml:space="preserve"> </w:t>
      </w:r>
      <w:r>
        <w:t xml:space="preserve">This is the most concentrated source, typically containing 25-35% REEs by weight. A representative composition is 25-27% Nd, 5-7% Pr, and 1-10% Dy, depending on the magnet's grade and application.</w:t>
      </w:r>
    </w:p>
    <w:p>
      <w:pPr>
        <w:pStyle w:val="Compact"/>
        <w:numPr>
          <w:ilvl w:val="0"/>
          <w:numId w:val="1003"/>
        </w:numPr>
      </w:pPr>
      <w:r>
        <w:rPr>
          <w:b/>
          <w:bCs/>
        </w:rPr>
        <w:t xml:space="preserve">Shredder Residue:</w:t>
      </w:r>
      <w:r>
        <w:t xml:space="preserve"> </w:t>
      </w:r>
      <w:r>
        <w:t xml:space="preserve">After shredding electronic waste or vehicles, REEs are diluted. Ferrous scrap from shredders may contain 130-290 ppm of Nd. However, physical separation processes can upgrade this concentration significantly, with some studies showing an increase from 5-7% to 17-20% REE content in the magnetic fraction of shredder fines.</w:t>
      </w:r>
    </w:p>
    <w:bookmarkEnd w:id="24"/>
    <w:bookmarkEnd w:id="25"/>
    <w:bookmarkStart w:id="29" w:name="Xd8471747df0af1437b9e2b6c59714ecadd57e35"/>
    <w:p>
      <w:pPr>
        <w:pStyle w:val="Heading2"/>
      </w:pPr>
      <w:r>
        <w:t xml:space="preserve">2. REE Pricing &amp; Supply Chain Economics</w:t>
      </w:r>
    </w:p>
    <w:p>
      <w:pPr>
        <w:pStyle w:val="FirstParagraph"/>
      </w:pPr>
      <w:r>
        <w:t xml:space="preserve">The economic case for recycling permanent magnet waste is heavily influenced by volatile REE prices and the geopolitical realities of a highly concentrated supply chain. Price fluctuations can render recycling operations unprofitable overnight, while supply disruptions create powerful incentives for developing alternative, domestic sources.</w:t>
      </w:r>
    </w:p>
    <w:bookmarkStart w:id="26" w:name="ree-pricing"/>
    <w:p>
      <w:pPr>
        <w:pStyle w:val="Heading3"/>
      </w:pPr>
      <w:r>
        <w:t xml:space="preserve">REE Pricing</w:t>
      </w:r>
    </w:p>
    <w:p>
      <w:pPr>
        <w:pStyle w:val="FirstParagraph"/>
      </w:pPr>
      <w:r>
        <w:t xml:space="preserve">Prices for critical magnet materials have exhibited extreme volatility. For example, the price of dysprosium oxide surged from approximately $345/kg in early 2020 to over $769/kg in 2022, before falling again. Similarly, neodymium oxide has seen prices fluctuate from around $40/kg to over $160/kg in recent years.</w:t>
      </w:r>
    </w:p>
    <w:p>
      <w:pPr>
        <w:pStyle w:val="BodyText"/>
      </w:pPr>
      <w:r>
        <w:t xml:space="preserve">A snapshot of recent and historical prices illustrates this trend: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Price (USD/kg)</w:t>
            </w:r>
          </w:p>
        </w:tc>
        <w:tc>
          <w:tcPr/>
          <w:p>
            <w:pPr>
              <w:pStyle w:val="Compact"/>
            </w:pPr>
            <w:r>
              <w:t xml:space="preserve">Year</w:t>
            </w:r>
          </w:p>
        </w:tc>
      </w:tr>
      <w:tr>
        <w:tc>
          <w:tcPr/>
          <w:p>
            <w:pPr>
              <w:pStyle w:val="Compact"/>
            </w:pPr>
            <w:r>
              <w:t xml:space="preserve">Neodymium Oxide (Nd2O3)</w:t>
            </w:r>
          </w:p>
        </w:tc>
        <w:tc>
          <w:tcPr/>
          <w:p>
            <w:pPr>
              <w:pStyle w:val="Compact"/>
            </w:pPr>
            <w:r>
              <w:t xml:space="preserve">$161.70</w:t>
            </w:r>
          </w:p>
        </w:tc>
        <w:tc>
          <w:tcPr/>
          <w:p>
            <w:pPr>
              <w:pStyle w:val="Compact"/>
            </w:pPr>
            <w:r>
              <w:t xml:space="preserve">2026</w:t>
            </w:r>
          </w:p>
        </w:tc>
      </w:tr>
      <w:tr>
        <w:tc>
          <w:tcPr/>
          <w:p>
            <w:pPr>
              <w:pStyle w:val="Compact"/>
            </w:pPr>
            <w:r>
              <w:t xml:space="preserve">Neodymium Oxide (Nd2O3)</w:t>
            </w:r>
          </w:p>
        </w:tc>
        <w:tc>
          <w:tcPr/>
          <w:p>
            <w:pPr>
              <w:pStyle w:val="Compact"/>
            </w:pPr>
            <w:r>
              <w:t xml:space="preserve">$41-46</w:t>
            </w:r>
          </w:p>
        </w:tc>
        <w:tc>
          <w:tcPr/>
          <w:p>
            <w:pPr>
              <w:pStyle w:val="Compact"/>
            </w:pPr>
            <w:r>
              <w:t xml:space="preserve">2016</w:t>
            </w:r>
          </w:p>
        </w:tc>
      </w:tr>
      <w:tr>
        <w:tc>
          <w:tcPr/>
          <w:p>
            <w:pPr>
              <w:pStyle w:val="Compact"/>
            </w:pPr>
            <w:r>
              <w:t xml:space="preserve">Dysprosium Oxide (Dy2O3)</w:t>
            </w:r>
          </w:p>
        </w:tc>
        <w:tc>
          <w:tcPr/>
          <w:p>
            <w:pPr>
              <w:pStyle w:val="Compact"/>
            </w:pPr>
            <w:r>
              <w:t xml:space="preserve">$587.40</w:t>
            </w:r>
          </w:p>
        </w:tc>
        <w:tc>
          <w:tcPr/>
          <w:p>
            <w:pPr>
              <w:pStyle w:val="Compact"/>
            </w:pPr>
            <w:r>
              <w:t xml:space="preserve">2024</w:t>
            </w:r>
          </w:p>
        </w:tc>
      </w:tr>
      <w:tr>
        <w:tc>
          <w:tcPr/>
          <w:p>
            <w:pPr>
              <w:pStyle w:val="Compact"/>
            </w:pPr>
            <w:r>
              <w:t xml:space="preserve">Dysprosium Oxide (Dy2O3)</w:t>
            </w:r>
          </w:p>
        </w:tc>
        <w:tc>
          <w:tcPr/>
          <w:p>
            <w:pPr>
              <w:pStyle w:val="Compact"/>
            </w:pPr>
            <w:r>
              <w:t xml:space="preserve">$235-250</w:t>
            </w:r>
          </w:p>
        </w:tc>
        <w:tc>
          <w:tcPr/>
          <w:p>
            <w:pPr>
              <w:pStyle w:val="Compact"/>
            </w:pPr>
            <w:r>
              <w:t xml:space="preserve">2016</w:t>
            </w:r>
          </w:p>
        </w:tc>
      </w:tr>
      <w:tr>
        <w:tc>
          <w:tcPr/>
          <w:p>
            <w:pPr>
              <w:pStyle w:val="Compact"/>
            </w:pPr>
            <w:r>
              <w:t xml:space="preserve">Praseodymium Oxide (Pr6O11)</w:t>
            </w:r>
          </w:p>
        </w:tc>
        <w:tc>
          <w:tcPr/>
          <w:p>
            <w:pPr>
              <w:pStyle w:val="Compact"/>
            </w:pPr>
            <w:r>
              <w:t xml:space="preserve">$57-62</w:t>
            </w:r>
          </w:p>
        </w:tc>
        <w:tc>
          <w:tcPr/>
          <w:p>
            <w:pPr>
              <w:pStyle w:val="Compact"/>
            </w:pPr>
            <w:r>
              <w:t xml:space="preserve">2016</w:t>
            </w:r>
          </w:p>
        </w:tc>
      </w:tr>
      <w:tr>
        <w:tc>
          <w:tcPr/>
          <w:p>
            <w:pPr>
              <w:pStyle w:val="Compact"/>
            </w:pPr>
            <w:r>
              <w:t xml:space="preserve">Terbium Oxide (Tb4O7)</w:t>
            </w:r>
          </w:p>
        </w:tc>
        <w:tc>
          <w:tcPr/>
          <w:p>
            <w:pPr>
              <w:pStyle w:val="Compact"/>
            </w:pPr>
            <w:r>
              <w:t xml:space="preserve">$730-795</w:t>
            </w:r>
          </w:p>
        </w:tc>
        <w:tc>
          <w:tcPr/>
          <w:p>
            <w:pPr>
              <w:pStyle w:val="Compact"/>
            </w:pPr>
            <w:r>
              <w:t xml:space="preserve">2024</w:t>
            </w:r>
          </w:p>
        </w:tc>
      </w:tr>
      <w:tr>
        <w:tc>
          <w:tcPr/>
          <w:p>
            <w:pPr>
              <w:pStyle w:val="Compact"/>
            </w:pPr>
            <w:r>
              <w:t xml:space="preserve">Samarium Oxide (Sm2O3)</w:t>
            </w:r>
          </w:p>
        </w:tc>
        <w:tc>
          <w:tcPr/>
          <w:p>
            <w:pPr>
              <w:pStyle w:val="Compact"/>
            </w:pPr>
            <w:r>
              <w:t xml:space="preserve">$1.9-3.1</w:t>
            </w:r>
          </w:p>
        </w:tc>
        <w:tc>
          <w:tcPr/>
          <w:p>
            <w:pPr>
              <w:pStyle w:val="Compact"/>
            </w:pPr>
            <w:r>
              <w:t xml:space="preserve">2016</w:t>
            </w:r>
          </w:p>
        </w:tc>
      </w:tr>
    </w:tbl>
    <w:p>
      <w:pPr>
        <w:pStyle w:val="BodyText"/>
      </w:pPr>
      <w:r>
        <w:t xml:space="preserve">Price volatility is driven primarily by China's market dominance. China has historically used export quotas, taxes, and restrictions on processing technology to manage global supply, causing sharp price spikes as seen in 2011 and more recently in 2023-2025.</w:t>
      </w:r>
    </w:p>
    <w:bookmarkEnd w:id="26"/>
    <w:bookmarkStart w:id="27" w:name="supply-chain-security"/>
    <w:p>
      <w:pPr>
        <w:pStyle w:val="Heading3"/>
      </w:pPr>
      <w:r>
        <w:t xml:space="preserve">Supply Chain Security</w:t>
      </w:r>
    </w:p>
    <w:p>
      <w:pPr>
        <w:pStyle w:val="FirstParagraph"/>
      </w:pPr>
      <w:r>
        <w:t xml:space="preserve">The global REE supply chain is highly concentrated, posing significant risks to nations dependent on imports.</w:t>
      </w:r>
    </w:p>
    <w:p>
      <w:pPr>
        <w:pStyle w:val="Compact"/>
        <w:numPr>
          <w:ilvl w:val="0"/>
          <w:numId w:val="1004"/>
        </w:numPr>
      </w:pPr>
      <w:r>
        <w:rPr>
          <w:b/>
          <w:bCs/>
        </w:rPr>
        <w:t xml:space="preserve">Import Dependence:</w:t>
      </w:r>
      <w:r>
        <w:t xml:space="preserve"> </w:t>
      </w:r>
      <w:r>
        <w:t xml:space="preserve">China controls approximately 70% of global REE mining, over 90% of REE processing and separation, and more than 90% of NdFeB magnet manufacturing. Consequently, the U.S. imports over 80% of its rare earth materials, with 93.3% of NdFeB magnet imports coming from China in 2023. The EU is similarly dependent, importing over 95% of its required REEs from China.</w:t>
      </w:r>
    </w:p>
    <w:p>
      <w:pPr>
        <w:pStyle w:val="Compact"/>
        <w:numPr>
          <w:ilvl w:val="0"/>
          <w:numId w:val="1004"/>
        </w:numPr>
      </w:pPr>
      <w:r>
        <w:rPr>
          <w:b/>
          <w:bCs/>
        </w:rPr>
        <w:t xml:space="preserve">Critical Materials Designations:</w:t>
      </w:r>
      <w:r>
        <w:t xml:space="preserve"> </w:t>
      </w:r>
      <w:r>
        <w:t xml:space="preserve">In response, both the U.S. and EU have designated REEs as critical raw materials, essential for economic and national security. This designation unlocks policy support for domestic supply chain development.</w:t>
      </w:r>
    </w:p>
    <w:p>
      <w:pPr>
        <w:pStyle w:val="Compact"/>
        <w:numPr>
          <w:ilvl w:val="0"/>
          <w:numId w:val="1004"/>
        </w:numPr>
      </w:pPr>
      <w:r>
        <w:rPr>
          <w:b/>
          <w:bCs/>
        </w:rPr>
        <w:t xml:space="preserve">Strategic Initiatives:</w:t>
      </w:r>
      <w:r>
        <w:t xml:space="preserve"> </w:t>
      </w:r>
      <w:r>
        <w:t xml:space="preserve">Western governments are implementing policies to mitigate supply risk. The EU's Critical Raw Materials Act mandates that by 2030, at least 25% of the bloc's annual consumption of strategic raw materials must come from recycling. In the U.S., initiatives include Department of Defense (DoD) funding for domestic processing facilities, investments through the Defense Production Act, and the establishment of price floors for domestically produced materials to de-risk private investment. NATO has also recommended strategic stockpiling of these materials.</w:t>
      </w:r>
    </w:p>
    <w:bookmarkEnd w:id="27"/>
    <w:bookmarkStart w:id="28" w:name="break-even-economics"/>
    <w:p>
      <w:pPr>
        <w:pStyle w:val="Heading3"/>
      </w:pPr>
      <w:r>
        <w:t xml:space="preserve">Break-even Economics</w:t>
      </w:r>
    </w:p>
    <w:p>
      <w:pPr>
        <w:pStyle w:val="FirstParagraph"/>
      </w:pPr>
      <w:r>
        <w:t xml:space="preserve">The profitability of REE recovery is a function of processing costs versus the market value of the recovered oxides. While break-even concentrations in liquid waste streams (mg/L) are not widely published, techno-economic analyses provide insight into processing costs.</w:t>
      </w:r>
    </w:p>
    <w:p>
      <w:pPr>
        <w:pStyle w:val="Compact"/>
        <w:numPr>
          <w:ilvl w:val="0"/>
          <w:numId w:val="1005"/>
        </w:numPr>
      </w:pPr>
      <w:r>
        <w:rPr>
          <w:b/>
          <w:bCs/>
        </w:rPr>
        <w:t xml:space="preserve">Processing Costs:</w:t>
      </w:r>
      <w:r>
        <w:t xml:space="preserve"> </w:t>
      </w:r>
      <w:r>
        <w:t xml:space="preserve">Hydrometallurgical processing costs for recycled REEs typically range from $15-35 per kilogram. More advanced, efficient processes like liquid metal leaching or certain hydrometallurgical routes report costs in the range of $22-65/kg of REE recovered.</w:t>
      </w:r>
    </w:p>
    <w:p>
      <w:pPr>
        <w:pStyle w:val="Compact"/>
        <w:numPr>
          <w:ilvl w:val="0"/>
          <w:numId w:val="1005"/>
        </w:numPr>
      </w:pPr>
      <w:r>
        <w:rPr>
          <w:b/>
          <w:bCs/>
        </w:rPr>
        <w:t xml:space="preserve">Value Proposition:</w:t>
      </w:r>
      <w:r>
        <w:t xml:space="preserve"> </w:t>
      </w:r>
      <w:r>
        <w:t xml:space="preserve">With NdPr and DyFe alloy prices ranging from $100/kg to over $400/kg in recent years, there is a clear economic incentive if efficient, low-cost recovery technologies can be scaled. A price drop of just $5/kg for neodymium, however, can render some operations unprofitable, highlighting the market's sensitivity.</w:t>
      </w:r>
    </w:p>
    <w:bookmarkEnd w:id="28"/>
    <w:bookmarkEnd w:id="29"/>
    <w:bookmarkStart w:id="33" w:name="X494a8f7828fda091a3c3d315cd6598967d3613c"/>
    <w:p>
      <w:pPr>
        <w:pStyle w:val="Heading2"/>
      </w:pPr>
      <w:r>
        <w:t xml:space="preserve">3. Technology Benchmarking - CAPEX/OPEX Analysis</w:t>
      </w:r>
    </w:p>
    <w:p>
      <w:pPr>
        <w:pStyle w:val="FirstParagraph"/>
      </w:pPr>
      <w:r>
        <w:t xml:space="preserve">A variety of technologies are being developed and deployed to recover REEs from magnet waste, each with distinct economic and environmental profiles. Hydrometallurgy and pyrometallurgy are the most established, while newer electrochemical and biological methods offer potential advantages in sustainability and efficiency.</w:t>
      </w:r>
    </w:p>
    <w:p>
      <w:pPr>
        <w:pStyle w:val="BodyText"/>
      </w:pPr>
      <w:r>
        <w:t xml:space="preserve">The table below summarizes key performance indicators for major technology categories based on available data from pilot and commercial-scale operations.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Technology</w:t>
            </w:r>
          </w:p>
        </w:tc>
        <w:tc>
          <w:tcPr/>
          <w:p>
            <w:pPr>
              <w:pStyle w:val="Compact"/>
              <w:jc w:val="left"/>
            </w:pPr>
            <w:r>
              <w:t xml:space="preserve">CAPEX (Example)</w:t>
            </w:r>
          </w:p>
        </w:tc>
        <w:tc>
          <w:tcPr/>
          <w:p>
            <w:pPr>
              <w:pStyle w:val="Compact"/>
              <w:jc w:val="left"/>
            </w:pPr>
            <w:r>
              <w:t xml:space="preserve">OPEX (USD/kg REO)</w:t>
            </w:r>
          </w:p>
        </w:tc>
        <w:tc>
          <w:tcPr/>
          <w:p>
            <w:pPr>
              <w:pStyle w:val="Compact"/>
              <w:jc w:val="left"/>
            </w:pPr>
            <w:r>
              <w:t xml:space="preserve">Recovery Efficiency (%)</w:t>
            </w:r>
          </w:p>
        </w:tc>
        <w:tc>
          <w:tcPr/>
          <w:p>
            <w:pPr>
              <w:pStyle w:val="Compact"/>
              <w:jc w:val="left"/>
            </w:pPr>
            <w:r>
              <w:t xml:space="preserve">Purity Achieved (%)</w:t>
            </w:r>
          </w:p>
        </w:tc>
        <w:tc>
          <w:tcPr/>
          <w:p>
            <w:pPr>
              <w:pStyle w:val="Compact"/>
              <w:jc w:val="left"/>
            </w:pPr>
            <w:r>
              <w:t xml:space="preserve">Energy Use / Environmental Note</w:t>
            </w:r>
          </w:p>
        </w:tc>
      </w:tr>
      <w:tr>
        <w:tc>
          <w:tcPr/>
          <w:p>
            <w:pPr>
              <w:pStyle w:val="Compact"/>
              <w:jc w:val="left"/>
            </w:pPr>
            <w:r>
              <w:rPr>
                <w:b/>
                <w:bCs/>
              </w:rPr>
              <w:t xml:space="preserve">Hydrometallurgy</w:t>
            </w:r>
          </w:p>
        </w:tc>
        <w:tc>
          <w:tcPr/>
          <w:p>
            <w:pPr>
              <w:pStyle w:val="Compact"/>
              <w:jc w:val="left"/>
            </w:pPr>
            <w:r>
              <w:t xml:space="preserve">€9M (3,600 tpa plant)</w:t>
            </w:r>
          </w:p>
        </w:tc>
        <w:tc>
          <w:tcPr/>
          <w:p>
            <w:pPr>
              <w:pStyle w:val="Compact"/>
              <w:jc w:val="left"/>
            </w:pPr>
            <w:r>
              <w:t xml:space="preserve">$15 - $36</w:t>
            </w:r>
          </w:p>
        </w:tc>
        <w:tc>
          <w:tcPr/>
          <w:p>
            <w:pPr>
              <w:pStyle w:val="Compact"/>
              <w:jc w:val="left"/>
            </w:pPr>
            <w:r>
              <w:t xml:space="preserve">85-99%</w:t>
            </w:r>
          </w:p>
        </w:tc>
        <w:tc>
          <w:tcPr/>
          <w:p>
            <w:pPr>
              <w:pStyle w:val="Compact"/>
              <w:jc w:val="left"/>
            </w:pPr>
            <w:r>
              <w:t xml:space="preserve">&gt;99.5%</w:t>
            </w:r>
          </w:p>
        </w:tc>
        <w:tc>
          <w:tcPr/>
          <w:p>
            <w:pPr>
              <w:pStyle w:val="Compact"/>
              <w:jc w:val="left"/>
            </w:pPr>
            <w:r>
              <w:t xml:space="preserve">High acid/reagent use; wastewater generation.</w:t>
            </w:r>
          </w:p>
        </w:tc>
      </w:tr>
      <w:tr>
        <w:tc>
          <w:tcPr/>
          <w:p>
            <w:pPr>
              <w:pStyle w:val="Compact"/>
              <w:jc w:val="left"/>
            </w:pPr>
            <w:r>
              <w:rPr>
                <w:b/>
                <w:bCs/>
              </w:rPr>
              <w:t xml:space="preserve">Pyrometallurgy</w:t>
            </w:r>
          </w:p>
        </w:tc>
        <w:tc>
          <w:tcPr/>
          <w:p>
            <w:pPr>
              <w:pStyle w:val="Compact"/>
              <w:jc w:val="left"/>
            </w:pPr>
            <w:r>
              <w:t xml:space="preserve">-</w:t>
            </w:r>
          </w:p>
        </w:tc>
        <w:tc>
          <w:tcPr/>
          <w:p>
            <w:pPr>
              <w:pStyle w:val="Compact"/>
              <w:jc w:val="left"/>
            </w:pPr>
            <w:r>
              <w:t xml:space="preserve">$50 - $100 (energy)</w:t>
            </w:r>
          </w:p>
        </w:tc>
        <w:tc>
          <w:tcPr/>
          <w:p>
            <w:pPr>
              <w:pStyle w:val="Compact"/>
              <w:jc w:val="left"/>
            </w:pPr>
            <w:r>
              <w:t xml:space="preserve">78-98%</w:t>
            </w:r>
          </w:p>
        </w:tc>
        <w:tc>
          <w:tcPr/>
          <w:p>
            <w:pPr>
              <w:pStyle w:val="Compact"/>
              <w:jc w:val="left"/>
            </w:pPr>
            <w:r>
              <w:t xml:space="preserve">&gt;99.7% (after electrolysis)</w:t>
            </w:r>
          </w:p>
        </w:tc>
        <w:tc>
          <w:tcPr/>
          <w:p>
            <w:pPr>
              <w:pStyle w:val="Compact"/>
              <w:jc w:val="left"/>
            </w:pPr>
            <w:r>
              <w:t xml:space="preserve">High energy consumption (50-150 kWh/kg); GHG emissions.</w:t>
            </w:r>
          </w:p>
        </w:tc>
      </w:tr>
      <w:tr>
        <w:tc>
          <w:tcPr/>
          <w:p>
            <w:pPr>
              <w:pStyle w:val="Compact"/>
              <w:jc w:val="left"/>
            </w:pPr>
            <w:r>
              <w:rPr>
                <w:b/>
                <w:bCs/>
              </w:rPr>
              <w:t xml:space="preserve">Hydrogen Processing (HPMS)</w:t>
            </w:r>
          </w:p>
        </w:tc>
        <w:tc>
          <w:tcPr/>
          <w:p>
            <w:pPr>
              <w:pStyle w:val="Compact"/>
              <w:jc w:val="left"/>
            </w:pPr>
            <w:r>
              <w:t xml:space="preserve">$125M (1,000 tpa plant)</w:t>
            </w:r>
          </w:p>
        </w:tc>
        <w:tc>
          <w:tcPr/>
          <w:p>
            <w:pPr>
              <w:pStyle w:val="Compact"/>
              <w:jc w:val="left"/>
            </w:pPr>
            <w:r>
              <w:t xml:space="preserve">-</w:t>
            </w:r>
          </w:p>
        </w:tc>
        <w:tc>
          <w:tcPr/>
          <w:p>
            <w:pPr>
              <w:pStyle w:val="Compact"/>
              <w:jc w:val="left"/>
            </w:pPr>
            <w:r>
              <w:t xml:space="preserve">90-98%</w:t>
            </w:r>
          </w:p>
        </w:tc>
        <w:tc>
          <w:tcPr/>
          <w:p>
            <w:pPr>
              <w:pStyle w:val="Compact"/>
              <w:jc w:val="left"/>
            </w:pPr>
            <w:r>
              <w:t xml:space="preserve">Alloy Powder (reusable)</w:t>
            </w:r>
          </w:p>
        </w:tc>
        <w:tc>
          <w:tcPr/>
          <w:p>
            <w:pPr>
              <w:pStyle w:val="Compact"/>
              <w:jc w:val="left"/>
            </w:pPr>
            <w:r>
              <w:t xml:space="preserve">45% less energy; 95% CO2 reduction vs. primary.</w:t>
            </w:r>
          </w:p>
        </w:tc>
      </w:tr>
      <w:tr>
        <w:tc>
          <w:tcPr/>
          <w:p>
            <w:pPr>
              <w:pStyle w:val="Compact"/>
              <w:jc w:val="left"/>
            </w:pPr>
            <w:r>
              <w:rPr>
                <w:b/>
                <w:bCs/>
              </w:rPr>
              <w:t xml:space="preserve">Membrane Separation (MSX)</w:t>
            </w:r>
          </w:p>
        </w:tc>
        <w:tc>
          <w:tcPr/>
          <w:p>
            <w:pPr>
              <w:pStyle w:val="Compact"/>
              <w:jc w:val="left"/>
            </w:pPr>
            <w:r>
              <w:t xml:space="preserve">-</w:t>
            </w:r>
          </w:p>
        </w:tc>
        <w:tc>
          <w:tcPr/>
          <w:p>
            <w:pPr>
              <w:pStyle w:val="Compact"/>
              <w:jc w:val="left"/>
            </w:pPr>
            <w:r>
              <w:t xml:space="preserve">Low (claimed)</w:t>
            </w:r>
          </w:p>
        </w:tc>
        <w:tc>
          <w:tcPr/>
          <w:p>
            <w:pPr>
              <w:pStyle w:val="Compact"/>
              <w:jc w:val="left"/>
            </w:pPr>
            <w:r>
              <w:t xml:space="preserve">&gt;95%</w:t>
            </w:r>
          </w:p>
        </w:tc>
        <w:tc>
          <w:tcPr/>
          <w:p>
            <w:pPr>
              <w:pStyle w:val="Compact"/>
              <w:jc w:val="left"/>
            </w:pPr>
            <w:r>
              <w:t xml:space="preserve">&gt;99.5%</w:t>
            </w:r>
          </w:p>
        </w:tc>
        <w:tc>
          <w:tcPr/>
          <w:p>
            <w:pPr>
              <w:pStyle w:val="Compact"/>
              <w:jc w:val="left"/>
            </w:pPr>
            <w:r>
              <w:t xml:space="preserve">Low chemical &amp; energy use; modular.</w:t>
            </w:r>
          </w:p>
        </w:tc>
      </w:tr>
      <w:tr>
        <w:tc>
          <w:tcPr/>
          <w:p>
            <w:pPr>
              <w:pStyle w:val="Compact"/>
              <w:jc w:val="left"/>
            </w:pPr>
            <w:r>
              <w:rPr>
                <w:b/>
                <w:bCs/>
              </w:rPr>
              <w:t xml:space="preserve">Electrochemical</w:t>
            </w:r>
          </w:p>
        </w:tc>
        <w:tc>
          <w:tcPr/>
          <w:p>
            <w:pPr>
              <w:pStyle w:val="Compact"/>
              <w:jc w:val="left"/>
            </w:pPr>
            <w:r>
              <w:t xml:space="preserve">-</w:t>
            </w:r>
          </w:p>
        </w:tc>
        <w:tc>
          <w:tcPr/>
          <w:p>
            <w:pPr>
              <w:pStyle w:val="Compact"/>
              <w:jc w:val="left"/>
            </w:pPr>
            <w:r>
              <w:t xml:space="preserve">-</w:t>
            </w:r>
          </w:p>
        </w:tc>
        <w:tc>
          <w:tcPr/>
          <w:p>
            <w:pPr>
              <w:pStyle w:val="Compact"/>
              <w:jc w:val="left"/>
            </w:pPr>
            <w:r>
              <w:t xml:space="preserve">&gt;98% (pilot)</w:t>
            </w:r>
          </w:p>
        </w:tc>
        <w:tc>
          <w:tcPr/>
          <w:p>
            <w:pPr>
              <w:pStyle w:val="Compact"/>
              <w:jc w:val="left"/>
            </w:pPr>
            <w:r>
              <w:t xml:space="preserve">&gt;99.8% (pilot)</w:t>
            </w:r>
          </w:p>
        </w:tc>
        <w:tc>
          <w:tcPr/>
          <w:p>
            <w:pPr>
              <w:pStyle w:val="Compact"/>
              <w:jc w:val="left"/>
            </w:pPr>
            <w:r>
              <w:t xml:space="preserve">Low reagent use; reduced energy consumption.</w:t>
            </w:r>
          </w:p>
        </w:tc>
      </w:tr>
      <w:tr>
        <w:tc>
          <w:tcPr/>
          <w:p>
            <w:pPr>
              <w:pStyle w:val="Compact"/>
              <w:jc w:val="left"/>
            </w:pPr>
            <w:r>
              <w:rPr>
                <w:b/>
                <w:bCs/>
              </w:rPr>
              <w:t xml:space="preserve">Biological Methods</w:t>
            </w:r>
          </w:p>
        </w:tc>
        <w:tc>
          <w:tcPr/>
          <w:p>
            <w:pPr>
              <w:pStyle w:val="Compact"/>
              <w:jc w:val="left"/>
            </w:pPr>
            <w:r>
              <w:t xml:space="preserve">-</w:t>
            </w:r>
          </w:p>
        </w:tc>
        <w:tc>
          <w:tcPr/>
          <w:p>
            <w:pPr>
              <w:pStyle w:val="Compact"/>
              <w:jc w:val="left"/>
            </w:pPr>
            <w:r>
              <w:t xml:space="preserve">Lower (claimed)</w:t>
            </w:r>
          </w:p>
        </w:tc>
        <w:tc>
          <w:tcPr/>
          <w:p>
            <w:pPr>
              <w:pStyle w:val="Compact"/>
              <w:jc w:val="left"/>
            </w:pPr>
            <w:r>
              <w:t xml:space="preserve">60-99% (lab)</w:t>
            </w:r>
          </w:p>
        </w:tc>
        <w:tc>
          <w:tcPr/>
          <w:p>
            <w:pPr>
              <w:pStyle w:val="Compact"/>
              <w:jc w:val="left"/>
            </w:pPr>
            <w:r>
              <w:t xml:space="preserve">-</w:t>
            </w:r>
          </w:p>
        </w:tc>
        <w:tc>
          <w:tcPr/>
          <w:p>
            <w:pPr>
              <w:pStyle w:val="Compact"/>
              <w:jc w:val="left"/>
            </w:pPr>
            <w:r>
              <w:t xml:space="preserve">Lower energy and chemical intensity; slow kinetics.</w:t>
            </w:r>
          </w:p>
        </w:tc>
      </w:tr>
    </w:tbl>
    <w:bookmarkStart w:id="30" w:name="hydrometallurgy"/>
    <w:p>
      <w:pPr>
        <w:pStyle w:val="Heading3"/>
      </w:pPr>
      <w:r>
        <w:t xml:space="preserve">Hydrometallurgy</w:t>
      </w:r>
    </w:p>
    <w:p>
      <w:pPr>
        <w:pStyle w:val="FirstParagraph"/>
      </w:pPr>
      <w:r>
        <w:t xml:space="preserve">This is the most mature technology (TRL 8-9), involving acid leaching, solvent extraction, and precipitation. It achieves high recovery (&gt;95%) and purity (&gt;99.5%). However, it consumes large quantities of hazardous chemicals (e.g., 2.2 tonnes of H₂SO₄ per tonne of NdFeB waste) and generates significant wastewater. Commercial facilities are operated by companies like Solvay and Ionic Technologies, with a plant processing 3,600 tonnes/year estimated to have a CAPEX of €9 million and OPEX of €110 million.</w:t>
      </w:r>
    </w:p>
    <w:bookmarkEnd w:id="30"/>
    <w:bookmarkStart w:id="31" w:name="pyrometallurgy"/>
    <w:p>
      <w:pPr>
        <w:pStyle w:val="Heading3"/>
      </w:pPr>
      <w:r>
        <w:t xml:space="preserve">Pyrometallurgy</w:t>
      </w:r>
    </w:p>
    <w:p>
      <w:pPr>
        <w:pStyle w:val="FirstParagraph"/>
      </w:pPr>
      <w:r>
        <w:t xml:space="preserve">These high-temperature processes (roasting, smelting, liquid metal extraction) are effective for a variety of feedstocks and can achieve high recovery rates (90-98%). However, they are very energy-intensive, with some estimates putting energy costs at $50-100 per kg of REE recovered. A key pyrometallurgical variant is</w:t>
      </w:r>
      <w:r>
        <w:t xml:space="preserve"> </w:t>
      </w:r>
      <w:r>
        <w:rPr>
          <w:b/>
          <w:bCs/>
        </w:rPr>
        <w:t xml:space="preserve">Hydrogen Processing of Magnetic Scrap (HPMS)</w:t>
      </w:r>
      <w:r>
        <w:t xml:space="preserve">, which uses hydrogen to break down magnets into a powder that can be directly re-sintered. HPMS is far more energy-efficient, with a 95% lower CO₂ footprint than virgin magnet production. HyProMag is commercializing this technology with plants planned in the UK, Germany, and the USA, including a proposed $125M facility with a 1,000 tpa capacity.</w:t>
      </w:r>
    </w:p>
    <w:bookmarkEnd w:id="31"/>
    <w:bookmarkStart w:id="32" w:name="advanced-separation-technologies"/>
    <w:p>
      <w:pPr>
        <w:pStyle w:val="Heading3"/>
      </w:pPr>
      <w:r>
        <w:t xml:space="preserve">Advanced Separation Technologies</w:t>
      </w:r>
    </w:p>
    <w:p>
      <w:pPr>
        <w:pStyle w:val="FirstParagraph"/>
      </w:pPr>
      <w:r>
        <w:t xml:space="preserve">Several emerging technologies aim to improve efficiency and reduce the environmental footprint of recovery.</w:t>
      </w:r>
    </w:p>
    <w:p>
      <w:pPr>
        <w:pStyle w:val="Compact"/>
        <w:numPr>
          <w:ilvl w:val="0"/>
          <w:numId w:val="1006"/>
        </w:numPr>
      </w:pPr>
      <w:r>
        <w:rPr>
          <w:b/>
          <w:bCs/>
        </w:rPr>
        <w:t xml:space="preserve">Membrane Separation:</w:t>
      </w:r>
      <w:r>
        <w:t xml:space="preserve"> </w:t>
      </w:r>
      <w:r>
        <w:t xml:space="preserve">Processes like Membrane Solvent Extraction (MSX) reduce chemical and energy use compared to conventional solvent extraction. Pilot-scale operations at Oak Ridge National Laboratory have demonstrated &gt;95% recovery and &gt;99.5% purity with this method.</w:t>
      </w:r>
    </w:p>
    <w:p>
      <w:pPr>
        <w:pStyle w:val="Compact"/>
        <w:numPr>
          <w:ilvl w:val="0"/>
          <w:numId w:val="1006"/>
        </w:numPr>
      </w:pPr>
      <w:r>
        <w:rPr>
          <w:b/>
          <w:bCs/>
        </w:rPr>
        <w:t xml:space="preserve">Electrochemical Methods:</w:t>
      </w:r>
      <w:r>
        <w:t xml:space="preserve"> </w:t>
      </w:r>
      <w:r>
        <w:t xml:space="preserve">Techniques like electrowinning and electrodeposition can recover metals with high purity from leachate solutions, often with reduced reagent consumption. REEcycle, a US-based company, claims 99.8% recovery efficiency with its electrochemical process at the pilot scale.</w:t>
      </w:r>
    </w:p>
    <w:p>
      <w:pPr>
        <w:pStyle w:val="Compact"/>
        <w:numPr>
          <w:ilvl w:val="0"/>
          <w:numId w:val="1006"/>
        </w:numPr>
      </w:pPr>
      <w:r>
        <w:rPr>
          <w:b/>
          <w:bCs/>
        </w:rPr>
        <w:t xml:space="preserve">Biological Methods:</w:t>
      </w:r>
      <w:r>
        <w:t xml:space="preserve"> </w:t>
      </w:r>
      <w:r>
        <w:t xml:space="preserve">Biosorption and bioleaching use microorganisms or biomass to selectively capture REEs from dilute solutions. While still at early research stages (TRL 3-4), these methods promise very low energy and chemical costs. Lab studies show high recovery potential (up to 99% for Nd), and the technology is commercially used for other metals like copper. Geomega Resources is one company exploring this route commercially.</w:t>
      </w:r>
    </w:p>
    <w:bookmarkEnd w:id="32"/>
    <w:bookmarkEnd w:id="33"/>
    <w:bookmarkStart w:id="38" w:name="Xf3c1317ecdb1e2d7d303c3a2a3cb408fe604e39"/>
    <w:p>
      <w:pPr>
        <w:pStyle w:val="Heading2"/>
      </w:pPr>
      <w:r>
        <w:t xml:space="preserve">4. Regulatory &amp; Geopolitical Drivers</w:t>
      </w:r>
    </w:p>
    <w:p>
      <w:pPr>
        <w:pStyle w:val="FirstParagraph"/>
      </w:pPr>
      <w:r>
        <w:t xml:space="preserve">The market for REE recovery is heavily influenced by a combination of environmental regulations, circular economy mandates, and geopolitical strategies aimed at securing critical material supply chains. These drivers create both compliance requirements and economic incentives for developing domestic recycling infrastructure.</w:t>
      </w:r>
    </w:p>
    <w:bookmarkStart w:id="34" w:name="X6e989b91a58fe967b507f92f50510f38fd9082e"/>
    <w:p>
      <w:pPr>
        <w:pStyle w:val="Heading3"/>
      </w:pPr>
      <w:r>
        <w:t xml:space="preserve">Effluent Discharge and Environmental Regulations</w:t>
      </w:r>
    </w:p>
    <w:p>
      <w:pPr>
        <w:pStyle w:val="FirstParagraph"/>
      </w:pPr>
      <w:r>
        <w:t xml:space="preserve">While specific effluent discharge limits for individual REEs like Nd and Dy are not commonly defined under frameworks like the U.S. EPA or EU directives, general regulations on heavy metals, acidity (pH), and total dissolved solids in industrial wastewater apply. The large volumes of acidic and metal-laden wastewater from conventional hydrometallurgy make environmental compliance a significant operational cost, estimated at $2-4 per kilogram of REE recovered. China's 2024 Rare Earth Management Regulations have also mandated stricter environmental impact assessments for mining and processing operations.</w:t>
      </w:r>
    </w:p>
    <w:bookmarkEnd w:id="34"/>
    <w:bookmarkStart w:id="35" w:name="circular-economy-and-e-waste-mandates"/>
    <w:p>
      <w:pPr>
        <w:pStyle w:val="Heading3"/>
      </w:pPr>
      <w:r>
        <w:t xml:space="preserve">Circular Economy and E-Waste Mandates</w:t>
      </w:r>
    </w:p>
    <w:p>
      <w:pPr>
        <w:pStyle w:val="FirstParagraph"/>
      </w:pPr>
      <w:r>
        <w:t xml:space="preserve">The circular economy concept is a primary driver for REE recycling, supported by specific legislation in major economic blocs.</w:t>
      </w:r>
    </w:p>
    <w:p>
      <w:pPr>
        <w:pStyle w:val="Compact"/>
        <w:numPr>
          <w:ilvl w:val="0"/>
          <w:numId w:val="1007"/>
        </w:numPr>
      </w:pPr>
      <w:r>
        <w:rPr>
          <w:b/>
          <w:bCs/>
        </w:rPr>
        <w:t xml:space="preserve">EU Directives:</w:t>
      </w:r>
      <w:r>
        <w:t xml:space="preserve"> </w:t>
      </w:r>
      <w:r>
        <w:t xml:space="preserve">The EU's Waste Electrical and Electronic Equipment (WEEE) Directive mandates the collection and proper treatment of e-waste, creating a crucial feedstock stream for magnet recovery. The EU Battery Regulation further establishes stringent targets for the recovery and recycled content of materials like cobalt and nickel, setting a precedent for other critical materials.</w:t>
      </w:r>
    </w:p>
    <w:p>
      <w:pPr>
        <w:pStyle w:val="Compact"/>
        <w:numPr>
          <w:ilvl w:val="0"/>
          <w:numId w:val="1007"/>
        </w:numPr>
      </w:pPr>
      <w:r>
        <w:rPr>
          <w:b/>
          <w:bCs/>
        </w:rPr>
        <w:t xml:space="preserve">Extended Producer Responsibility (EPR):</w:t>
      </w:r>
      <w:r>
        <w:t xml:space="preserve"> </w:t>
      </w:r>
      <w:r>
        <w:t xml:space="preserve">EPR schemes, which make manufacturers financially responsible for the end-of-life management of their products, are being implemented or strengthened globally. These policies incentivize designing products for easier disassembly and recycling, which will directly impact the feasibility of recovering magnets from complex devices like EVs and consumer electronics.</w:t>
      </w:r>
    </w:p>
    <w:bookmarkEnd w:id="35"/>
    <w:bookmarkStart w:id="36" w:name="supply-chain-security-laws"/>
    <w:p>
      <w:pPr>
        <w:pStyle w:val="Heading3"/>
      </w:pPr>
      <w:r>
        <w:t xml:space="preserve">Supply Chain Security Laws</w:t>
      </w:r>
    </w:p>
    <w:p>
      <w:pPr>
        <w:pStyle w:val="FirstParagraph"/>
      </w:pPr>
      <w:r>
        <w:t xml:space="preserve">Geopolitical competition and the risk of supply disruptions have prompted landmark legislation aimed at building resilient domestic supply chains.</w:t>
      </w:r>
    </w:p>
    <w:p>
      <w:pPr>
        <w:pStyle w:val="Compact"/>
        <w:numPr>
          <w:ilvl w:val="0"/>
          <w:numId w:val="1008"/>
        </w:numPr>
      </w:pPr>
      <w:r>
        <w:rPr>
          <w:b/>
          <w:bCs/>
        </w:rPr>
        <w:t xml:space="preserve">EU Critical Raw Materials Act (CRMA):</w:t>
      </w:r>
      <w:r>
        <w:t xml:space="preserve"> </w:t>
      </w:r>
      <w:r>
        <w:t xml:space="preserve">Adopted in May 2024, the CRMA sets ambitious targets for 2030: at least 25% of the EU's annual consumption of strategic raw materials must come from recycling, and no more than 65% of the supply for any strategic raw material should come from a single third country. This directly mandates the development of a European magnet recycling industry.</w:t>
      </w:r>
    </w:p>
    <w:p>
      <w:pPr>
        <w:pStyle w:val="Compact"/>
        <w:numPr>
          <w:ilvl w:val="0"/>
          <w:numId w:val="1008"/>
        </w:numPr>
      </w:pPr>
      <w:r>
        <w:rPr>
          <w:b/>
          <w:bCs/>
        </w:rPr>
        <w:t xml:space="preserve">U.S. Legislation:</w:t>
      </w:r>
      <w:r>
        <w:t xml:space="preserve"> </w:t>
      </w:r>
      <w:r>
        <w:t xml:space="preserve">The U.S. has invoked the Defense Production Act to provide funding and support for domestic REE mining and recycling projects. Initiatives like the US$355M in DOE grants for critical metals production and funding allocations from the CHIPS Act are also being explored to bolster the domestic magnet supply chain, from recycled material to finished product.</w:t>
      </w:r>
    </w:p>
    <w:bookmarkEnd w:id="36"/>
    <w:bookmarkStart w:id="37" w:name="carbon-and-esg-incentives"/>
    <w:p>
      <w:pPr>
        <w:pStyle w:val="Heading3"/>
      </w:pPr>
      <w:r>
        <w:t xml:space="preserve">Carbon and ESG Incentives</w:t>
      </w:r>
    </w:p>
    <w:p>
      <w:pPr>
        <w:pStyle w:val="FirstParagraph"/>
      </w:pPr>
      <w:r>
        <w:t xml:space="preserve">Recycling offers significant environmental benefits over primary mining, creating opportunities for companies to leverage ESG credentials and potentially benefit from carbon pricing mechanisms.</w:t>
      </w:r>
    </w:p>
    <w:p>
      <w:pPr>
        <w:pStyle w:val="Compact"/>
        <w:numPr>
          <w:ilvl w:val="0"/>
          <w:numId w:val="1009"/>
        </w:numPr>
      </w:pPr>
      <w:r>
        <w:rPr>
          <w:b/>
          <w:bCs/>
        </w:rPr>
        <w:t xml:space="preserve">Reduced Carbon Footprint:</w:t>
      </w:r>
      <w:r>
        <w:t xml:space="preserve"> </w:t>
      </w:r>
      <w:r>
        <w:t xml:space="preserve">Recycled REE production is estimated to emit 60-95% less CO₂ than primary mining and processing. Specific processes like HPMS claim CO₂ reductions of 11 tonnes for every tonne of magnet recycled.</w:t>
      </w:r>
    </w:p>
    <w:p>
      <w:pPr>
        <w:pStyle w:val="Compact"/>
        <w:numPr>
          <w:ilvl w:val="0"/>
          <w:numId w:val="1009"/>
        </w:numPr>
      </w:pPr>
      <w:r>
        <w:rPr>
          <w:b/>
          <w:bCs/>
        </w:rPr>
        <w:t xml:space="preserve">Market &amp; ESG Drivers:</w:t>
      </w:r>
      <w:r>
        <w:t xml:space="preserve"> </w:t>
      </w:r>
      <w:r>
        <w:t xml:space="preserve">There is growing demand from OEMs for materials with verified recycled content, with some willing to pay a 10-20% premium for recycled magnets. This market pull, combined with corporate sustainability goals and investor ESG expectations, acts as a powerful non-regulatory incentive for expanding recycling capacity.</w:t>
      </w:r>
    </w:p>
    <w:bookmarkEnd w:id="37"/>
    <w:bookmarkEnd w:id="38"/>
    <w:bookmarkStart w:id="42" w:name="X7d7b0bcd155671fa11c0d6b83ae8826b25326af"/>
    <w:p>
      <w:pPr>
        <w:pStyle w:val="Heading2"/>
      </w:pPr>
      <w:r>
        <w:t xml:space="preserve">5. Competitive Benchmark - Adjacent Markets</w:t>
      </w:r>
    </w:p>
    <w:p>
      <w:pPr>
        <w:pStyle w:val="FirstParagraph"/>
      </w:pPr>
      <w:r>
        <w:t xml:space="preserve">The economics and technological maturity of REE recovery from magnet waste can be benchmarked against more established adjacent recycling and waste treatment markets. These comparisons provide insights into potential development trajectories, cost structures, and market scale.</w:t>
      </w:r>
    </w:p>
    <w:bookmarkStart w:id="39" w:name="lithium-ion-battery-recycling"/>
    <w:p>
      <w:pPr>
        <w:pStyle w:val="Heading3"/>
      </w:pPr>
      <w:r>
        <w:t xml:space="preserve">Lithium-Ion Battery Recycling</w:t>
      </w:r>
    </w:p>
    <w:p>
      <w:pPr>
        <w:pStyle w:val="FirstParagraph"/>
      </w:pPr>
      <w:r>
        <w:t xml:space="preserve">The Li-ion battery recycling market is more mature than magnet recycling, driven by the rapid growth of EVs and well-defined policy frameworks.</w:t>
      </w:r>
    </w:p>
    <w:p>
      <w:pPr>
        <w:pStyle w:val="Compact"/>
        <w:numPr>
          <w:ilvl w:val="0"/>
          <w:numId w:val="1010"/>
        </w:numPr>
      </w:pPr>
      <w:r>
        <w:rPr>
          <w:b/>
          <w:bCs/>
        </w:rPr>
        <w:t xml:space="preserve">Market Size &amp; Economics:</w:t>
      </w:r>
      <w:r>
        <w:t xml:space="preserve"> </w:t>
      </w:r>
      <w:r>
        <w:t xml:space="preserve">The global black mass recycling market (a key intermediate product from battery recycling) was valued at over USD 14 billion in 2023 and is projected to grow at a CAGR of over 16%. The economics are driven by the value of recovered cobalt, nickel, and lithium, with market prices for these metals being key determinants of profitability. Techno-economic analyses report total processing costs for hydrometallurgy in the range of USD 2-6 per kg of battery pack.</w:t>
      </w:r>
    </w:p>
    <w:p>
      <w:pPr>
        <w:pStyle w:val="Compact"/>
        <w:numPr>
          <w:ilvl w:val="0"/>
          <w:numId w:val="1010"/>
        </w:numPr>
      </w:pPr>
      <w:r>
        <w:rPr>
          <w:b/>
          <w:bCs/>
        </w:rPr>
        <w:t xml:space="preserve">Technology Maturity:</w:t>
      </w:r>
      <w:r>
        <w:t xml:space="preserve"> </w:t>
      </w:r>
      <w:r>
        <w:t xml:space="preserve">Hydrometallurgical and pyrometallurgical processes are commercially deployed at scale, with facilities processing 10,000 to 120,000 tonnes per year. Technology is at a high TRL (8-9), with established players like Umicore, Redwood Materials, and Li-Cycle operating large-scale plants. This contrasts with magnet recycling, where many advanced technologies are still at the pilot or early commercial stage.</w:t>
      </w:r>
    </w:p>
    <w:p>
      <w:pPr>
        <w:pStyle w:val="Compact"/>
        <w:numPr>
          <w:ilvl w:val="0"/>
          <w:numId w:val="1010"/>
        </w:numPr>
      </w:pPr>
      <w:r>
        <w:rPr>
          <w:b/>
          <w:bCs/>
        </w:rPr>
        <w:t xml:space="preserve">Capital Costs:</w:t>
      </w:r>
      <w:r>
        <w:t xml:space="preserve"> </w:t>
      </w:r>
      <w:r>
        <w:t xml:space="preserve">CAPEX for a 10,000 t/year hydrometallurgical battery recycling plant is estimated at USD 28-65 million. This is comparable to the projected CAPEX for larger-scale magnet recycling facilities, such as the proposed $125 million, 1,000 tpa HPMS plant.</w:t>
      </w:r>
    </w:p>
    <w:bookmarkEnd w:id="39"/>
    <w:bookmarkStart w:id="40" w:name="semiconductor-wastewater-treatment"/>
    <w:p>
      <w:pPr>
        <w:pStyle w:val="Heading3"/>
      </w:pPr>
      <w:r>
        <w:t xml:space="preserve">Semiconductor Wastewater Treatment</w:t>
      </w:r>
    </w:p>
    <w:p>
      <w:pPr>
        <w:pStyle w:val="FirstParagraph"/>
      </w:pPr>
      <w:r>
        <w:t xml:space="preserve">The semiconductor industry generates large volumes of wastewater containing valuable metals from processes like Chemical Mechanical Planarization (CMP).</w:t>
      </w:r>
    </w:p>
    <w:p>
      <w:pPr>
        <w:pStyle w:val="Compact"/>
        <w:numPr>
          <w:ilvl w:val="0"/>
          <w:numId w:val="1011"/>
        </w:numPr>
      </w:pPr>
      <w:r>
        <w:rPr>
          <w:b/>
          <w:bCs/>
        </w:rPr>
        <w:t xml:space="preserve">Economics &amp; Scale:</w:t>
      </w:r>
      <w:r>
        <w:t xml:space="preserve"> </w:t>
      </w:r>
      <w:r>
        <w:t xml:space="preserve">CMP can account for 30-40% of a fabrication plant's total wastewater, with a modern fab using up to 10 million gallons of water per day. The primary economic driver is water reclamation and compliance with stringent effluent standards, with potential savings from water reuse estimated at over $100 million annually for the industry. Metal recovery, particularly for copper (often present at 5-100 ppm), is also economically viable.</w:t>
      </w:r>
    </w:p>
    <w:p>
      <w:pPr>
        <w:pStyle w:val="Compact"/>
        <w:numPr>
          <w:ilvl w:val="0"/>
          <w:numId w:val="1011"/>
        </w:numPr>
      </w:pPr>
      <w:r>
        <w:rPr>
          <w:b/>
          <w:bCs/>
        </w:rPr>
        <w:t xml:space="preserve">Technology:</w:t>
      </w:r>
      <w:r>
        <w:t xml:space="preserve"> </w:t>
      </w:r>
      <w:r>
        <w:t xml:space="preserve">Treatment trains typically involve a combination of chemical precipitation, electrocoagulation, ion exchange, and advanced membrane systems like reverse osmosis and electrodialysis. These technologies are mature and achieve very high removal efficiencies (&gt;99% for copper) to meet strict discharge limits of &lt;3 mg/L.</w:t>
      </w:r>
    </w:p>
    <w:bookmarkEnd w:id="40"/>
    <w:bookmarkStart w:id="41" w:name="industrial-metal-recovery"/>
    <w:p>
      <w:pPr>
        <w:pStyle w:val="Heading3"/>
      </w:pPr>
      <w:r>
        <w:t xml:space="preserve">Industrial Metal Recovery</w:t>
      </w:r>
    </w:p>
    <w:p>
      <w:pPr>
        <w:pStyle w:val="FirstParagraph"/>
      </w:pPr>
      <w:r>
        <w:t xml:space="preserve">Recovery of base metals like copper, nickel, and zinc from mining and electroplating waste is a mature industry, offering a benchmark for comparing chemical versus biological processing routes.</w:t>
      </w:r>
    </w:p>
    <w:p>
      <w:pPr>
        <w:pStyle w:val="Compact"/>
        <w:numPr>
          <w:ilvl w:val="0"/>
          <w:numId w:val="1012"/>
        </w:numPr>
      </w:pPr>
      <w:r>
        <w:rPr>
          <w:b/>
          <w:bCs/>
        </w:rPr>
        <w:t xml:space="preserve">Technology Comparison:</w:t>
      </w:r>
      <w:r>
        <w:t xml:space="preserve"> </w:t>
      </w:r>
      <w:r>
        <w:t xml:space="preserve">Conventional recovery relies on hydrometallurgical (leaching, solvent extraction) and pyrometallurgical methods. However, bioleaching and biosorption are commercially used for copper and gold recovery from low-grade ores and waste streams, often with lower CAPEX and OPEX, especially for dilute solutions. While chemical methods offer faster kinetics, biological processes can reduce reagent costs by up to 40% and have a smaller environmental footprint.</w:t>
      </w:r>
    </w:p>
    <w:p>
      <w:pPr>
        <w:pStyle w:val="Compact"/>
        <w:numPr>
          <w:ilvl w:val="0"/>
          <w:numId w:val="1012"/>
        </w:numPr>
      </w:pPr>
      <w:r>
        <w:rPr>
          <w:b/>
          <w:bCs/>
        </w:rPr>
        <w:t xml:space="preserve">Economic Viability:</w:t>
      </w:r>
      <w:r>
        <w:t xml:space="preserve"> </w:t>
      </w:r>
      <w:r>
        <w:t xml:space="preserve">The profitability of industrial metal recovery depends on the concentration of metals in the waste stream and reagent costs. For example, a benchmark for copper recovery from electric motors estimates a break-even threshold of around 2% copper content by weight. The value of co-recovered by-products (e.g., cobalt, iron) can significantly improve the economics of the primary metal recovery process.</w:t>
      </w:r>
    </w:p>
    <w:bookmarkEnd w:id="41"/>
    <w:bookmarkEnd w:id="42"/>
    <w:bookmarkStart w:id="47" w:name="X022715cfdd1e70a17e016d5bae13b6dc4d74673"/>
    <w:p>
      <w:pPr>
        <w:pStyle w:val="Heading2"/>
      </w:pPr>
      <w:r>
        <w:t xml:space="preserve">6. Strategic Conclusions</w:t>
      </w:r>
    </w:p>
    <w:p>
      <w:pPr>
        <w:pStyle w:val="FirstParagraph"/>
      </w:pPr>
      <w:r>
        <w:t xml:space="preserve">The recovery of rare earth elements from permanent magnet waste streams is transitioning from a niche research area to a strategic industrial imperative. Analysis of the market, technology, and regulatory landscape reveals several key conclusions for stakeholders considering entry or expansion in this sector.</w:t>
      </w:r>
    </w:p>
    <w:bookmarkStart w:id="43" w:name="key-market-opportunities"/>
    <w:p>
      <w:pPr>
        <w:pStyle w:val="Heading3"/>
      </w:pPr>
      <w:r>
        <w:t xml:space="preserve">Key Market Opportunities</w:t>
      </w:r>
    </w:p>
    <w:p>
      <w:pPr>
        <w:pStyle w:val="FirstParagraph"/>
      </w:pPr>
      <w:r>
        <w:t xml:space="preserve">The primary market opportunity is driven by a structural supply/demand imbalance. Projected annual demand growth for NdFeB magnets of 8-10% through 2030, fueled by the EV and renewable energy sectors, is set to outpace the expansion of primary mining. This creates a significant and growing supply gap, which recycling is uniquely positioned to fill. With current recycling rates below 5%, the potential for growth is immense. The most immediate opportunities lie in processing high-grade manufacturing scrap (swarf, sludge), which constitutes up to 30% of magnet production and is a concentrated, readily available feedstock. In the medium to long term (post-2030), end-of-life products, especially EV traction motors and wind turbine generators, will become the dominant feedstock source, representing a multi-billion dollar "urban mine".</w:t>
      </w:r>
    </w:p>
    <w:bookmarkEnd w:id="43"/>
    <w:bookmarkStart w:id="44" w:name="technology-readiness-assessment"/>
    <w:p>
      <w:pPr>
        <w:pStyle w:val="Heading3"/>
      </w:pPr>
      <w:r>
        <w:t xml:space="preserve">Technology Readiness Assessment</w:t>
      </w:r>
    </w:p>
    <w:p>
      <w:pPr>
        <w:pStyle w:val="FirstParagraph"/>
      </w:pPr>
      <w:r>
        <w:t xml:space="preserve">The technology landscape is characterized by a trade-off between maturity and sustainability.</w:t>
      </w:r>
    </w:p>
    <w:p>
      <w:pPr>
        <w:pStyle w:val="Compact"/>
        <w:numPr>
          <w:ilvl w:val="0"/>
          <w:numId w:val="1013"/>
        </w:numPr>
      </w:pPr>
      <w:r>
        <w:rPr>
          <w:b/>
          <w:bCs/>
        </w:rPr>
        <w:t xml:space="preserve">Mature Technologies (TRL 8-9):</w:t>
      </w:r>
      <w:r>
        <w:t xml:space="preserve"> </w:t>
      </w:r>
      <w:r>
        <w:t xml:space="preserve">Conventional hydrometallurgy (acid leach, solvent extraction) and pyrometallurgy are well-understood and commercially deployed for primary REE processing, with high recovery rates (&gt;95%). However, their high energy consumption, chemical use, and waste generation pose significant environmental and operational cost challenges.</w:t>
      </w:r>
    </w:p>
    <w:p>
      <w:pPr>
        <w:pStyle w:val="Compact"/>
        <w:numPr>
          <w:ilvl w:val="0"/>
          <w:numId w:val="1013"/>
        </w:numPr>
      </w:pPr>
      <w:r>
        <w:rPr>
          <w:b/>
          <w:bCs/>
        </w:rPr>
        <w:t xml:space="preserve">Emerging &amp; Commercially Ready (TRL 6-8):</w:t>
      </w:r>
      <w:r>
        <w:t xml:space="preserve"> </w:t>
      </w:r>
      <w:r>
        <w:t xml:space="preserve">Hydrogen-based processing (HPMS) and advanced membrane solvent extraction (MSX) are at or nearing commercial deployment. They offer significantly improved environmental performance (e.g., 45-87% lower energy use, up to 95% lower CO2 emissions) and competitive economics, making them strong candidates for new greenfield projects. Companies like HyProMag, Cyclic Materials, and Ionic Technologies are leading commercialization efforts.</w:t>
      </w:r>
    </w:p>
    <w:p>
      <w:pPr>
        <w:pStyle w:val="Compact"/>
        <w:numPr>
          <w:ilvl w:val="0"/>
          <w:numId w:val="1013"/>
        </w:numPr>
      </w:pPr>
      <w:r>
        <w:rPr>
          <w:b/>
          <w:bCs/>
        </w:rPr>
        <w:t xml:space="preserve">Next-Generation (TRL 3-5):</w:t>
      </w:r>
      <w:r>
        <w:t xml:space="preserve"> </w:t>
      </w:r>
      <w:r>
        <w:t xml:space="preserve">Electrochemical, bioleaching, and other novel "green chemistry" approaches are promising but remain at the lab or pilot scale. While they offer the potential for the lowest costs and environmental impact, they require 5-15 more years of development to reach commercial maturity.</w:t>
      </w:r>
    </w:p>
    <w:bookmarkEnd w:id="44"/>
    <w:bookmarkStart w:id="45" w:name="investment-considerations"/>
    <w:p>
      <w:pPr>
        <w:pStyle w:val="Heading3"/>
      </w:pPr>
      <w:r>
        <w:t xml:space="preserve">Investment Considerations</w:t>
      </w:r>
    </w:p>
    <w:p>
      <w:pPr>
        <w:pStyle w:val="FirstParagraph"/>
      </w:pPr>
      <w:r>
        <w:t xml:space="preserve">Investment in REE recycling is supported by strong policy tailwinds but must be weighed against market and technical risks.</w:t>
      </w:r>
    </w:p>
    <w:p>
      <w:pPr>
        <w:pStyle w:val="Compact"/>
        <w:numPr>
          <w:ilvl w:val="0"/>
          <w:numId w:val="1014"/>
        </w:numPr>
      </w:pPr>
      <w:r>
        <w:rPr>
          <w:b/>
          <w:bCs/>
        </w:rPr>
        <w:t xml:space="preserve">Government Support:</w:t>
      </w:r>
      <w:r>
        <w:t xml:space="preserve"> </w:t>
      </w:r>
      <w:r>
        <w:t xml:space="preserve">The EU's Critical Raw Materials Act and the U.S. Defense Production Act and Inflation Reduction Act are creating a favorable investment climate through recycling mandates, production targets, tax credits, and direct funding. These policies significantly de-risk CAPEX-intensive projects.</w:t>
      </w:r>
    </w:p>
    <w:p>
      <w:pPr>
        <w:pStyle w:val="Compact"/>
        <w:numPr>
          <w:ilvl w:val="0"/>
          <w:numId w:val="1014"/>
        </w:numPr>
      </w:pPr>
      <w:r>
        <w:rPr>
          <w:b/>
          <w:bCs/>
        </w:rPr>
        <w:t xml:space="preserve">Feedstock Security:</w:t>
      </w:r>
      <w:r>
        <w:t xml:space="preserve"> </w:t>
      </w:r>
      <w:r>
        <w:t xml:space="preserve">Securing a stable, long-term supply of magnet waste is critical for plant viability. Partnerships with automotive OEMs, e-waste collectors, and magnet manufacturers are essential to guarantee feedstock volume and quality.</w:t>
      </w:r>
    </w:p>
    <w:p>
      <w:pPr>
        <w:pStyle w:val="Compact"/>
        <w:numPr>
          <w:ilvl w:val="0"/>
          <w:numId w:val="1014"/>
        </w:numPr>
      </w:pPr>
      <w:r>
        <w:rPr>
          <w:b/>
          <w:bCs/>
        </w:rPr>
        <w:t xml:space="preserve">Economic Viability:</w:t>
      </w:r>
      <w:r>
        <w:t xml:space="preserve"> </w:t>
      </w:r>
      <w:r>
        <w:t xml:space="preserve">Profitability is highly sensitive to REE price volatility. A processing cost of $20-40/kg of REO is a viable target, but sustained low prices for Nd/Dy could challenge economic models. The ability to co-recover other valuable metals like cobalt can provide an economic buffer.</w:t>
      </w:r>
    </w:p>
    <w:bookmarkEnd w:id="45"/>
    <w:bookmarkStart w:id="46" w:name="risk-factors"/>
    <w:p>
      <w:pPr>
        <w:pStyle w:val="Heading3"/>
      </w:pPr>
      <w:r>
        <w:t xml:space="preserve">Risk Factors</w:t>
      </w:r>
    </w:p>
    <w:p>
      <w:pPr>
        <w:pStyle w:val="Compact"/>
        <w:numPr>
          <w:ilvl w:val="0"/>
          <w:numId w:val="1015"/>
        </w:numPr>
      </w:pPr>
      <w:r>
        <w:rPr>
          <w:b/>
          <w:bCs/>
        </w:rPr>
        <w:t xml:space="preserve">Price Volatility:</w:t>
      </w:r>
      <w:r>
        <w:t xml:space="preserve"> </w:t>
      </w:r>
      <w:r>
        <w:t xml:space="preserve">The primary risk is the fluctuation of REE prices, which are heavily influenced by Chinese market dynamics and export policies.</w:t>
      </w:r>
    </w:p>
    <w:p>
      <w:pPr>
        <w:pStyle w:val="Compact"/>
        <w:numPr>
          <w:ilvl w:val="0"/>
          <w:numId w:val="1015"/>
        </w:numPr>
      </w:pPr>
      <w:r>
        <w:rPr>
          <w:b/>
          <w:bCs/>
        </w:rPr>
        <w:t xml:space="preserve">Collection &amp; Logistics:</w:t>
      </w:r>
      <w:r>
        <w:t xml:space="preserve"> </w:t>
      </w:r>
      <w:r>
        <w:t xml:space="preserve">The cost and complexity of collecting, sorting, and pre-processing end-of-life products remain a significant barrier, particularly for consumer electronics with small, embedded magnets.</w:t>
      </w:r>
    </w:p>
    <w:p>
      <w:pPr>
        <w:pStyle w:val="Compact"/>
        <w:numPr>
          <w:ilvl w:val="0"/>
          <w:numId w:val="1015"/>
        </w:numPr>
      </w:pPr>
      <w:r>
        <w:rPr>
          <w:b/>
          <w:bCs/>
        </w:rPr>
        <w:t xml:space="preserve">Technological Scale-up:</w:t>
      </w:r>
      <w:r>
        <w:t xml:space="preserve"> </w:t>
      </w:r>
      <w:r>
        <w:t xml:space="preserve">While many new technologies show promise at the pilot scale, successfully scaling them to industrial throughput (500-5000 m³/day) while maintaining efficiency and cost-effectiveness is a major engineering challenge.</w:t>
      </w:r>
    </w:p>
    <w:p>
      <w:pPr>
        <w:pStyle w:val="Compact"/>
        <w:numPr>
          <w:ilvl w:val="0"/>
          <w:numId w:val="1015"/>
        </w:numPr>
      </w:pPr>
      <w:r>
        <w:rPr>
          <w:b/>
          <w:bCs/>
        </w:rPr>
        <w:t xml:space="preserve">Regulatory Hurdles:</w:t>
      </w:r>
      <w:r>
        <w:t xml:space="preserve"> </w:t>
      </w:r>
      <w:r>
        <w:t xml:space="preserve">Navigating environmental permitting and hazardous waste regulations, which can differ significantly between regions like the EU and the US, can lead to project delays and increased compliance costs.</w:t>
      </w:r>
      <w:r>
        <w:t xml:space="preserve"> </w:t>
      </w:r>
      <w:r>
        <w:t xml:space="preserve">,report_title:</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2026-02-01T13:42:48Z</dcterms:created>
  <dcterms:modified xsi:type="dcterms:W3CDTF">2026-02-01T13:42:48Z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