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db32a09e6687a52c443c8de98d3cf357ed8f1c"/>
    <w:p>
      <w:pPr>
        <w:pStyle w:val="Heading1"/>
      </w:pPr>
      <w:r>
        <w:t xml:space="preserve">Customer landscape and market-entry risks for biological REE recovery in permanent magnet manufacturing</w:t>
      </w:r>
    </w:p>
    <w:bookmarkStart w:id="20" w:name="summary"/>
    <w:p>
      <w:pPr>
        <w:pStyle w:val="Heading2"/>
      </w:pPr>
      <w:r>
        <w:t xml:space="preserve">Summary</w:t>
      </w:r>
    </w:p>
    <w:p>
      <w:pPr>
        <w:pStyle w:val="FirstParagraph"/>
      </w:pPr>
      <w:r>
        <w:t xml:space="preserve">The permanent magnet market is large and growing, with one market estimate projecting growth from USD 21.98B (2025) to USD 30.01B (2030). Another industry snapshot values the rare-earth magnet market at ~US$19.5B in 2024, indicating substantial addressable value for technologies that reduce cost, improve resilience, or support recycling claims.</w:t>
      </w:r>
    </w:p>
    <w:p>
      <w:pPr>
        <w:pStyle w:val="BodyText"/>
      </w:pPr>
      <w:r>
        <w:t xml:space="preserve">Supply and manufacturing remain highly concentrated in China, with multiple sources estimating ~85–90% (or ~92%) of global magnet manufacturing/production occurring in China, creating acute geopolitical and supply-chain risk that is already disrupting downstream OEMs and Tier-1s. Demand pressure is driven by EVs, renewables, robotics, and other electrification end markets, reinforcing the strategic importance of NdFeB and, for defense, SmCo magnets.</w:t>
      </w:r>
    </w:p>
    <w:p>
      <w:pPr>
        <w:pStyle w:val="BodyText"/>
      </w:pPr>
      <w:r>
        <w:t xml:space="preserve">For biological REE recovery solutions aimed at magnet manufacturers, the most consistently evidenced customer value drivers in the provided sources are (1) high and rising waste volumes and material losses in NdFeB production, (2) mounting compliance and waste-treatment costs, and (3) supply-security premiums being paid for non-China magnets and recycled content—especially by defense and automotive ecosystems. The most consistently evidenced barriers and risks are (1) scale-up risk between lab and pilot, (2) matrix complexity and competing ions that degrade selectivity and increase biomass/pretreatment needs, and (3) commercialization viability versus low-priced Chinese supply and price volatility in rare earths.</w:t>
      </w:r>
    </w:p>
    <w:bookmarkEnd w:id="20"/>
    <w:bookmarkStart w:id="24" w:name="customer-segmentation"/>
    <w:p>
      <w:pPr>
        <w:pStyle w:val="Heading2"/>
      </w:pPr>
      <w:r>
        <w:t xml:space="preserve">Customer segmentation</w:t>
      </w:r>
    </w:p>
    <w:p>
      <w:pPr>
        <w:pStyle w:val="FirstParagraph"/>
      </w:pPr>
      <w:r>
        <w:t xml:space="preserve">The customer landscape for biological REE recovery spans (a) NdFeB magnet manufacturers (sintered and bonded), (b) SmCo magnet manufacturers (niche, defense-relevant), and (c) vertically integrated OEMs and Tier-1 suppliers that consume magnets and may influence specifications and supplier qualification.</w:t>
      </w:r>
    </w:p>
    <w:bookmarkStart w:id="21" w:name="ndfeb-magnet-manufacturers"/>
    <w:p>
      <w:pPr>
        <w:pStyle w:val="Heading3"/>
      </w:pPr>
      <w:r>
        <w:t xml:space="preserve">NdFeB magnet manufacturers</w:t>
      </w:r>
    </w:p>
    <w:p>
      <w:pPr>
        <w:pStyle w:val="FirstParagraph"/>
      </w:pPr>
      <w:r>
        <w:t xml:space="preserve">A core segmentation insight is the sheer scale of NdFeB production and the magnitude of internal manufacturing losses: global NdFeB production is estimated at ~130,000–150,000 t/y, and NdFeB manufacturing waste is estimated at ~30 wt% of total production, implying large, consistent “new scrap” feedstocks in the form of sintering fragments, cutting scraps, grinding powders and sludge. NdFeB magnets also contain approximately 30–32% REEs, underscoring the embedded material value in these waste streams and the potential for recovery-driven economics if separation and polishing can meet magnet-grade specifications.</w:t>
      </w:r>
    </w:p>
    <w:p>
      <w:pPr>
        <w:pStyle w:val="BodyText"/>
      </w:pPr>
      <w:r>
        <w:t xml:space="preserve">The table below consolidates magnet manufacturers and projects explicitly named in the provided sources, emphasizing locations and any stated capacities.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 or project</w:t>
            </w:r>
          </w:p>
        </w:tc>
        <w:tc>
          <w:tcPr/>
          <w:p>
            <w:pPr>
              <w:pStyle w:val="Compact"/>
            </w:pPr>
            <w:r>
              <w:t xml:space="preserve">Segment</w:t>
            </w:r>
          </w:p>
        </w:tc>
        <w:tc>
          <w:tcPr/>
          <w:p>
            <w:pPr>
              <w:pStyle w:val="Compact"/>
            </w:pPr>
            <w:r>
              <w:t xml:space="preserve">Geography</w:t>
            </w:r>
          </w:p>
        </w:tc>
        <w:tc>
          <w:tcPr/>
          <w:p>
            <w:pPr>
              <w:pStyle w:val="Compact"/>
            </w:pPr>
            <w:r>
              <w:t xml:space="preserve">Capacity signal</w:t>
            </w:r>
          </w:p>
        </w:tc>
        <w:tc>
          <w:tcPr/>
          <w:p>
            <w:pPr>
              <w:pStyle w:val="Compact"/>
            </w:pPr>
            <w:r>
              <w:t xml:space="preserve">Notes relevant to REE recovery targeting</w:t>
            </w:r>
          </w:p>
        </w:tc>
      </w:tr>
      <w:tr>
        <w:tc>
          <w:tcPr/>
          <w:p>
            <w:pPr>
              <w:pStyle w:val="Compact"/>
            </w:pPr>
            <w:r>
              <w:t xml:space="preserve">Ningbo Tongchuang Magnetic Materials</w:t>
            </w:r>
          </w:p>
        </w:tc>
        <w:tc>
          <w:tcPr/>
          <w:p>
            <w:pPr>
              <w:pStyle w:val="Compact"/>
            </w:pPr>
            <w:r>
              <w:t xml:space="preserve">NdFeB manufacturer</w:t>
            </w:r>
          </w:p>
        </w:tc>
        <w:tc>
          <w:tcPr/>
          <w:p>
            <w:pPr>
              <w:pStyle w:val="Compact"/>
            </w:pPr>
            <w:r>
              <w:t xml:space="preserve">China (Ningbo)</w:t>
            </w:r>
          </w:p>
        </w:tc>
        <w:tc>
          <w:tcPr/>
          <w:p>
            <w:pPr>
              <w:pStyle w:val="Compact"/>
            </w:pPr>
            <w:r>
              <w:t xml:space="preserve">Expansion to 10,000 t/y annual production capacity.</w:t>
            </w:r>
          </w:p>
        </w:tc>
        <w:tc>
          <w:tcPr/>
          <w:p>
            <w:pPr>
              <w:pStyle w:val="Compact"/>
            </w:pPr>
            <w:r>
              <w:t xml:space="preserve">Capacity disclosure suggests sizable, centralized waste generation potential, but facility waste volumes are not reported in the source.</w:t>
            </w:r>
          </w:p>
        </w:tc>
      </w:tr>
      <w:tr>
        <w:tc>
          <w:tcPr/>
          <w:p>
            <w:pPr>
              <w:pStyle w:val="Compact"/>
            </w:pPr>
            <w:r>
              <w:t xml:space="preserve">ZHAOBAO MAGNET</w:t>
            </w:r>
          </w:p>
        </w:tc>
        <w:tc>
          <w:tcPr/>
          <w:p>
            <w:pPr>
              <w:pStyle w:val="Compact"/>
            </w:pPr>
            <w:r>
              <w:t xml:space="preserve">NdFeB manufacturer</w:t>
            </w:r>
          </w:p>
        </w:tc>
        <w:tc>
          <w:tcPr/>
          <w:p>
            <w:pPr>
              <w:pStyle w:val="Compact"/>
            </w:pPr>
            <w:r>
              <w:t xml:space="preserve">China</w:t>
            </w:r>
          </w:p>
        </w:tc>
        <w:tc>
          <w:tcPr/>
          <w:p>
            <w:pPr>
              <w:pStyle w:val="Compact"/>
            </w:pPr>
            <w:r>
              <w:t xml:space="preserve">Annual production capacity 8,000 t/y.</w:t>
            </w:r>
          </w:p>
        </w:tc>
        <w:tc>
          <w:tcPr/>
          <w:p>
            <w:pPr>
              <w:pStyle w:val="Compact"/>
            </w:pPr>
            <w:r>
              <w:t xml:space="preserve">Capacity disclosure suggests sizable “new scrap” streams, but the source does not quantify wastewater or residue volumes.</w:t>
            </w:r>
          </w:p>
        </w:tc>
      </w:tr>
      <w:tr>
        <w:tc>
          <w:tcPr/>
          <w:p>
            <w:pPr>
              <w:pStyle w:val="Compact"/>
            </w:pPr>
            <w:r>
              <w:t xml:space="preserve">Neo Performance Materials (Estonia plant)</w:t>
            </w:r>
          </w:p>
        </w:tc>
        <w:tc>
          <w:tcPr/>
          <w:p>
            <w:pPr>
              <w:pStyle w:val="Compact"/>
            </w:pPr>
            <w:r>
              <w:t xml:space="preserve">NdFeB (sintered) manufacturer</w:t>
            </w:r>
          </w:p>
        </w:tc>
        <w:tc>
          <w:tcPr/>
          <w:p>
            <w:pPr>
              <w:pStyle w:val="Compact"/>
            </w:pPr>
            <w:r>
              <w:t xml:space="preserve">EU (Estonia)</w:t>
            </w:r>
          </w:p>
        </w:tc>
        <w:tc>
          <w:tcPr/>
          <w:p>
            <w:pPr>
              <w:pStyle w:val="Compact"/>
            </w:pPr>
            <w:r>
              <w:t xml:space="preserve">Initial capacity 2,000 t/y expanding to ≥5,000 t/y.</w:t>
            </w:r>
          </w:p>
        </w:tc>
        <w:tc>
          <w:tcPr/>
          <w:p>
            <w:pPr>
              <w:pStyle w:val="Compact"/>
            </w:pPr>
            <w:r>
              <w:t xml:space="preserve">Neo explicitly targets recycling of end-of-life magnets and “swarf” from manufacturing, indicating internal appetite for closed-loop recovery solutions.</w:t>
            </w:r>
          </w:p>
        </w:tc>
      </w:tr>
      <w:tr>
        <w:tc>
          <w:tcPr/>
          <w:p>
            <w:pPr>
              <w:pStyle w:val="Compact"/>
            </w:pPr>
            <w:r>
              <w:t xml:space="preserve">MP Materials (Fort Worth)</w:t>
            </w:r>
          </w:p>
        </w:tc>
        <w:tc>
          <w:tcPr/>
          <w:p>
            <w:pPr>
              <w:pStyle w:val="Compact"/>
            </w:pPr>
            <w:r>
              <w:t xml:space="preserve">NdFeB manufacturer</w:t>
            </w:r>
          </w:p>
        </w:tc>
        <w:tc>
          <w:tcPr/>
          <w:p>
            <w:pPr>
              <w:pStyle w:val="Compact"/>
            </w:pPr>
            <w:r>
              <w:t xml:space="preserve">US (Texas)</w:t>
            </w:r>
          </w:p>
        </w:tc>
        <w:tc>
          <w:tcPr/>
          <w:p>
            <w:pPr>
              <w:pStyle w:val="Compact"/>
            </w:pPr>
            <w:r>
              <w:t xml:space="preserve">First phase 1,000 t/y capacity.</w:t>
            </w:r>
          </w:p>
        </w:tc>
        <w:tc>
          <w:tcPr/>
          <w:p>
            <w:pPr>
              <w:pStyle w:val="Compact"/>
            </w:pPr>
            <w:r>
              <w:t xml:space="preserve">Part of reshoring/industrial policy response to supply risk, with potential preference for domestic circular feedstocks.</w:t>
            </w:r>
          </w:p>
        </w:tc>
      </w:tr>
      <w:tr>
        <w:tc>
          <w:tcPr/>
          <w:p>
            <w:pPr>
              <w:pStyle w:val="Compact"/>
            </w:pPr>
            <w:r>
              <w:t xml:space="preserve">Noveon Magnetics</w:t>
            </w:r>
          </w:p>
        </w:tc>
        <w:tc>
          <w:tcPr/>
          <w:p>
            <w:pPr>
              <w:pStyle w:val="Compact"/>
            </w:pPr>
            <w:r>
              <w:t xml:space="preserve">NdFeB manufacturer</w:t>
            </w:r>
          </w:p>
        </w:tc>
        <w:tc>
          <w:tcPr/>
          <w:p>
            <w:pPr>
              <w:pStyle w:val="Compact"/>
            </w:pPr>
            <w:r>
              <w:t xml:space="preserve">US (Texas)</w:t>
            </w:r>
          </w:p>
        </w:tc>
        <w:tc>
          <w:tcPr/>
          <w:p>
            <w:pPr>
              <w:pStyle w:val="Compact"/>
            </w:pPr>
            <w:r>
              <w:t xml:space="preserve">~2,000 t/y capacity.</w:t>
            </w:r>
          </w:p>
        </w:tc>
        <w:tc>
          <w:tcPr/>
          <w:p>
            <w:pPr>
              <w:pStyle w:val="Compact"/>
            </w:pPr>
            <w:r>
              <w:t xml:space="preserve">U.S.-based capacity could be a near-term pilot beachhead for onsite recovery given heightened supply-chain concerns.</w:t>
            </w:r>
          </w:p>
        </w:tc>
      </w:tr>
      <w:tr>
        <w:tc>
          <w:tcPr/>
          <w:p>
            <w:pPr>
              <w:pStyle w:val="Compact"/>
            </w:pPr>
            <w:r>
              <w:t xml:space="preserve">USA Rare Earth</w:t>
            </w:r>
          </w:p>
        </w:tc>
        <w:tc>
          <w:tcPr/>
          <w:p>
            <w:pPr>
              <w:pStyle w:val="Compact"/>
            </w:pPr>
            <w:r>
              <w:t xml:space="preserve">NdFeB manufacturer</w:t>
            </w:r>
          </w:p>
        </w:tc>
        <w:tc>
          <w:tcPr/>
          <w:p>
            <w:pPr>
              <w:pStyle w:val="Compact"/>
            </w:pPr>
            <w:r>
              <w:t xml:space="preserve">US (Oklahoma)</w:t>
            </w:r>
          </w:p>
        </w:tc>
        <w:tc>
          <w:tcPr/>
          <w:p>
            <w:pPr>
              <w:pStyle w:val="Compact"/>
            </w:pPr>
            <w:r>
              <w:t xml:space="preserve">~1,200 t/y initially, ramping to 4,800 t/y by ~2026.</w:t>
            </w:r>
          </w:p>
        </w:tc>
        <w:tc>
          <w:tcPr/>
          <w:p>
            <w:pPr>
              <w:pStyle w:val="Compact"/>
            </w:pPr>
            <w:r>
              <w:t xml:space="preserve">Scale-up plans create commissioning windows where new waste-treatment systems may be designed-in rather than retrofitted.</w:t>
            </w:r>
          </w:p>
        </w:tc>
      </w:tr>
      <w:tr>
        <w:tc>
          <w:tcPr/>
          <w:p>
            <w:pPr>
              <w:pStyle w:val="Compact"/>
            </w:pPr>
            <w:r>
              <w:t xml:space="preserve">GKN Powder Metallurgy (planned)</w:t>
            </w:r>
          </w:p>
        </w:tc>
        <w:tc>
          <w:tcPr/>
          <w:p>
            <w:pPr>
              <w:pStyle w:val="Compact"/>
            </w:pPr>
            <w:r>
              <w:t xml:space="preserve">NdFeB capacity project</w:t>
            </w:r>
          </w:p>
        </w:tc>
        <w:tc>
          <w:tcPr/>
          <w:p>
            <w:pPr>
              <w:pStyle w:val="Compact"/>
            </w:pPr>
            <w:r>
              <w:t xml:space="preserve">EU/NA (planned)</w:t>
            </w:r>
          </w:p>
        </w:tc>
        <w:tc>
          <w:tcPr/>
          <w:p>
            <w:pPr>
              <w:pStyle w:val="Compact"/>
            </w:pPr>
            <w:r>
              <w:t xml:space="preserve">Planned 4,000 t/y magnet capacity.</w:t>
            </w:r>
          </w:p>
        </w:tc>
        <w:tc>
          <w:tcPr/>
          <w:p>
            <w:pPr>
              <w:pStyle w:val="Compact"/>
            </w:pPr>
            <w:r>
              <w:t xml:space="preserve">New-build projects can potentially adopt novel recovery processes if permitting and risk-sharing are addressed early.</w:t>
            </w:r>
          </w:p>
        </w:tc>
      </w:tr>
      <w:tr>
        <w:tc>
          <w:tcPr/>
          <w:p>
            <w:pPr>
              <w:pStyle w:val="Compact"/>
            </w:pPr>
            <w:r>
              <w:t xml:space="preserve">JL MAG, Ningbo Yunsheng, San Huan (Zhongke Sanhuan), Tianhe, ZHmag, Earth-Panda</w:t>
            </w:r>
          </w:p>
        </w:tc>
        <w:tc>
          <w:tcPr/>
          <w:p>
            <w:pPr>
              <w:pStyle w:val="Compact"/>
            </w:pPr>
            <w:r>
              <w:t xml:space="preserve">NdFeB manufacturers (major Chinese cohort)</w:t>
            </w:r>
          </w:p>
        </w:tc>
        <w:tc>
          <w:tcPr/>
          <w:p>
            <w:pPr>
              <w:pStyle w:val="Compact"/>
            </w:pPr>
            <w:r>
              <w:t xml:space="preserve">China</w:t>
            </w:r>
          </w:p>
        </w:tc>
        <w:tc>
          <w:tcPr/>
          <w:p>
            <w:pPr>
              <w:pStyle w:val="Compact"/>
            </w:pPr>
            <w:r>
              <w:t xml:space="preserve">Identified as dominant global suppliers; capacities described as “tens of thousands of tons” for top firms in China-centric sources.</w:t>
            </w:r>
          </w:p>
        </w:tc>
        <w:tc>
          <w:tcPr/>
          <w:p>
            <w:pPr>
              <w:pStyle w:val="Compact"/>
            </w:pPr>
            <w:r>
              <w:t xml:space="preserve">China’s ecosystem advantage and scale create strong incumbent competition; market entry may require differentiated compliance/ESG or supply-security value.</w:t>
            </w:r>
          </w:p>
        </w:tc>
      </w:tr>
    </w:tbl>
    <w:p>
      <w:pPr>
        <w:pStyle w:val="BodyText"/>
      </w:pPr>
      <w:r>
        <w:t xml:space="preserve">Beyond these examples, multiple market listings identify additional key magnet-industry players (e.g., Proterial, Shin-Etsu, TDK, VACUUMSCHMELZE, Zhongke Sanhuan, Yantai Zhenghai), but the provided excerpts do not include capacity-by-site data for most of them.</w:t>
      </w:r>
    </w:p>
    <w:bookmarkEnd w:id="21"/>
    <w:bookmarkStart w:id="22" w:name="smco-magnet-manufacturers"/>
    <w:p>
      <w:pPr>
        <w:pStyle w:val="Heading3"/>
      </w:pPr>
      <w:r>
        <w:t xml:space="preserve">SmCo magnet manufacturers</w:t>
      </w:r>
    </w:p>
    <w:p>
      <w:pPr>
        <w:pStyle w:val="FirstParagraph"/>
      </w:pPr>
      <w:r>
        <w:t xml:space="preserve">SmCo magnets are consistently positioned as strategically important for defense applications, even if they represent a smaller share of magnet volume in the broader market segmentation. Export-control discourse also flags samarium as a controlled element due to its relevance for SmCo, implying feedstock risk and higher willingness to pay for secure, compliant supply chains in this niche.</w:t>
      </w:r>
    </w:p>
    <w:p>
      <w:pPr>
        <w:pStyle w:val="BodyText"/>
      </w:pPr>
      <w:r>
        <w:t xml:space="preserve">Because the provided sources do not enumerate major SmCo producers with capacities, a practical segmentation approach (supported by the sources) is to treat SmCo as a “defense-critical, supply-sensitive” submarket where domestic-content rules and export restrictions can outweigh pure cost minimization.</w:t>
      </w:r>
    </w:p>
    <w:bookmarkEnd w:id="22"/>
    <w:bookmarkStart w:id="23" w:name="vertically-integrated-oems-and-tier-1s"/>
    <w:p>
      <w:pPr>
        <w:pStyle w:val="Heading3"/>
      </w:pPr>
      <w:r>
        <w:t xml:space="preserve">Vertically integrated OEMs and Tier-1s</w:t>
      </w:r>
    </w:p>
    <w:p>
      <w:pPr>
        <w:pStyle w:val="FirstParagraph"/>
      </w:pPr>
      <w:r>
        <w:t xml:space="preserve">Automotive OEMs and Tier-1 suppliers are key “specification setters” and indirect customers because they ultimately drive magnet qualification, supply-security requirements, and recycled-content or traceability expectations in the value chain. The automotive ecosystem evidence in the sources explicitly names OEMs (Ford, GM, Toyota, Volkswagen) and Tier-1s (Bosch, ZF, Denso, BorgWarner, Marelli, Schaeffler) as the integrators of magnets into motors and electronics, implying they influence acceptance criteria for recycled or recovered REEs.</w:t>
      </w:r>
    </w:p>
    <w:p>
      <w:pPr>
        <w:pStyle w:val="BodyText"/>
      </w:pPr>
      <w:r>
        <w:t xml:space="preserve">EV motors are a major NdFeB demand sink, with a cited estimate that each EV typically contains ~3–5 kg of NdFeB magnets, connecting end-market growth directly to magnet production scale and associated in-process wastes. Wind energy is also a magnet-intensive end market, with one cited example indicating turbines can house “between one to eight tons” of permanent magnets depending on size, which underpins long-term end-of-life recycling demand and circular procurement programs.</w:t>
      </w:r>
    </w:p>
    <w:bookmarkEnd w:id="23"/>
    <w:bookmarkEnd w:id="24"/>
    <w:bookmarkStart w:id="29" w:name="waste-management-pain-points"/>
    <w:p>
      <w:pPr>
        <w:pStyle w:val="Heading2"/>
      </w:pPr>
      <w:r>
        <w:t xml:space="preserve">Waste management pain points</w:t>
      </w:r>
    </w:p>
    <w:p>
      <w:pPr>
        <w:pStyle w:val="FirstParagraph"/>
      </w:pPr>
      <w:r>
        <w:t xml:space="preserve">Waste management pain points for magnet manufacturers and adjacent REE-processing operations cluster into (1) waste and effluent burdens intrinsic to current recycling and hydrometallurgy pathways, (2) compliance and permitting obligations, and (3) the cost and liability of secondary wastes such as sludge, along with broader ESG and supply-chain pressures that elevate the value of circularity.</w:t>
      </w:r>
    </w:p>
    <w:bookmarkStart w:id="25" w:name="waste-generation-and-process-burdens"/>
    <w:p>
      <w:pPr>
        <w:pStyle w:val="Heading3"/>
      </w:pPr>
      <w:r>
        <w:t xml:space="preserve">Waste generation and process burdens</w:t>
      </w:r>
    </w:p>
    <w:p>
      <w:pPr>
        <w:pStyle w:val="FirstParagraph"/>
      </w:pPr>
      <w:r>
        <w:t xml:space="preserve">NdFeB manufacturing waste is explicitly estimated at ~30 wt% of total production, and the identified waste categories include sintering fragments, cutting scraps, grinding powders, and sludge, all of which can plausibly appear as solids or solid-laden liquids depending on plant practices. Hydrometallurgical recycling routes are described as generating “large volumes of intractable wastewater containing heavy metals and residual acids,” which directly frames a target niche for lower-chemical-intensity biological capture or polishing steps (if selectivity and robustness are proven).</w:t>
      </w:r>
    </w:p>
    <w:p>
      <w:pPr>
        <w:pStyle w:val="BodyText"/>
      </w:pPr>
      <w:r>
        <w:t xml:space="preserve">Multiple sources highlight that hydrometallurgical processing generates substantial sludge and wastewater, and that the broader rare-earth supply chain can generate very large waste burdens (e.g., “2,000 tons of toxic waste” per ton REE as cited in one source), amplifying the perceived liability and ESG exposure associated with REE processing and recovery.</w:t>
      </w:r>
    </w:p>
    <w:bookmarkEnd w:id="25"/>
    <w:bookmarkStart w:id="26" w:name="regulatory-compliance-and-permitting"/>
    <w:p>
      <w:pPr>
        <w:pStyle w:val="Heading3"/>
      </w:pPr>
      <w:r>
        <w:t xml:space="preserve">Regulatory compliance and permitting</w:t>
      </w:r>
    </w:p>
    <w:p>
      <w:pPr>
        <w:pStyle w:val="FirstParagraph"/>
      </w:pPr>
      <w:r>
        <w:t xml:space="preserve">China’s rare earth industry discharge regime (GB 26451-2011) explicitly defines major wastewater pollutants as suspended solids, COD, ammonium nitrogen, fluorides, heavy metals, and radioactive materials, and sets discharge limits by pollutant and process category, which indicates that compliance is multi-parameter and not solely driven by REE concentrations. General Chinese discharge standards also define numeric limits for common metals such as copper, zinc, and selenium (and a pH range 6–9), illustrating the typical compliance envelope that magnet operations with plating or metal-containing effluents must navigate even when Nd/Dy limits are not explicitly cited in the provided excerpts.</w:t>
      </w:r>
    </w:p>
    <w:p>
      <w:pPr>
        <w:pStyle w:val="BodyText"/>
      </w:pPr>
      <w:r>
        <w:t xml:space="preserve">In the EU, the Industrial Emissions Directive framework emphasizes permits with emission limit values, monitoring, and operation consistent with best available techniques, which raises the compliance and documentation burden for any new onsite treatment technology that changes emission profiles. The same framework provides a mechanism for temporary derogations to test emerging techniques, implying that well-designed pilots with robust monitoring plans can be permitted, but only within a controlled and time-limited compliance pathway.</w:t>
      </w:r>
    </w:p>
    <w:p>
      <w:pPr>
        <w:pStyle w:val="BodyText"/>
      </w:pPr>
      <w:r>
        <w:t xml:space="preserve">For the U.S., the provided excerpt from 40 CFR Part 421 Subpart Y specifies applicability to discharges from primary rare earth metals production facilities, indicating that wastewater standards can be codified at the subsector level, but the excerpt does not provide Nd/Dy numeric limits for magnet manufacturing specifically.</w:t>
      </w:r>
    </w:p>
    <w:bookmarkEnd w:id="26"/>
    <w:bookmarkStart w:id="27" w:name="compliance-costs-and-liability"/>
    <w:p>
      <w:pPr>
        <w:pStyle w:val="Heading3"/>
      </w:pPr>
      <w:r>
        <w:t xml:space="preserve">Compliance costs and liability</w:t>
      </w:r>
    </w:p>
    <w:p>
      <w:pPr>
        <w:pStyle w:val="FirstParagraph"/>
      </w:pPr>
      <w:r>
        <w:t xml:space="preserve">Sector-level evidence from China indicates that stricter environmental standards for rare earth production can drive very large compliance investments, with an estimate of 1.5 billion yuan for sewage treatment facilities plus annual running costs of 280 million yuan (and additional waste-gas treatment investments), indicating that compliance can be capital-intensive and structurally reshapes the industry through consolidation pressure. The same source notes historical ammonia nitrogen discharge concentrations in the hundreds to thousands of mg/L, “scores of times higher than the national standard,” illustrating the magnitude of past compliance gaps and the likelihood that wastewater treatment upgrades remain a recurring imperative for REE-related industrial operations.</w:t>
      </w:r>
    </w:p>
    <w:p>
      <w:pPr>
        <w:pStyle w:val="BodyText"/>
      </w:pPr>
      <w:r>
        <w:t xml:space="preserve">Across industrial wastewater contexts, sludge disposal is repeatedly characterized as a major hidden expense, with cited ranges of $150–600 per dry ton and potentially $800–2,000 per dry ton for hazardous classification, which is directly relevant to magnet waste treatment because many REE-bearing residues and metal sludges can be regulated as hazardous depending on jurisdiction and composition. The long-term liability of remediation and treatment can be extreme in worst cases, as illustrated by a site case study showing a settlement exceeding $950M and a treatment plant expected to operate “in perpetuity,” underscoring why many operators prioritize solutions that minimize long-lived waste liabilities.</w:t>
      </w:r>
    </w:p>
    <w:bookmarkEnd w:id="27"/>
    <w:bookmarkStart w:id="28" w:name="sustainability-and-circularity-pressures"/>
    <w:p>
      <w:pPr>
        <w:pStyle w:val="Heading3"/>
      </w:pPr>
      <w:r>
        <w:t xml:space="preserve">Sustainability and circularity pressures</w:t>
      </w:r>
    </w:p>
    <w:p>
      <w:pPr>
        <w:pStyle w:val="FirstParagraph"/>
      </w:pPr>
      <w:r>
        <w:t xml:space="preserve">Several sources frame recycling and recovery as a response to scarcity and geopolitical risk, not only as a cost play, such as an EU-linked wind operator initiative that emphasizes REE scarcity, sustainability impacts, and geopolitical supply risks as drivers for permanent magnet recycling programs aligned with EU critical raw materials policy. Corporate disclosures from a magnet producer (Neo) similarly emphasize investments in air, water and waste emissions control technologies and explicitly highlight recovery and recycling of magnet manufacturing “swarf” to support circular economics, indicating that at least some manufacturers already view internal scrap recovery as strategically important.</w:t>
      </w:r>
    </w:p>
    <w:bookmarkEnd w:id="28"/>
    <w:bookmarkEnd w:id="29"/>
    <w:bookmarkStart w:id="34" w:name="willingness-to-pay-and-value"/>
    <w:p>
      <w:pPr>
        <w:pStyle w:val="Heading2"/>
      </w:pPr>
      <w:r>
        <w:t xml:space="preserve">Willingness to pay and value</w:t>
      </w:r>
    </w:p>
    <w:p>
      <w:pPr>
        <w:pStyle w:val="FirstParagraph"/>
      </w:pPr>
      <w:r>
        <w:t xml:space="preserve">Willingness to pay for biological REE recovery is best evidenced indirectly in the provided sources through (a) what industrial actors pay for wastewater treatment capacity and compliance, (b) what downstream sectors pay for supply-security, and (c) baseline processing costs and compliance adders for REE recycling pathways that create headroom for lower-waste, lower-chemical alternatives.</w:t>
      </w:r>
    </w:p>
    <w:bookmarkStart w:id="30" w:name="treatment-cost-baselines"/>
    <w:p>
      <w:pPr>
        <w:pStyle w:val="Heading3"/>
      </w:pPr>
      <w:r>
        <w:t xml:space="preserve">Treatment cost baselines</w:t>
      </w:r>
    </w:p>
    <w:p>
      <w:pPr>
        <w:pStyle w:val="FirstParagraph"/>
      </w:pPr>
      <w:r>
        <w:t xml:space="preserve">Industrial wastewater treatment investments can be substantial, with one cited range of $2,000–$15,000 per m³ of treatment capacity depending on contaminant complexity, implying that onsite solutions for metal-bearing effluents can reach multi-million-dollar capital programs for medium-to-large flows. The same source provides an example operating cost of ~$8.50 per m³ treated, which is a useful benchmark when estimating the operating-cost headroom for a recovery system that adds pretreatment, nutrients/biomass handling, regeneration chemicals, and monitoring.</w:t>
      </w:r>
    </w:p>
    <w:p>
      <w:pPr>
        <w:pStyle w:val="BodyText"/>
      </w:pPr>
      <w:r>
        <w:t xml:space="preserve">Other vendor-facing sources similarly cite that wastewater treatment projects can range from ~$400,000 to &gt;$1.5M for complex multi-stage systems, and that stricter discharge limits typically require additional treatment steps or equipment, reinforcing the idea that compliance-driven “must spend” budgets exist in industrial settings even before adding recovery value.</w:t>
      </w:r>
    </w:p>
    <w:bookmarkEnd w:id="30"/>
    <w:bookmarkStart w:id="31" w:name="recycling-and-recovery-cost-baselines"/>
    <w:p>
      <w:pPr>
        <w:pStyle w:val="Heading3"/>
      </w:pPr>
      <w:r>
        <w:t xml:space="preserve">Recycling and recovery cost baselines</w:t>
      </w:r>
    </w:p>
    <w:p>
      <w:pPr>
        <w:pStyle w:val="FirstParagraph"/>
      </w:pPr>
      <w:r>
        <w:t xml:space="preserve">For REE recycling via existing hydrometallurgical approaches, one source cites processing costs of $15–35 per kg and an additional $2–4 per kg attributable to acid disposal and wastewater treatment, making waste treatment and compliance a meaningful fraction of total cost. The same source also cites processing costs of $8–15 per kg REE recovered and feedstock acquisition costs of $0.50–2.00 per kg, illustrating the economic structure that a biological solution must beat or complement (e.g., by reducing waste-treatment costs, improving selectivity, or enabling onsite recovery that lowers logistics costs).</w:t>
      </w:r>
    </w:p>
    <w:bookmarkEnd w:id="31"/>
    <w:bookmarkStart w:id="32" w:name="Xebe191b478e2eca55d747ff7d69b375ce002339"/>
    <w:p>
      <w:pPr>
        <w:pStyle w:val="Heading3"/>
      </w:pPr>
      <w:r>
        <w:t xml:space="preserve">Supply-security premiums and long-term offtake</w:t>
      </w:r>
    </w:p>
    <w:p>
      <w:pPr>
        <w:pStyle w:val="FirstParagraph"/>
      </w:pPr>
      <w:r>
        <w:t xml:space="preserve">Downstream willingness to pay for non-China supply is explicitly evidenced by reports that buyers pay premiums of ~10–30% for non-Chinese magnets, and that some clients pay 15–20% more for Vietnamese magnets to reduce China exposure, indicating a real premium pool tied to supply resilience rather than purely to magnet cost. Defense demand is also described as willing to pay premium prices for non-Chinese sources, and U.S. government funding to support domestic magnet supply chains is cited at &gt;$439M since 2020, suggesting that public-sector de-risking can support higher-cost domestic and circular solutions in strategic markets.</w:t>
      </w:r>
    </w:p>
    <w:p>
      <w:pPr>
        <w:pStyle w:val="BodyText"/>
      </w:pPr>
      <w:r>
        <w:t xml:space="preserve">OEM willingness to underwrite recycled-content supply is also evidenced by a cited example of a $500M long-term agreement to source magnets manufactured in Texas from 100% recycled feedstock, which signals that large buyers may finance or guarantee demand for circular magnet supply when it aligns with strategic and ESG priorities.</w:t>
      </w:r>
    </w:p>
    <w:bookmarkEnd w:id="32"/>
    <w:bookmarkStart w:id="33" w:name="recovery-value-framing"/>
    <w:p>
      <w:pPr>
        <w:pStyle w:val="Heading3"/>
      </w:pPr>
      <w:r>
        <w:t xml:space="preserve">Recovery value framing</w:t>
      </w:r>
    </w:p>
    <w:p>
      <w:pPr>
        <w:pStyle w:val="FirstParagraph"/>
      </w:pPr>
      <w:r>
        <w:t xml:space="preserve">A practical value framing for biological recovery from magnet manufacturing streams is to tie recovered REEs to market prices and specification requirements, while accounting for pretreatment and purification costs implied in the biosorption literature. One cited price point for neodymium oxide (~$77,983/metric ton as of Dec 2020) provides an anchor for estimating gross recovered value if concentration and recoverable mass are measured at a target facility. However, multiple sources stress that profitability depends strongly on REE concentration, feedstock composition, and pretreatment and waste-management costs, making facility-specific sampling and piloting a prerequisite for credible ROI claims.</w:t>
      </w:r>
    </w:p>
    <w:bookmarkEnd w:id="33"/>
    <w:bookmarkEnd w:id="34"/>
    <w:bookmarkStart w:id="39" w:name="adoption-barriers"/>
    <w:p>
      <w:pPr>
        <w:pStyle w:val="Heading2"/>
      </w:pPr>
      <w:r>
        <w:t xml:space="preserve">Adoption barriers</w:t>
      </w:r>
    </w:p>
    <w:p>
      <w:pPr>
        <w:pStyle w:val="FirstParagraph"/>
      </w:pPr>
      <w:r>
        <w:t xml:space="preserve">Adoption barriers for biological REE recovery in this customer set are best evidenced as a combination of (1) proof and pilot requirements, (2) process integration constraints (space, monitoring, retrofit complexity), and (3) technical performance uncertainty in real multi-component wastes, plus a market barrier tied to economics versus cheap Chinese supply and technology substitution in end markets.</w:t>
      </w:r>
    </w:p>
    <w:bookmarkStart w:id="35" w:name="proof-requirements"/>
    <w:p>
      <w:pPr>
        <w:pStyle w:val="Heading3"/>
      </w:pPr>
      <w:r>
        <w:t xml:space="preserve">Proof requirements</w:t>
      </w:r>
    </w:p>
    <w:p>
      <w:pPr>
        <w:pStyle w:val="FirstParagraph"/>
      </w:pPr>
      <w:r>
        <w:t xml:space="preserve">Multiple sources describe the need for pilots and proof-of-concept before scaling or investment decisions, including an industrial sustainability disclosure stating that additional investments will be made only once “sufficient proof of concept has been established.” In the magnet supply chain context, pilots and testing are also described as part of supplier qualification, with examples of OEMs testing magnets under extreme conditions and renewable energy companies piloting magnets for durability, which is a strong analog for how a novel waste-treatment or recovery technology will likely need to prove reliability and consistency before deployment.</w:t>
      </w:r>
    </w:p>
    <w:p>
      <w:pPr>
        <w:pStyle w:val="BodyText"/>
      </w:pPr>
      <w:r>
        <w:t xml:space="preserve">In the EU regulatory context, the Industrial Emissions Directive explicitly provides a pathway for testing emerging techniques via temporary derogations from BAT-associated emission levels, indicating that pilots are feasible but must be carefully scoped, monitored, and time-bounded within permitting regimes.</w:t>
      </w:r>
    </w:p>
    <w:bookmarkEnd w:id="35"/>
    <w:bookmarkStart w:id="36" w:name="integration-and-retrofit-friction"/>
    <w:p>
      <w:pPr>
        <w:pStyle w:val="Heading3"/>
      </w:pPr>
      <w:r>
        <w:t xml:space="preserve">Integration and retrofit friction</w:t>
      </w:r>
    </w:p>
    <w:p>
      <w:pPr>
        <w:pStyle w:val="FirstParagraph"/>
      </w:pPr>
      <w:r>
        <w:t xml:space="preserve">Industrial wastewater sources emphasize hidden expenses and practical complexity associated with integrating and installing a new system into ongoing operations, reinforcing that footprint, tie-ins, and installation disruption can be major barriers for onsite biological systems unless modularized or designed into new builds. Cost-focused sources also cite that installation and construction may represent 30–45% of total project investment, and that installation/commissioning can be 15–40% of total cost in some contexts, making retrofits materially more expensive than “equipment-only” numbers suggest.</w:t>
      </w:r>
    </w:p>
    <w:p>
      <w:pPr>
        <w:pStyle w:val="BodyText"/>
      </w:pPr>
      <w:r>
        <w:t xml:space="preserve">Permitting and compliance processes can also create material schedule risk, with one cited range of 6–18 months and $50,000–$500,000 for major projects, which directly affects adoption timelines and the attractiveness of phased pilots versus full-scale deployments.</w:t>
      </w:r>
    </w:p>
    <w:bookmarkEnd w:id="36"/>
    <w:bookmarkStart w:id="37" w:name="X9c27c8343df6077fde5b9454dfb762287bdf5c8"/>
    <w:p>
      <w:pPr>
        <w:pStyle w:val="Heading3"/>
      </w:pPr>
      <w:r>
        <w:t xml:space="preserve">Technical performance uncertainty in real wastes</w:t>
      </w:r>
    </w:p>
    <w:p>
      <w:pPr>
        <w:pStyle w:val="FirstParagraph"/>
      </w:pPr>
      <w:r>
        <w:t xml:space="preserve">Biological and biosorption approaches face well-documented performance risks in complex, multi-metal streams, including competition for binding sites in multi-metal solutions, reduced performance and higher required contact times, and sensitivity to operating conditions and matrix chemistry. Regeneration and desorption cycles can degrade capacity, with one cited example that acid washes can reduce adsorption capacity by ~50%, which directly impacts lifecycle economics and the number of economically viable reuse cycles for a biosorbent or biomass system.</w:t>
      </w:r>
    </w:p>
    <w:p>
      <w:pPr>
        <w:pStyle w:val="BodyText"/>
      </w:pPr>
      <w:r>
        <w:t xml:space="preserve">For REE-specific leachates, one study highlights that non-REE concentrations (e.g., Na, K, Mg, Ca, Fe) can be orders of magnitude higher than REEs, and that Ca and Mg are primary factors affecting REE recovery efficiency and purity, implying that real magnet-related streams with hard-water ions, plating salts, or process additives could strongly influence performance unless pretreatment or selective binding is robust.</w:t>
      </w:r>
    </w:p>
    <w:p>
      <w:pPr>
        <w:pStyle w:val="BodyText"/>
      </w:pPr>
      <w:r>
        <w:t xml:space="preserve">Some sources also emphasize that bio-hydrometallurgical approaches remain at early research stages (TRL 3–4) with 5–15 year commercialization timelines, which is a strong signal that magnet manufacturers will require compelling pilot evidence and risk-sharing before relying on biological systems for compliance-critical operations.</w:t>
      </w:r>
    </w:p>
    <w:bookmarkEnd w:id="37"/>
    <w:bookmarkStart w:id="38" w:name="market-and-organizational-barriers"/>
    <w:p>
      <w:pPr>
        <w:pStyle w:val="Heading3"/>
      </w:pPr>
      <w:r>
        <w:t xml:space="preserve">Market and organizational barriers</w:t>
      </w:r>
    </w:p>
    <w:p>
      <w:pPr>
        <w:pStyle w:val="FirstParagraph"/>
      </w:pPr>
      <w:r>
        <w:t xml:space="preserve">Commercial viability versus cheap Chinese imports is repeatedly cited as the primary obstacle for REE magnet recycling in the EU context, indicating that many customers will default to low-cost supply unless the solution also delivers compliance savings, premium pricing, or supply-security value that is monetizable through contracts. Industry sources also highlight that switching supply chains has historically been difficult due to delays, import fees, and customer support gaps, which is an analog barrier for any new third-party recovery service that requires operational trust and dependable logistics.</w:t>
      </w:r>
    </w:p>
    <w:p>
      <w:pPr>
        <w:pStyle w:val="BodyText"/>
      </w:pPr>
      <w:r>
        <w:t xml:space="preserve">At the downstream level, technology substitution is a non-trivial barrier to the long-term market size for recovered REEs, because automakers are exploring magnet-free alternatives and designs that reduce rare-earth intensity, even while permanent-magnet motors still dominate current EV production.</w:t>
      </w:r>
    </w:p>
    <w:bookmarkEnd w:id="38"/>
    <w:bookmarkEnd w:id="39"/>
    <w:bookmarkStart w:id="42" w:name="strategic-risks-and-mitigation"/>
    <w:p>
      <w:pPr>
        <w:pStyle w:val="Heading2"/>
      </w:pPr>
      <w:r>
        <w:t xml:space="preserve">Strategic risks and mitigation</w:t>
      </w:r>
    </w:p>
    <w:p>
      <w:pPr>
        <w:pStyle w:val="FirstParagraph"/>
      </w:pPr>
      <w:r>
        <w:t xml:space="preserve">Strategic risks for market entry and scaling biological REE recovery can be organized into technology, market, operational, and strategic timing risks, with mitigations grounded in evidence from scale-up literature, wastewater implementation practice, and observed procurement behavior in analogous sectors.</w:t>
      </w:r>
    </w:p>
    <w:bookmarkStart w:id="40" w:name="risk-assessment"/>
    <w:p>
      <w:pPr>
        <w:pStyle w:val="Heading3"/>
      </w:pPr>
      <w:r>
        <w:t xml:space="preserve">Risk assessment</w:t>
      </w:r>
    </w:p>
    <w:p>
      <w:pPr>
        <w:pStyle w:val="FirstParagraph"/>
      </w:pPr>
      <w:r>
        <w:t xml:space="preserve">The table below provides an evidence-based risk register with likelihood and impact framed strictly from the provided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 and early indicators</w:t>
            </w:r>
          </w:p>
        </w:tc>
      </w:tr>
      <w:tr>
        <w:tc>
          <w:tcPr/>
          <w:p>
            <w:pPr>
              <w:pStyle w:val="Compact"/>
            </w:pPr>
            <w:r>
              <w:t xml:space="preserve">Lab-to-pilot scale-up failure or major rework</w:t>
            </w:r>
          </w:p>
        </w:tc>
        <w:tc>
          <w:tcPr/>
          <w:p>
            <w:pPr>
              <w:pStyle w:val="Compact"/>
            </w:pPr>
            <w:r>
              <w:t xml:space="preserve">Technology</w:t>
            </w:r>
          </w:p>
        </w:tc>
        <w:tc>
          <w:tcPr/>
          <w:p>
            <w:pPr>
              <w:pStyle w:val="Compact"/>
            </w:pPr>
            <w:r>
              <w:t xml:space="preserve">High, because 60–80% of cleantech that reaches lab proof-of-concept encounters significant technical or economic challenges at pilot scale.</w:t>
            </w:r>
          </w:p>
        </w:tc>
        <w:tc>
          <w:tcPr/>
          <w:p>
            <w:pPr>
              <w:pStyle w:val="Compact"/>
            </w:pPr>
            <w:r>
              <w:t xml:space="preserve">High, because pilot setbacks extend timelines and can force redesigns; bio-based approaches are often still TRL 3–4 with long commercialization horizons in some sources.</w:t>
            </w:r>
          </w:p>
        </w:tc>
        <w:tc>
          <w:tcPr/>
          <w:p>
            <w:pPr>
              <w:pStyle w:val="Compact"/>
            </w:pPr>
            <w:r>
              <w:t xml:space="preserve">Use staged development and explicit scale-up criteria (as described for BioCOP) and gate capital release on measured performance at each scale. Early indicator: inability to maintain performance in continuous systems versus batch tests (noted as a common research gap).</w:t>
            </w:r>
          </w:p>
        </w:tc>
      </w:tr>
      <w:tr>
        <w:tc>
          <w:tcPr/>
          <w:p>
            <w:pPr>
              <w:pStyle w:val="Compact"/>
            </w:pPr>
            <w:r>
              <w:t xml:space="preserve">Reduced selectivity and capacity in complex matrices (competing ions, non-REE metals)</w:t>
            </w:r>
          </w:p>
        </w:tc>
        <w:tc>
          <w:tcPr/>
          <w:p>
            <w:pPr>
              <w:pStyle w:val="Compact"/>
            </w:pPr>
            <w:r>
              <w:t xml:space="preserve">Technology</w:t>
            </w:r>
          </w:p>
        </w:tc>
        <w:tc>
          <w:tcPr/>
          <w:p>
            <w:pPr>
              <w:pStyle w:val="Compact"/>
            </w:pPr>
            <w:r>
              <w:t xml:space="preserve">High, because multi-metal competition reduces performance and increases required contact time, and non-REEs in leachates can be orders of magnitude higher than REEs.</w:t>
            </w:r>
          </w:p>
        </w:tc>
        <w:tc>
          <w:tcPr/>
          <w:p>
            <w:pPr>
              <w:pStyle w:val="Compact"/>
            </w:pPr>
            <w:r>
              <w:t xml:space="preserve">Medium to high, because purity requirements for magnets are strict (&gt;99.5%) and impurities such as Ca/Mg reduce recovery efficiency and purity, potentially requiring additional polishing steps.</w:t>
            </w:r>
          </w:p>
        </w:tc>
        <w:tc>
          <w:tcPr/>
          <w:p>
            <w:pPr>
              <w:pStyle w:val="Compact"/>
            </w:pPr>
            <w:r>
              <w:t xml:space="preserve">Mitigate by measuring matrix composition and designing pretreatment and pH windows; profitability and performance are explicitly driven by feedstock composition and pretreatment costs. Early indicator: rising Ca/Mg levels correlating with product purity drift.</w:t>
            </w:r>
          </w:p>
        </w:tc>
      </w:tr>
      <w:tr>
        <w:tc>
          <w:tcPr/>
          <w:p>
            <w:pPr>
              <w:pStyle w:val="Compact"/>
            </w:pPr>
            <w:r>
              <w:t xml:space="preserve">Biosorbent regeneration losses limiting lifecycle economics</w:t>
            </w:r>
          </w:p>
        </w:tc>
        <w:tc>
          <w:tcPr/>
          <w:p>
            <w:pPr>
              <w:pStyle w:val="Compact"/>
            </w:pPr>
            <w:r>
              <w:t xml:space="preserve">Technology</w:t>
            </w:r>
          </w:p>
        </w:tc>
        <w:tc>
          <w:tcPr/>
          <w:p>
            <w:pPr>
              <w:pStyle w:val="Compact"/>
            </w:pPr>
            <w:r>
              <w:t xml:space="preserve">Medium to high, because acid washes can reduce adsorption capacity by ~50% and reuse cycles may be limited depending on sorbent system.</w:t>
            </w:r>
          </w:p>
        </w:tc>
        <w:tc>
          <w:tcPr/>
          <w:p>
            <w:pPr>
              <w:pStyle w:val="Compact"/>
            </w:pPr>
            <w:r>
              <w:t xml:space="preserve">Medium, because fewer cycles increase unit cost and waste generation from spent biomass/sorbent handling.</w:t>
            </w:r>
          </w:p>
        </w:tc>
        <w:tc>
          <w:tcPr/>
          <w:p>
            <w:pPr>
              <w:pStyle w:val="Compact"/>
            </w:pPr>
            <w:r>
              <w:t xml:space="preserve">Design low-damage regeneration chemistry and track capacity decay per cycle; incorporate desorption to extend sorbent life where feasible (noted as an objective in continuous bioremoval systems). Early indicator: cycle-to-cycle capacity loss exceeding modeled thresholds (e.g., 10–20% per cycle).</w:t>
            </w:r>
          </w:p>
        </w:tc>
      </w:tr>
      <w:tr>
        <w:tc>
          <w:tcPr/>
          <w:p>
            <w:pPr>
              <w:pStyle w:val="Compact"/>
            </w:pPr>
            <w:r>
              <w:t xml:space="preserve">Compliance and permitting delays for onsite systems</w:t>
            </w:r>
          </w:p>
        </w:tc>
        <w:tc>
          <w:tcPr/>
          <w:p>
            <w:pPr>
              <w:pStyle w:val="Compact"/>
            </w:pPr>
            <w:r>
              <w:t xml:space="preserve">Operational</w:t>
            </w:r>
          </w:p>
        </w:tc>
        <w:tc>
          <w:tcPr/>
          <w:p>
            <w:pPr>
              <w:pStyle w:val="Compact"/>
            </w:pPr>
            <w:r>
              <w:t xml:space="preserve">Medium, because permit and compliance expenses are cited at 6–18 months for major projects, and EU permitting emphasizes monitoring and BAT alignment.</w:t>
            </w:r>
          </w:p>
        </w:tc>
        <w:tc>
          <w:tcPr/>
          <w:p>
            <w:pPr>
              <w:pStyle w:val="Compact"/>
            </w:pPr>
            <w:r>
              <w:t xml:space="preserve">Medium to high, because delays reduce time-to-revenue and may miss customer shutdown windows for retrofits, increasing installed cost.</w:t>
            </w:r>
          </w:p>
        </w:tc>
        <w:tc>
          <w:tcPr/>
          <w:p>
            <w:pPr>
              <w:pStyle w:val="Compact"/>
            </w:pPr>
            <w:r>
              <w:t xml:space="preserve">Pilot under temporary derogations for emerging techniques where available and build monitoring plans into designs. Early indicator: extended data requests or unclear permit applicability for indirect discharges.</w:t>
            </w:r>
          </w:p>
        </w:tc>
      </w:tr>
      <w:tr>
        <w:tc>
          <w:tcPr/>
          <w:p>
            <w:pPr>
              <w:pStyle w:val="Compact"/>
            </w:pPr>
            <w:r>
              <w:t xml:space="preserve">REE price declines reduce recovery attractiveness</w:t>
            </w:r>
          </w:p>
        </w:tc>
        <w:tc>
          <w:tcPr/>
          <w:p>
            <w:pPr>
              <w:pStyle w:val="Compact"/>
            </w:pPr>
            <w:r>
              <w:t xml:space="preserve">Market</w:t>
            </w:r>
          </w:p>
        </w:tc>
        <w:tc>
          <w:tcPr/>
          <w:p>
            <w:pPr>
              <w:pStyle w:val="Compact"/>
            </w:pPr>
            <w:r>
              <w:t xml:space="preserve">Medium, because depressed rare earth prices are cited as a challenge for economic viability of processors and profitability in China is described as being squeezed at low prices.</w:t>
            </w:r>
          </w:p>
        </w:tc>
        <w:tc>
          <w:tcPr/>
          <w:p>
            <w:pPr>
              <w:pStyle w:val="Compact"/>
            </w:pPr>
            <w:r>
              <w:t xml:space="preserve">High, because multiple sources state recycling economics can be worse than recovered value, and price declines can make recycling “less attractive.”</w:t>
            </w:r>
          </w:p>
        </w:tc>
        <w:tc>
          <w:tcPr/>
          <w:p>
            <w:pPr>
              <w:pStyle w:val="Compact"/>
            </w:pPr>
            <w:r>
              <w:t xml:space="preserve">Structure contracts around compliance savings and supply-security value (not only recovered REE value), and target customers already paying 10–30% premiums for non-China supply. Early indicator: widening spread between processing cost ($15–35/kg) and REE product price benchmarks.</w:t>
            </w:r>
          </w:p>
        </w:tc>
      </w:tr>
      <w:tr>
        <w:tc>
          <w:tcPr/>
          <w:p>
            <w:pPr>
              <w:pStyle w:val="Compact"/>
            </w:pPr>
            <w:r>
              <w:t xml:space="preserve">Competition from incumbents and cheap Chinese supply</w:t>
            </w:r>
          </w:p>
        </w:tc>
        <w:tc>
          <w:tcPr/>
          <w:p>
            <w:pPr>
              <w:pStyle w:val="Compact"/>
            </w:pPr>
            <w:r>
              <w:t xml:space="preserve">Market</w:t>
            </w:r>
          </w:p>
        </w:tc>
        <w:tc>
          <w:tcPr/>
          <w:p>
            <w:pPr>
              <w:pStyle w:val="Compact"/>
            </w:pPr>
            <w:r>
              <w:t xml:space="preserve">High, because recycled/local NdFeB magnets are cited as unable to compete on price with cheap Chinese imports, and Chinese-made NdFeB is expected to be 20–30% cheaper than nascent U.S.-made magnets in one source.</w:t>
            </w:r>
          </w:p>
        </w:tc>
        <w:tc>
          <w:tcPr/>
          <w:p>
            <w:pPr>
              <w:pStyle w:val="Compact"/>
            </w:pPr>
            <w:r>
              <w:t xml:space="preserve">High, because price undercutting can delay customer adoption even if the technology works, making commercial viability the limiting factor for recycling scale-up in some analyses.</w:t>
            </w:r>
          </w:p>
        </w:tc>
        <w:tc>
          <w:tcPr/>
          <w:p>
            <w:pPr>
              <w:pStyle w:val="Compact"/>
            </w:pPr>
            <w:r>
              <w:t xml:space="preserve">Target segments where premiums exist (defense; supply-secure OEM programs) and emphasize compliance cost avoidance and hazardous sludge reduction (high sludge disposal costs are cited). Early indicator: procurement decisions shifting back to lowest-cost imports after export controls ease.</w:t>
            </w:r>
          </w:p>
        </w:tc>
      </w:tr>
      <w:tr>
        <w:tc>
          <w:tcPr/>
          <w:p>
            <w:pPr>
              <w:pStyle w:val="Compact"/>
            </w:pPr>
            <w:r>
              <w:t xml:space="preserve">Demand erosion from magnet-free motors or reduced-REE designs</w:t>
            </w:r>
          </w:p>
        </w:tc>
        <w:tc>
          <w:tcPr/>
          <w:p>
            <w:pPr>
              <w:pStyle w:val="Compact"/>
            </w:pPr>
            <w:r>
              <w:t xml:space="preserve">Strategic</w:t>
            </w:r>
          </w:p>
        </w:tc>
        <w:tc>
          <w:tcPr/>
          <w:p>
            <w:pPr>
              <w:pStyle w:val="Compact"/>
            </w:pPr>
            <w:r>
              <w:t xml:space="preserve">Medium, because automakers are exploring magnet-free alternatives and designs that reduce REE intensity, though permanent-magnet motors still dominate current EV production.</w:t>
            </w:r>
          </w:p>
        </w:tc>
        <w:tc>
          <w:tcPr/>
          <w:p>
            <w:pPr>
              <w:pStyle w:val="Compact"/>
            </w:pPr>
            <w:r>
              <w:t xml:space="preserve">Medium, because reduced Nd/Dy intensity reduces recoverable mass per unit and shrinks addressable market over time, even if absolute magnet demand grows.</w:t>
            </w:r>
          </w:p>
        </w:tc>
        <w:tc>
          <w:tcPr/>
          <w:p>
            <w:pPr>
              <w:pStyle w:val="Compact"/>
            </w:pPr>
            <w:r>
              <w:t xml:space="preserve">Focus on near-term “new scrap” feedstocks (manufacturing waste at ~30 wt%) that exist regardless of end-of-life flows, and diversify into adjacent dilute REE wastewater sources if needed (wastewater recovery is framed as economically attractive in some contexts). Early indicator: OEM procurement shifting to alternative motor architectures at scale.</w:t>
            </w:r>
          </w:p>
        </w:tc>
      </w:tr>
    </w:tbl>
    <w:bookmarkEnd w:id="40"/>
    <w:bookmarkStart w:id="41" w:name="Xe913a74aac87016146ecd24db9af127a1357af9"/>
    <w:p>
      <w:pPr>
        <w:pStyle w:val="Heading3"/>
      </w:pPr>
      <w:r>
        <w:t xml:space="preserve">Mitigation patterns from analogous deployments</w:t>
      </w:r>
    </w:p>
    <w:p>
      <w:pPr>
        <w:pStyle w:val="FirstParagraph"/>
      </w:pPr>
      <w:r>
        <w:t xml:space="preserve">Mining-sector bioleaching provides a concrete scale-up precedent: BioCOP progressed through staged development from 10 L pilot trials to a 200 t/day prototype plant, and the source emphasizes that staged development helps define scale-up criteria and mitigates commercialization risks. This staged pattern is directly transferrable to biological REE recovery for magnet wastes, implying that a “10–1000 L → skid pilot → full-scale module” trajectory with explicit go/no-go gates is likely to be required for conservative industrial customers.</w:t>
      </w:r>
    </w:p>
    <w:p>
      <w:pPr>
        <w:pStyle w:val="BodyText"/>
      </w:pPr>
      <w:r>
        <w:t xml:space="preserve">Long-lived treatment liabilities also illustrate why customers may value solutions that reduce perpetual O&amp;M burdens: a remediation case study describes a lime-neutralization/high-density sludge plant operating “in perpetuity,” which implies that any technology that meaningfully reduces sludge volumes or enables source control can be attractive even if initial costs are higher.</w:t>
      </w:r>
    </w:p>
    <w:bookmarkEnd w:id="41"/>
    <w:bookmarkEnd w:id="42"/>
    <w:bookmarkStart w:id="43" w:name="conclusions"/>
    <w:p>
      <w:pPr>
        <w:pStyle w:val="Heading2"/>
      </w:pPr>
      <w:r>
        <w:t xml:space="preserve">Conclusions</w:t>
      </w:r>
    </w:p>
    <w:p>
      <w:pPr>
        <w:pStyle w:val="FirstParagraph"/>
      </w:pPr>
      <w:r>
        <w:t xml:space="preserve">The most defensible near-term customer beachhead for biological REE recovery, based on the provided evidence, is NdFeB manufacturing “new scrap” streams, because manufacturing waste is estimated at ~30 wt% of production and includes readily collectable categories such as grinding powders and sludge. A second defensible beachhead is supply-security-driven ecosystems (defense and automotive) that are already paying 10–30% premiums for non-China magnets and are supported by significant public funding to build domestic capacity, creating potential tolerance for higher-cost recovery solutions if they improve resilience or compliance outcomes.</w:t>
      </w:r>
    </w:p>
    <w:p>
      <w:pPr>
        <w:pStyle w:val="BodyText"/>
      </w:pPr>
      <w:r>
        <w:t xml:space="preserve">However, the evidence also indicates that commercial viability versus low-cost Chinese supply is often the binding constraint, and that biological approaches face high technical uncertainty in scale-up and in complex real matrices, requiring pilots, staged development, and careful contract structures that monetize compliance savings and supply-security premiums rather than relying on REE commodity prices alone. Any market-entry plan should therefore be organized around (1) rapid sampling and matrix characterization (to validate concentration and interfering ions), (2) pilots designed to satisfy permitting and monitoring regimes, and (3) business models that share risk and link fees to measurable compliance and recovery outcomes, consistent with the recurring emphasis on proof-of-concept, monitoring, and lifecycle cost considerations in industrial wastewater decision-making.</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2026-02-01T13:59:16Z</dcterms:created>
  <dcterms:modified xsi:type="dcterms:W3CDTF">2026-02-01T13:59:16Z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