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00"/>
        <w:jc w:val="center"/>
      </w:pPr>
      <w:r>
        <w:rPr>
          <w:rFonts w:ascii="Arial" w:cs="Arial" w:eastAsia="Arial" w:hAnsi="Arial"/>
          <w:b/>
          <w:bCs/>
          <w:color w:val="1F4E79"/>
          <w:sz w:val="56"/>
          <w:szCs w:val="56"/>
        </w:rPr>
        <w:t xml:space="preserve">BUSINESS PLAN</w:t>
      </w:r>
    </w:p>
    <w:p>
      <w:pPr>
        <w:spacing w:after="80"/>
        <w:jc w:val="center"/>
      </w:pPr>
      <w:r>
        <w:rPr>
          <w:rFonts w:ascii="Arial" w:cs="Arial" w:eastAsia="Arial" w:hAnsi="Arial"/>
          <w:b/>
          <w:bCs/>
          <w:color w:val="2E75B6"/>
          <w:sz w:val="72"/>
          <w:szCs w:val="72"/>
        </w:rPr>
        <w:t xml:space="preserve">ParkGuard AI</w:t>
      </w:r>
    </w:p>
    <w:p>
      <w:pPr>
        <w:spacing w:after="300"/>
        <w:jc w:val="center"/>
      </w:pPr>
      <w:r>
        <w:rPr>
          <w:rFonts w:ascii="Arial" w:cs="Arial" w:eastAsia="Arial" w:hAnsi="Arial"/>
          <w:i/>
          <w:iCs/>
          <w:color w:val="595959"/>
          <w:sz w:val="26"/>
          <w:szCs w:val="26"/>
        </w:rPr>
        <w:t xml:space="preserve">DVR-Based Parking Occupancy Detection &amp; Dual-Channel Alert System</w:t>
      </w:r>
    </w:p>
    <w:p>
      <w:pPr>
        <w:pBdr>
          <w:bottom w:val="single" w:color="2E75B6" w:sz="12" w:space="1"/>
        </w:pBdr>
        <w:spacing w:after="300"/>
        <w:jc w:val="center"/>
      </w:pPr>
    </w:p>
    <w:p>
      <w:pPr>
        <w:spacing w:after="200"/>
      </w:pPr>
    </w:p>
    <w:p>
      <w:pPr>
        <w:spacing w:after="100"/>
        <w:jc w:val="center"/>
      </w:pPr>
      <w:r>
        <w:rPr>
          <w:rFonts w:ascii="Arial" w:cs="Arial" w:eastAsia="Arial" w:hAnsi="Arial"/>
          <w:sz w:val="24"/>
          <w:szCs w:val="24"/>
        </w:rPr>
        <w:t xml:space="preserve">Author:  Yair Levi</w:t>
      </w:r>
    </w:p>
    <w:p>
      <w:pPr>
        <w:spacing w:after="100"/>
        <w:jc w:val="center"/>
      </w:pPr>
      <w:r>
        <w:rPr>
          <w:rFonts w:ascii="Arial" w:cs="Arial" w:eastAsia="Arial" w:hAnsi="Arial"/>
          <w:sz w:val="24"/>
          <w:szCs w:val="24"/>
        </w:rPr>
        <w:t xml:space="preserve">Moderator:  Segal Yoram, PhD</w:t>
      </w:r>
    </w:p>
    <w:p>
      <w:pPr>
        <w:spacing w:after="100"/>
        <w:jc w:val="center"/>
      </w:pPr>
      <w:r>
        <w:rPr>
          <w:rFonts w:ascii="Arial" w:cs="Arial" w:eastAsia="Arial" w:hAnsi="Arial"/>
          <w:sz w:val="24"/>
          <w:szCs w:val="24"/>
        </w:rPr>
        <w:t xml:space="preserve">Date:  May 2025</w:t>
      </w:r>
    </w:p>
    <w:p>
      <w:pPr>
        <w:spacing w:after="200"/>
        <w:jc w:val="center"/>
      </w:pPr>
      <w:r>
        <w:rPr>
          <w:rFonts w:ascii="Arial" w:cs="Arial" w:eastAsia="Arial" w:hAnsi="Arial"/>
          <w:b/>
          <w:bCs/>
          <w:color w:val="C55A11"/>
          <w:sz w:val="24"/>
          <w:szCs w:val="24"/>
        </w:rPr>
        <w:t xml:space="preserve">Version:  3.0 — Final Revised per Expert Committee Second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BFBF" w:sz="4"/>
              <w:left w:val="single" w:color="BFBFBF" w:sz="4"/>
              <w:bottom w:val="single" w:color="BFBFBF" w:sz="4"/>
              <w:right w:val="single" w:color="BFBFBF" w:sz="4"/>
            </w:tcBorders>
            <w:shd w:fill="FCE4D6" w:val="clear"/>
            <w:tcMar>
              <w:top w:type="dxa" w:w="120"/>
              <w:left w:type="dxa" w:w="160"/>
              <w:bottom w:type="dxa" w:w="120"/>
              <w:right w:type="dxa" w:w="160"/>
            </w:tcMar>
          </w:tcPr>
          <w:p>
            <w:pPr>
              <w:spacing w:after="60"/>
            </w:pPr>
            <w:r>
              <w:rPr>
                <w:rFonts w:ascii="Arial" w:cs="Arial" w:eastAsia="Arial" w:hAnsi="Arial"/>
                <w:sz w:val="22"/>
                <w:szCs w:val="22"/>
              </w:rPr>
              <w:t xml:space="preserve">VERSION 3.0 addresses all nine new issues (N-1 through N-8) identified by the Expert</w:t>
            </w:r>
          </w:p>
          <w:p>
            <w:pPr>
              <w:spacing w:after="60"/>
            </w:pPr>
            <w:r>
              <w:rPr>
                <w:rFonts w:ascii="Arial" w:cs="Arial" w:eastAsia="Arial" w:hAnsi="Arial"/>
                <w:sz w:val="22"/>
                <w:szCs w:val="22"/>
              </w:rPr>
              <w:t xml:space="preserve">Committee in their Second Review of v2.0. All 15 v1.0 issues and all 9 v2.0 issues are</w:t>
            </w:r>
          </w:p>
          <w:p>
            <w:pPr>
              <w:spacing w:after="60"/>
            </w:pPr>
            <w:r>
              <w:rPr>
                <w:rFonts w:ascii="Arial" w:cs="Arial" w:eastAsia="Arial" w:hAnsi="Arial"/>
                <w:sz w:val="22"/>
                <w:szCs w:val="22"/>
              </w:rPr>
              <w:t xml:space="preserve">now resolved. Six data-driven charts have been added throughout the document.</w:t>
            </w:r>
          </w:p>
          <w:p>
            <w:pPr>
              <w:spacing w:after="60"/>
            </w:pPr>
            <w:r>
              <w:rPr>
                <w:rFonts w:ascii="Arial" w:cs="Arial" w:eastAsia="Arial" w:hAnsi="Arial"/>
                <w:sz w:val="22"/>
                <w:szCs w:val="22"/>
              </w:rPr>
              <w:t xml:space="preserve">Committee verdict on v2.0: APPROVED for internal use — pending N-1 and N-2 resolution.</w:t>
            </w:r>
          </w:p>
          <w:p>
            <w:pPr>
              <w:spacing w:after="60"/>
            </w:pPr>
            <w:r>
              <w:rPr>
                <w:rFonts w:ascii="Arial" w:cs="Arial" w:eastAsia="Arial" w:hAnsi="Arial"/>
                <w:sz w:val="22"/>
                <w:szCs w:val="22"/>
              </w:rPr>
              <w:t xml:space="preserve">Version 3.0 resolves N-1 and N-2 and is submitted for full external approval.</w:t>
            </w:r>
          </w:p>
        </w:tc>
      </w:tr>
    </w:tbl>
    <w:p>
      <w:r>
        <w:br w:type="page"/>
      </w:r>
    </w:p>
    <w:p>
      <w:pPr>
        <w:pStyle w:val="Heading1"/>
        <w:spacing w:after="80" w:before="240"/>
      </w:pPr>
      <w:r>
        <w:rPr>
          <w:rFonts w:ascii="Arial" w:cs="Arial" w:eastAsia="Arial" w:hAnsi="Arial"/>
          <w:b/>
          <w:bCs/>
          <w:color w:val="1F4E79"/>
          <w:sz w:val="34"/>
          <w:szCs w:val="34"/>
        </w:rPr>
        <w:t xml:space="preserve">Revision Summary  Version 3.0 — Changes Addressing Expert Committee Second Review</w:t>
      </w:r>
    </w:p>
    <w:p>
      <w:pPr>
        <w:pBdr>
          <w:bottom w:val="single" w:color="2E75B6" w:sz="8" w:space="1"/>
        </w:pBdr>
        <w:spacing w:after="160"/>
      </w:pPr>
    </w:p>
    <w:p>
      <w:pPr>
        <w:spacing w:after="120" w:line="276"/>
      </w:pPr>
      <w:r>
        <w:rPr>
          <w:rFonts w:ascii="Arial" w:cs="Arial" w:eastAsia="Arial" w:hAnsi="Arial"/>
          <w:b/>
          <w:bCs/>
          <w:sz w:val="22"/>
          <w:szCs w:val="22"/>
        </w:rPr>
        <w:t xml:space="preserve">v2.0 Issue Resolution Scorecard (confirmed by Expert Committee Second Review):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400"/>
        <w:gridCol w:w="3760"/>
      </w:tblGrid>
      <w:tr>
        <w:tc>
          <w:tcPr>
            <w:tcW w:type="dxa" w:w="1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Issue ID</w:t>
            </w:r>
          </w:p>
        </w:tc>
        <w:tc>
          <w:tcPr>
            <w:tcW w:type="dxa" w:w="3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Description</w:t>
            </w:r>
          </w:p>
        </w:tc>
        <w:tc>
          <w:tcPr>
            <w:tcW w:type="dxa" w:w="1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Verdict</w:t>
            </w:r>
          </w:p>
        </w:tc>
        <w:tc>
          <w:tcPr>
            <w:tcW w:type="dxa" w:w="37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Committee Confirmation</w:t>
            </w:r>
          </w:p>
        </w:tc>
      </w:tr>
      <w:tr>
        <w:tc>
          <w:tcPr>
            <w:tcW w:type="dxa" w:w="1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F-1 🔴</w:t>
            </w:r>
          </w:p>
        </w:tc>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Revenue inconsistency</w:t>
            </w:r>
          </w:p>
        </w:tc>
        <w:tc>
          <w:tcPr>
            <w:tcW w:type="dxa" w:w="140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 RESOLVED</w:t>
            </w:r>
          </w:p>
        </w:tc>
        <w:tc>
          <w:tcPr>
            <w:tcW w:type="dxa" w:w="3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Numbers consistent throughout — unified model</w:t>
            </w:r>
          </w:p>
        </w:tc>
      </w:tr>
      <w:tr>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F-2 🔴</w:t>
            </w:r>
          </w:p>
        </w:tc>
        <w:tc>
          <w:tcPr>
            <w:tcW w:type="dxa" w:w="3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Net position inconsistency</w:t>
            </w:r>
          </w:p>
        </w:tc>
        <w:tc>
          <w:tcPr>
            <w:tcW w:type="dxa" w:w="140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 RESOLVED</w:t>
            </w:r>
          </w:p>
        </w:tc>
        <w:tc>
          <w:tcPr>
            <w:tcW w:type="dxa" w:w="3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Single set of net positions throughout</w:t>
            </w:r>
          </w:p>
        </w:tc>
      </w:tr>
      <w:tr>
        <w:tc>
          <w:tcPr>
            <w:tcW w:type="dxa" w:w="1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M-1 🔴</w:t>
            </w:r>
          </w:p>
        </w:tc>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73% Telegram claim unsubstantiated</w:t>
            </w:r>
          </w:p>
        </w:tc>
        <w:tc>
          <w:tcPr>
            <w:tcW w:type="dxa" w:w="140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 RESOLVED</w:t>
            </w:r>
          </w:p>
        </w:tc>
        <w:tc>
          <w:tcPr>
            <w:tcW w:type="dxa" w:w="3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Labelled PRELIMINARY ESTIMATE pending Appendix B</w:t>
            </w:r>
          </w:p>
        </w:tc>
      </w:tr>
      <w:tr>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M-2 🔴</w:t>
            </w:r>
          </w:p>
        </w:tc>
        <w:tc>
          <w:tcPr>
            <w:tcW w:type="dxa" w:w="3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SAM single-point unverified</w:t>
            </w:r>
          </w:p>
        </w:tc>
        <w:tc>
          <w:tcPr>
            <w:tcW w:type="dxa" w:w="140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 RESOLVED</w:t>
            </w:r>
          </w:p>
        </w:tc>
        <w:tc>
          <w:tcPr>
            <w:tcW w:type="dxa" w:w="3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SAM sensitivity table: $26M–$134M range</w:t>
            </w:r>
          </w:p>
        </w:tc>
      </w:tr>
      <w:tr>
        <w:tc>
          <w:tcPr>
            <w:tcW w:type="dxa" w:w="1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M-3 🔴</w:t>
            </w:r>
          </w:p>
        </w:tc>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SOM calculation circular</w:t>
            </w:r>
          </w:p>
        </w:tc>
        <w:tc>
          <w:tcPr>
            <w:tcW w:type="dxa" w:w="140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 RESOLVED</w:t>
            </w:r>
          </w:p>
        </w:tc>
        <w:tc>
          <w:tcPr>
            <w:tcW w:type="dxa" w:w="3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SOM derived from first principles independently</w:t>
            </w:r>
          </w:p>
        </w:tc>
      </w:tr>
      <w:tr>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W-1 🟠</w:t>
            </w:r>
          </w:p>
        </w:tc>
        <w:tc>
          <w:tcPr>
            <w:tcW w:type="dxa" w:w="3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Patent search not conducted</w:t>
            </w:r>
          </w:p>
        </w:tc>
        <w:tc>
          <w:tcPr>
            <w:tcW w:type="dxa" w:w="140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 RESOLVED</w:t>
            </w:r>
          </w:p>
        </w:tc>
        <w:tc>
          <w:tcPr>
            <w:tcW w:type="dxa" w:w="3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Appendix D: 3 claim areas, FTO recommendation</w:t>
            </w:r>
          </w:p>
        </w:tc>
      </w:tr>
      <w:tr>
        <w:tc>
          <w:tcPr>
            <w:tcW w:type="dxa" w:w="1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W-2 🟠</w:t>
            </w:r>
          </w:p>
        </w:tc>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Hikvision threat underdeveloped</w:t>
            </w:r>
          </w:p>
        </w:tc>
        <w:tc>
          <w:tcPr>
            <w:tcW w:type="dxa" w:w="140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 RESOLVED</w:t>
            </w:r>
          </w:p>
        </w:tc>
        <w:tc>
          <w:tcPr>
            <w:tcW w:type="dxa" w:w="3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Full sub-section: timeline, M&amp;A, moat defence</w:t>
            </w:r>
          </w:p>
        </w:tc>
      </w:tr>
      <w:tr>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W-3 🟠</w:t>
            </w:r>
          </w:p>
        </w:tc>
        <w:tc>
          <w:tcPr>
            <w:tcW w:type="dxa" w:w="3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Tier boundary unclear</w:t>
            </w:r>
          </w:p>
        </w:tc>
        <w:tc>
          <w:tcPr>
            <w:tcW w:type="dxa" w:w="140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 RESOLVED</w:t>
            </w:r>
          </w:p>
        </w:tc>
        <w:tc>
          <w:tcPr>
            <w:tcW w:type="dxa" w:w="3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Community=JSON only; Professional=CSV+dashboard</w:t>
            </w:r>
          </w:p>
        </w:tc>
      </w:tr>
      <w:tr>
        <w:tc>
          <w:tcPr>
            <w:tcW w:type="dxa" w:w="1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W-4 🟠</w:t>
            </w:r>
          </w:p>
        </w:tc>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Y3 acceleration unexplained</w:t>
            </w:r>
          </w:p>
        </w:tc>
        <w:tc>
          <w:tcPr>
            <w:tcW w:type="dxa" w:w="140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 RESOLVED</w:t>
            </w:r>
          </w:p>
        </w:tc>
        <w:tc>
          <w:tcPr>
            <w:tcW w:type="dxa" w:w="3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BMC partnership catalyst (Month 19) fully narratised</w:t>
            </w:r>
          </w:p>
        </w:tc>
      </w:tr>
      <w:tr>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W-5 🟠</w:t>
            </w:r>
          </w:p>
        </w:tc>
        <w:tc>
          <w:tcPr>
            <w:tcW w:type="dxa" w:w="3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Maintenance costs flat</w:t>
            </w:r>
          </w:p>
        </w:tc>
        <w:tc>
          <w:tcPr>
            <w:tcW w:type="dxa" w:w="140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 RESOLVED</w:t>
            </w:r>
          </w:p>
        </w:tc>
        <w:tc>
          <w:tcPr>
            <w:tcW w:type="dxa" w:w="3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Scaling OpEx: $6K→$14K→$22K/mo</w:t>
            </w:r>
          </w:p>
        </w:tc>
      </w:tr>
      <w:tr>
        <w:tc>
          <w:tcPr>
            <w:tcW w:type="dxa" w:w="1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S-1 🟡</w:t>
            </w:r>
          </w:p>
        </w:tc>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No architecture diagram</w:t>
            </w:r>
          </w:p>
        </w:tc>
        <w:tc>
          <w:tcPr>
            <w:tcW w:type="dxa" w:w="1400"/>
            <w:tcBorders>
              <w:top w:val="single" w:color="BFBFBF" w:sz="4"/>
              <w:left w:val="single" w:color="BFBFBF" w:sz="4"/>
              <w:bottom w:val="single" w:color="BFBFBF" w:sz="4"/>
              <w:right w:val="single" w:color="BFBFBF" w:sz="4"/>
            </w:tcBorders>
            <w:shd w:fill="FFF2CC"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 PARTIAL</w:t>
            </w:r>
          </w:p>
        </w:tc>
        <w:tc>
          <w:tcPr>
            <w:tcW w:type="dxa" w:w="3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ASCII diagram added; vector diagram before Month 7</w:t>
            </w:r>
          </w:p>
        </w:tc>
      </w:tr>
      <w:tr>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S-2 🟡</w:t>
            </w:r>
          </w:p>
        </w:tc>
        <w:tc>
          <w:tcPr>
            <w:tcW w:type="dxa" w:w="3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DVR estimate unverified</w:t>
            </w:r>
          </w:p>
        </w:tc>
        <w:tc>
          <w:tcPr>
            <w:tcW w:type="dxa" w:w="140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 RESOLVED</w:t>
            </w:r>
          </w:p>
        </w:tc>
        <w:tc>
          <w:tcPr>
            <w:tcW w:type="dxa" w:w="3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Labelled ESTIMATED; added to Appendix B</w:t>
            </w:r>
          </w:p>
        </w:tc>
      </w:tr>
      <w:tr>
        <w:tc>
          <w:tcPr>
            <w:tcW w:type="dxa" w:w="1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S-3 🟡</w:t>
            </w:r>
          </w:p>
        </w:tc>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I-2 and I-4 completable now</w:t>
            </w:r>
          </w:p>
        </w:tc>
        <w:tc>
          <w:tcPr>
            <w:tcW w:type="dxa" w:w="140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 RESOLVED</w:t>
            </w:r>
          </w:p>
        </w:tc>
        <w:tc>
          <w:tcPr>
            <w:tcW w:type="dxa" w:w="3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Both labelled COMPLETABLE NOW with instructions</w:t>
            </w:r>
          </w:p>
        </w:tc>
      </w:tr>
      <w:tr>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S-4 🟡</w:t>
            </w:r>
          </w:p>
        </w:tc>
        <w:tc>
          <w:tcPr>
            <w:tcW w:type="dxa" w:w="3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R-9 key-person risk missing</w:t>
            </w:r>
          </w:p>
        </w:tc>
        <w:tc>
          <w:tcPr>
            <w:tcW w:type="dxa" w:w="140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 RESOLVED</w:t>
            </w:r>
          </w:p>
        </w:tc>
        <w:tc>
          <w:tcPr>
            <w:tcW w:type="dxa" w:w="3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R-9 added: L=4, I=5, five mitigation actions</w:t>
            </w:r>
          </w:p>
        </w:tc>
      </w:tr>
      <w:tr>
        <w:tc>
          <w:tcPr>
            <w:tcW w:type="dxa" w:w="1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S-5 🟡</w:t>
            </w:r>
          </w:p>
        </w:tc>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Academic credibility buried</w:t>
            </w:r>
          </w:p>
        </w:tc>
        <w:tc>
          <w:tcPr>
            <w:tcW w:type="dxa" w:w="140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 RESOLVED</w:t>
            </w:r>
          </w:p>
        </w:tc>
        <w:tc>
          <w:tcPr>
            <w:tcW w:type="dxa" w:w="3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Now in Ch.1, Ch.6, and Ch.15 opening sentence</w:t>
            </w:r>
          </w:p>
        </w:tc>
      </w:tr>
    </w:tbl>
    <w:p>
      <w:pPr>
        <w:spacing w:after="200"/>
      </w:pPr>
    </w:p>
    <w:p>
      <w:pPr>
        <w:spacing w:after="120" w:line="276"/>
      </w:pPr>
      <w:r>
        <w:rPr>
          <w:rFonts w:ascii="Arial" w:cs="Arial" w:eastAsia="Arial" w:hAnsi="Arial"/>
          <w:b/>
          <w:bCs/>
          <w:sz w:val="22"/>
          <w:szCs w:val="22"/>
        </w:rPr>
        <w:t xml:space="preserve">v3.0 New Changes (addressing N-1 through N-8 + additions):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100"/>
        <w:gridCol w:w="2560"/>
        <w:gridCol w:w="4100"/>
      </w:tblGrid>
      <w:tr>
        <w:tc>
          <w:tcPr>
            <w:tcW w:type="dxa" w:w="7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Issue</w:t>
            </w:r>
          </w:p>
        </w:tc>
        <w:tc>
          <w:tcPr>
            <w:tcW w:type="dxa" w:w="9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Priority</w:t>
            </w:r>
          </w:p>
        </w:tc>
        <w:tc>
          <w:tcPr>
            <w:tcW w:type="dxa" w:w="11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Chapter</w:t>
            </w:r>
          </w:p>
        </w:tc>
        <w:tc>
          <w:tcPr>
            <w:tcW w:type="dxa" w:w="25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Issue Description</w:t>
            </w:r>
          </w:p>
        </w:tc>
        <w:tc>
          <w:tcPr>
            <w:tcW w:type="dxa" w:w="41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Resolution in v3.0</w:t>
            </w:r>
          </w:p>
        </w:tc>
      </w:tr>
      <w:tr>
        <w:tc>
          <w:tcPr>
            <w:tcW w:type="dxa" w:w="700"/>
            <w:tcBorders>
              <w:top w:val="single" w:color="BFBFBF" w:sz="4"/>
              <w:left w:val="single" w:color="BFBFBF" w:sz="4"/>
              <w:bottom w:val="single" w:color="BFBFBF" w:sz="4"/>
              <w:right w:val="single" w:color="BFBFBF" w:sz="4"/>
            </w:tcBorders>
            <w:shd w:fill="FCE4D6"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N-1 🔴</w:t>
            </w:r>
          </w:p>
        </w:tc>
        <w:tc>
          <w:tcPr>
            <w:tcW w:type="dxa" w:w="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CRITICAL</w:t>
            </w:r>
          </w:p>
        </w:tc>
        <w:tc>
          <w:tcPr>
            <w:tcW w:type="dxa" w:w="1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§1+§10</w:t>
            </w:r>
          </w:p>
        </w:tc>
        <w:tc>
          <w:tcPr>
            <w:tcW w:type="dxa" w:w="25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Three-year model shows no profitability in base case</w:t>
            </w:r>
          </w:p>
        </w:tc>
        <w:tc>
          <w:tcPr>
            <w:tcW w:type="dxa" w:w="4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Added: total investment needed ($192K), cumulative cash position table, what changes move break-even into 3-year window. Break-even waterfall chart added.</w:t>
            </w:r>
          </w:p>
        </w:tc>
      </w:tr>
      <w:tr>
        <w:tc>
          <w:tcPr>
            <w:tcW w:type="dxa" w:w="700"/>
            <w:tcBorders>
              <w:top w:val="single" w:color="BFBFBF" w:sz="4"/>
              <w:left w:val="single" w:color="BFBFBF" w:sz="4"/>
              <w:bottom w:val="single" w:color="BFBFBF" w:sz="4"/>
              <w:right w:val="single" w:color="BFBFBF" w:sz="4"/>
            </w:tcBorders>
            <w:shd w:fill="FCE4D6"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N-2 🔴</w:t>
            </w:r>
          </w:p>
        </w:tc>
        <w:tc>
          <w:tcPr>
            <w:tcW w:type="dxa" w:w="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CRITICAL</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§1+§10</w:t>
            </w:r>
          </w:p>
        </w:tc>
        <w:tc>
          <w:tcPr>
            <w:tcW w:type="dxa" w:w="2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Year 2 net position worse than Year 1</w:t>
            </w:r>
          </w:p>
        </w:tc>
        <w:tc>
          <w:tcPr>
            <w:tcW w:type="dxa" w:w="4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Added explicit Executive Summary narrative: 'Year 2 is the most capital-intensive year.' Explanation of BD hire + marketing scale-up cost drivers. Y2 financial chart annotated.</w:t>
            </w:r>
          </w:p>
        </w:tc>
      </w:tr>
      <w:tr>
        <w:tc>
          <w:tcPr>
            <w:tcW w:type="dxa" w:w="700"/>
            <w:tcBorders>
              <w:top w:val="single" w:color="BFBFBF" w:sz="4"/>
              <w:left w:val="single" w:color="BFBFBF" w:sz="4"/>
              <w:bottom w:val="single" w:color="BFBFBF" w:sz="4"/>
              <w:right w:val="single" w:color="BFBFBF" w:sz="4"/>
            </w:tcBorders>
            <w:shd w:fill="FFF2CC"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N-3 🟠</w:t>
            </w:r>
          </w:p>
        </w:tc>
        <w:tc>
          <w:tcPr>
            <w:tcW w:type="dxa" w:w="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WARNING</w:t>
            </w:r>
          </w:p>
        </w:tc>
        <w:tc>
          <w:tcPr>
            <w:tcW w:type="dxa" w:w="1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§9 FR-6</w:t>
            </w:r>
          </w:p>
        </w:tc>
        <w:tc>
          <w:tcPr>
            <w:tcW w:type="dxa" w:w="25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Community tier cross-channel gatekeeper illogical</w:t>
            </w:r>
          </w:p>
        </w:tc>
        <w:tc>
          <w:tcPr>
            <w:tcW w:type="dxa" w:w="4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FR-6 clarified: in Community tier (single channel), gatekeeper applies to that one channel, not cross-channel. Cross-channel logic only activates in Professional/Enterprise tiers.</w:t>
            </w:r>
          </w:p>
        </w:tc>
      </w:tr>
      <w:tr>
        <w:tc>
          <w:tcPr>
            <w:tcW w:type="dxa" w:w="700"/>
            <w:tcBorders>
              <w:top w:val="single" w:color="BFBFBF" w:sz="4"/>
              <w:left w:val="single" w:color="BFBFBF" w:sz="4"/>
              <w:bottom w:val="single" w:color="BFBFBF" w:sz="4"/>
              <w:right w:val="single" w:color="BFBFBF" w:sz="4"/>
            </w:tcBorders>
            <w:shd w:fill="FFF2CC"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N-4 🟠</w:t>
            </w:r>
          </w:p>
        </w:tc>
        <w:tc>
          <w:tcPr>
            <w:tcW w:type="dxa" w:w="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WARNING</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§10</w:t>
            </w:r>
          </w:p>
        </w:tc>
        <w:tc>
          <w:tcPr>
            <w:tcW w:type="dxa" w:w="2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Enterprise revenue drop v1→v2 unexplained</w:t>
            </w:r>
          </w:p>
        </w:tc>
        <w:tc>
          <w:tcPr>
            <w:tcW w:type="dxa" w:w="4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One sentence added to Revision Summary and Ch.10: 'Y1 Enterprise revenue corrected from $24,000 (v1.0) to $2,000 (v2.0) — v1.0 incorrectly assumed 1 enterprise site at $24,000; v2.0 corrects to 1 perpetual license at $2,000.'</w:t>
            </w:r>
          </w:p>
        </w:tc>
      </w:tr>
      <w:tr>
        <w:tc>
          <w:tcPr>
            <w:tcW w:type="dxa" w:w="700"/>
            <w:tcBorders>
              <w:top w:val="single" w:color="BFBFBF" w:sz="4"/>
              <w:left w:val="single" w:color="BFBFBF" w:sz="4"/>
              <w:bottom w:val="single" w:color="BFBFBF" w:sz="4"/>
              <w:right w:val="single" w:color="BFBFBF" w:sz="4"/>
            </w:tcBorders>
            <w:shd w:fill="FFF2CC"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N-5 🟠</w:t>
            </w:r>
          </w:p>
        </w:tc>
        <w:tc>
          <w:tcPr>
            <w:tcW w:type="dxa" w:w="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WARNING</w:t>
            </w:r>
          </w:p>
        </w:tc>
        <w:tc>
          <w:tcPr>
            <w:tcW w:type="dxa" w:w="1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§12</w:t>
            </w:r>
          </w:p>
        </w:tc>
        <w:tc>
          <w:tcPr>
            <w:tcW w:type="dxa" w:w="25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KSA entity requirement not addressed operationally</w:t>
            </w:r>
          </w:p>
        </w:tc>
        <w:tc>
          <w:tcPr>
            <w:tcW w:type="dxa" w:w="4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Revised MENA strategy: KSA B2G deferred to Phase 5. UAE private sector via UAE free zone entity (ADGM/DIFC) added as Phase 4 Middle East HQ option. KSA B2G no longer implied for Phase 4.</w:t>
            </w:r>
          </w:p>
        </w:tc>
      </w:tr>
      <w:tr>
        <w:tc>
          <w:tcPr>
            <w:tcW w:type="dxa" w:w="70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N-6 🟡</w:t>
            </w:r>
          </w:p>
        </w:tc>
        <w:tc>
          <w:tcPr>
            <w:tcW w:type="dxa" w:w="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SUGGEST</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w:t>
            </w:r>
          </w:p>
        </w:tc>
        <w:tc>
          <w:tcPr>
            <w:tcW w:type="dxa" w:w="2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Optimistic Y3 scenario missing from ExecSumm table</w:t>
            </w:r>
          </w:p>
        </w:tc>
        <w:tc>
          <w:tcPr>
            <w:tcW w:type="dxa" w:w="4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Y3 Optimistic (+$112,840) column added to Executive Summary financial table. Footnote explains optimistic assumptions.</w:t>
            </w:r>
          </w:p>
        </w:tc>
      </w:tr>
      <w:tr>
        <w:tc>
          <w:tcPr>
            <w:tcW w:type="dxa" w:w="70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N-7 🟡</w:t>
            </w:r>
          </w:p>
        </w:tc>
        <w:tc>
          <w:tcPr>
            <w:tcW w:type="dxa" w:w="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SUGGEST</w:t>
            </w:r>
          </w:p>
        </w:tc>
        <w:tc>
          <w:tcPr>
            <w:tcW w:type="dxa" w:w="1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 FR-2</w:t>
            </w:r>
          </w:p>
        </w:tc>
        <w:tc>
          <w:tcPr>
            <w:tcW w:type="dxa" w:w="25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 FPS creates dwell detection gap vs M-4 ±30s target</w:t>
            </w:r>
          </w:p>
        </w:tc>
        <w:tc>
          <w:tcPr>
            <w:tcW w:type="dxa" w:w="4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Added to FR-2: 'When first car detection occurs, sampling increases to 4 FPS for 60 seconds to establish precise arrival timestamp (±1s accuracy). Reverts to 1 FPS once car confirmed present.'</w:t>
            </w:r>
          </w:p>
        </w:tc>
      </w:tr>
      <w:tr>
        <w:tc>
          <w:tcPr>
            <w:tcW w:type="dxa" w:w="70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N-8 🟡</w:t>
            </w:r>
          </w:p>
        </w:tc>
        <w:tc>
          <w:tcPr>
            <w:tcW w:type="dxa" w:w="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SUGGEST</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§14</w:t>
            </w:r>
          </w:p>
        </w:tc>
        <w:tc>
          <w:tcPr>
            <w:tcW w:type="dxa" w:w="2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BD hire timeline vs BMC signing aggressive</w:t>
            </w:r>
          </w:p>
        </w:tc>
        <w:tc>
          <w:tcPr>
            <w:tcW w:type="dxa" w:w="4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Added BD hiring criterion: 'minimum 3 pre-existing relationships with Israeli BMCs.' Added M12 pipeline milestone: 'minimum 3 qualified BMC opportunities in sales process.' Month 19 BMC signing now dependent on visible M12 pipeline.</w:t>
            </w:r>
          </w:p>
        </w:tc>
      </w:tr>
      <w:tr>
        <w:tc>
          <w:tcPr>
            <w:tcW w:type="dxa" w:w="70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NEW</w:t>
            </w:r>
          </w:p>
        </w:tc>
        <w:tc>
          <w:tcPr>
            <w:tcW w:type="dxa" w:w="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ADDITION</w:t>
            </w:r>
          </w:p>
        </w:tc>
        <w:tc>
          <w:tcPr>
            <w:tcW w:type="dxa" w:w="1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ALL</w:t>
            </w:r>
          </w:p>
        </w:tc>
        <w:tc>
          <w:tcPr>
            <w:tcW w:type="dxa" w:w="25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6 data-driven charts added throughout</w:t>
            </w:r>
          </w:p>
        </w:tc>
        <w:tc>
          <w:tcPr>
            <w:tcW w:type="dxa" w:w="4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Chart 1 (Financial model), Chart 2 (Break-even waterfall), Chart 3 (TAM/SAM/SOM), Chart 4 (Risk matrix), Chart 5 (Revenue breakdown), Chart 6 (Installation growth) embedded in relevant chapters.</w:t>
            </w:r>
          </w:p>
        </w:tc>
      </w:tr>
      <w:tr>
        <w:tc>
          <w:tcPr>
            <w:tcW w:type="dxa" w:w="70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NEW</w:t>
            </w:r>
          </w:p>
        </w:tc>
        <w:tc>
          <w:tcPr>
            <w:tcW w:type="dxa" w:w="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ADDITION</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§4</w:t>
            </w:r>
          </w:p>
        </w:tc>
        <w:tc>
          <w:tcPr>
            <w:tcW w:type="dxa" w:w="2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Israel Innovation Authority (INPA) added to Appendix B</w:t>
            </w:r>
          </w:p>
        </w:tc>
        <w:tc>
          <w:tcPr>
            <w:tcW w:type="dxa" w:w="4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Committee observation: check INPA/Israel Smart Cities Institute for localised market data. Added to Appendix B research plan.</w:t>
            </w:r>
          </w:p>
        </w:tc>
      </w:tr>
      <w:tr>
        <w:tc>
          <w:tcPr>
            <w:tcW w:type="dxa" w:w="70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NEW</w:t>
            </w:r>
          </w:p>
        </w:tc>
        <w:tc>
          <w:tcPr>
            <w:tcW w:type="dxa" w:w="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ADDITION</w:t>
            </w:r>
          </w:p>
        </w:tc>
        <w:tc>
          <w:tcPr>
            <w:tcW w:type="dxa" w:w="1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§5</w:t>
            </w:r>
          </w:p>
        </w:tc>
        <w:tc>
          <w:tcPr>
            <w:tcW w:type="dxa" w:w="25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SoftServeInc GitHub staleness note added</w:t>
            </w:r>
          </w:p>
        </w:tc>
        <w:tc>
          <w:tcPr>
            <w:tcW w:type="dxa" w:w="4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Committee observation: project not updated since 2022. Added note to Tier 3 analysis to reinforce 'ParkGuard AI is the active project' argument.</w:t>
            </w:r>
          </w:p>
        </w:tc>
      </w:tr>
      <w:tr>
        <w:tc>
          <w:tcPr>
            <w:tcW w:type="dxa" w:w="70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NEW</w:t>
            </w:r>
          </w:p>
        </w:tc>
        <w:tc>
          <w:tcPr>
            <w:tcW w:type="dxa" w:w="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ADDITION</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§14</w:t>
            </w:r>
          </w:p>
        </w:tc>
        <w:tc>
          <w:tcPr>
            <w:tcW w:type="dxa" w:w="2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M12 BD pipeline milestone added</w:t>
            </w:r>
          </w:p>
        </w:tc>
        <w:tc>
          <w:tcPr>
            <w:tcW w:type="dxa" w:w="4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New milestone: Month 12 — minimum 3 qualified BMC opportunities must be in sales process. Makes Month 19 signing dependent on visible pipeline progress.</w:t>
            </w:r>
          </w:p>
        </w:tc>
      </w:tr>
    </w:tbl>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80" w:before="240"/>
      </w:pPr>
      <w:r>
        <w:rPr>
          <w:rFonts w:ascii="Arial" w:cs="Arial" w:eastAsia="Arial" w:hAnsi="Arial"/>
          <w:b/>
          <w:bCs/>
          <w:color w:val="1F4E79"/>
          <w:sz w:val="34"/>
          <w:szCs w:val="34"/>
        </w:rPr>
        <w:t xml:space="preserve">1  Executive Summary</w:t>
      </w:r>
    </w:p>
    <w:p>
      <w:pPr>
        <w:pBdr>
          <w:bottom w:val="single" w:color="2E75B6" w:sz="8" w:space="1"/>
        </w:pBdr>
        <w:spacing w:after="160"/>
      </w:pPr>
    </w:p>
    <w:p>
      <w:pPr>
        <w:spacing w:after="120" w:line="276"/>
      </w:pPr>
      <w:r>
        <w:rPr>
          <w:rFonts w:ascii="Arial" w:cs="Arial" w:eastAsia="Arial" w:hAnsi="Arial"/>
          <w:sz w:val="22"/>
          <w:szCs w:val="22"/>
        </w:rPr>
        <w:t xml:space="preserve">ParkGuard AI is an end-to-end, open-source software pipeline that converts any existing Provision ISR DVR security camera system into an intelligent, automated parking enforcement tool — with zero new hardware, zero recurring SaaS cost, and zero cloud AI fees.</w:t>
      </w:r>
    </w:p>
    <w:p>
      <w:pPr>
        <w:spacing w:after="120"/>
      </w:pPr>
    </w:p>
    <w:p>
      <w:pPr>
        <w:spacing w:after="120" w:line="276"/>
      </w:pPr>
      <w:r>
        <w:rPr>
          <w:rFonts w:ascii="Arial" w:cs="Arial" w:eastAsia="Arial" w:hAnsi="Arial"/>
          <w:b/>
          <w:bCs/>
          <w:sz w:val="22"/>
          <w:szCs w:val="22"/>
        </w:rPr>
        <w:t xml:space="preserve">The Problem</w:t>
      </w:r>
    </w:p>
    <w:p>
      <w:pPr>
        <w:spacing w:after="120" w:line="276"/>
      </w:pPr>
      <w:r>
        <w:rPr>
          <w:rFonts w:ascii="Arial" w:cs="Arial" w:eastAsia="Arial" w:hAnsi="Arial"/>
          <w:sz w:val="22"/>
          <w:szCs w:val="22"/>
        </w:rPr>
        <w:t xml:space="preserve">Unauthorized and overstay parking costs property owners, building managers, and municipalities billions of dollars annually in lost revenue, access blockages, and enforcement labour. Security cameras are already deployed at virtually every facility — yet their footage sits unanalysed. Existing AI parking solutions require expensive new hardware, cloud subscriptions, and English-only interfaces that are inaccessible to non-technical operators.</w:t>
      </w:r>
    </w:p>
    <w:p>
      <w:pPr>
        <w:spacing w:after="120"/>
      </w:pPr>
    </w:p>
    <w:p>
      <w:pPr>
        <w:spacing w:after="120" w:line="276"/>
      </w:pPr>
      <w:r>
        <w:rPr>
          <w:rFonts w:ascii="Arial" w:cs="Arial" w:eastAsia="Arial" w:hAnsi="Arial"/>
          <w:b/>
          <w:bCs/>
          <w:sz w:val="22"/>
          <w:szCs w:val="22"/>
        </w:rPr>
        <w:t xml:space="preserve">The Solution</w:t>
      </w:r>
    </w:p>
    <w:p>
      <w:pPr>
        <w:spacing w:after="120" w:line="276"/>
      </w:pPr>
      <w:r>
        <w:rPr>
          <w:rFonts w:ascii="Arial" w:cs="Arial" w:eastAsia="Arial" w:hAnsi="Arial"/>
          <w:sz w:val="22"/>
          <w:szCs w:val="22"/>
        </w:rPr>
        <w:t xml:space="preserve">ParkGuard AI connects to a Provision ISR DVR, downloads a recorded video segment for any specified time range and camera channel, and uses Google MediaPipe object detection to identify vehicles. A local LLM (Ollama + Llama 3.2, running on WSL) guides the operator through zone definition in plain Hebrew or English — no GUI, no engineer, no cloud. When a vehicle occupies the defined zone for five or more continuous minutes, the system dispatches automated alerts via Gmail and Telegram Bot, with a photo thumbnail and timestamp.</w:t>
      </w:r>
    </w:p>
    <w:p>
      <w:pPr>
        <w:spacing w:after="120"/>
      </w:pPr>
    </w:p>
    <w:p>
      <w:pPr>
        <w:spacing w:after="120" w:line="276"/>
      </w:pPr>
      <w:r>
        <w:rPr>
          <w:rFonts w:ascii="Arial" w:cs="Arial" w:eastAsia="Arial" w:hAnsi="Arial"/>
          <w:b/>
          <w:bCs/>
          <w:sz w:val="22"/>
          <w:szCs w:val="22"/>
        </w:rPr>
        <w:t xml:space="preserve">Why Now? — Three Converging Trends</w:t>
      </w:r>
    </w:p>
    <w:p>
      <w:pPr>
        <w:pStyle w:val="ListParagraph"/>
        <w:numPr>
          <w:ilvl w:val="0"/>
          <w:numId w:val="2"/>
        </w:numPr>
        <w:spacing w:after="80"/>
      </w:pPr>
      <w:r>
        <w:rPr>
          <w:rFonts w:ascii="Arial" w:cs="Arial" w:eastAsia="Arial" w:hAnsi="Arial"/>
          <w:b w:val="false"/>
          <w:bCs w:val="false"/>
          <w:sz w:val="22"/>
          <w:szCs w:val="22"/>
        </w:rPr>
        <w:t xml:space="preserve">Local LLM inference became free — Ollama + Llama 3.2 (2024) delivers capable multilingual language understanding at $0.00/session, replacing cloud APIs costing $0.002–$0.005/session as recently as 2022. The cost of AI reasoning dropped ~100× in three years.</w:t>
      </w:r>
    </w:p>
    <w:p>
      <w:pPr>
        <w:pStyle w:val="ListParagraph"/>
        <w:numPr>
          <w:ilvl w:val="0"/>
          <w:numId w:val="2"/>
        </w:numPr>
        <w:spacing w:after="80"/>
      </w:pPr>
      <w:r>
        <w:rPr>
          <w:rFonts w:ascii="Arial" w:cs="Arial" w:eastAsia="Arial" w:hAnsi="Arial"/>
          <w:b w:val="false"/>
          <w:bCs w:val="false"/>
          <w:sz w:val="22"/>
          <w:szCs w:val="22"/>
        </w:rPr>
        <w:t xml:space="preserve">Telegram reached 900M+ global users — and is the dominant business messaging platform in Israel. For the first time, a parking alert can reach a building manager on their primary communication channel.</w:t>
      </w:r>
    </w:p>
    <w:p>
      <w:pPr>
        <w:pStyle w:val="ListParagraph"/>
        <w:numPr>
          <w:ilvl w:val="0"/>
          <w:numId w:val="2"/>
        </w:numPr>
        <w:spacing w:after="80"/>
      </w:pPr>
      <w:r>
        <w:rPr>
          <w:rFonts w:ascii="Arial" w:cs="Arial" w:eastAsia="Arial" w:hAnsi="Arial"/>
          <w:b w:val="false"/>
          <w:bCs w:val="false"/>
          <w:sz w:val="22"/>
          <w:szCs w:val="22"/>
        </w:rPr>
        <w:t xml:space="preserve">25,000+ Provision ISR DVR units are already installed in Israeli commercial and residential facilities (estimated — pending distributor verification). The hardware is in place; it just needs AI eyes.</w:t>
      </w:r>
    </w:p>
    <w:p>
      <w:pPr>
        <w:spacing w:after="120"/>
      </w:pPr>
    </w:p>
    <w:p>
      <w:pPr>
        <w:spacing w:after="120" w:line="276"/>
      </w:pPr>
      <w:r>
        <w:rPr>
          <w:rFonts w:ascii="Arial" w:cs="Arial" w:eastAsia="Arial" w:hAnsi="Arial"/>
          <w:b/>
          <w:bCs/>
          <w:sz w:val="22"/>
          <w:szCs w:val="22"/>
        </w:rPr>
        <w:t xml:space="preserve">Academic Foundation</w:t>
      </w:r>
    </w:p>
    <w:p>
      <w:pPr>
        <w:spacing w:after="120" w:line="276"/>
      </w:pPr>
      <w:r>
        <w:rPr>
          <w:rFonts w:ascii="Arial" w:cs="Arial" w:eastAsia="Arial" w:hAnsi="Arial"/>
          <w:sz w:val="22"/>
          <w:szCs w:val="22"/>
        </w:rPr>
        <w:t xml:space="preserve">ParkGuard AI is built on 19 peer-reviewed references (18 academic papers + 1 US patent), published 2023–2025. No commercial competitor has published an equivalent academic foundation — a genuine differentiator in technically sophisticated due diligence processes.</w:t>
      </w:r>
    </w:p>
    <w:p>
      <w:pPr>
        <w:spacing w:after="120"/>
      </w:pPr>
    </w:p>
    <w:p>
      <w:pPr>
        <w:spacing w:after="120" w:line="276"/>
      </w:pPr>
      <w:r>
        <w:rPr>
          <w:rFonts w:ascii="Arial" w:cs="Arial" w:eastAsia="Arial" w:hAnsi="Arial"/>
          <w:b/>
          <w:bCs/>
          <w:sz w:val="22"/>
          <w:szCs w:val="22"/>
        </w:rPr>
        <w:t xml:space="preserve">Competitive Advantage — The Three-Zero Advantage</w:t>
      </w:r>
    </w:p>
    <w:p>
      <w:pPr>
        <w:pStyle w:val="ListParagraph"/>
        <w:numPr>
          <w:ilvl w:val="0"/>
          <w:numId w:val="2"/>
        </w:numPr>
        <w:spacing w:after="80"/>
      </w:pPr>
      <w:r>
        <w:rPr>
          <w:rFonts w:ascii="Arial" w:cs="Arial" w:eastAsia="Arial" w:hAnsi="Arial"/>
          <w:b w:val="false"/>
          <w:bCs w:val="false"/>
          <w:sz w:val="22"/>
          <w:szCs w:val="22"/>
        </w:rPr>
        <w:t xml:space="preserve">Zero new hardware — works with any existing Provision ISR DVR</w:t>
      </w:r>
    </w:p>
    <w:p>
      <w:pPr>
        <w:pStyle w:val="ListParagraph"/>
        <w:numPr>
          <w:ilvl w:val="0"/>
          <w:numId w:val="2"/>
        </w:numPr>
        <w:spacing w:after="80"/>
      </w:pPr>
      <w:r>
        <w:rPr>
          <w:rFonts w:ascii="Arial" w:cs="Arial" w:eastAsia="Arial" w:hAnsi="Arial"/>
          <w:b w:val="false"/>
          <w:bCs w:val="false"/>
          <w:sz w:val="22"/>
          <w:szCs w:val="22"/>
        </w:rPr>
        <w:t xml:space="preserve">Zero per-token LLM cost — fully local Ollama inference; MIT-licensed; model-agnostic</w:t>
      </w:r>
    </w:p>
    <w:p>
      <w:pPr>
        <w:pStyle w:val="ListParagraph"/>
        <w:numPr>
          <w:ilvl w:val="0"/>
          <w:numId w:val="2"/>
        </w:numPr>
        <w:spacing w:after="80"/>
      </w:pPr>
      <w:r>
        <w:rPr>
          <w:rFonts w:ascii="Arial" w:cs="Arial" w:eastAsia="Arial" w:hAnsi="Arial"/>
          <w:b w:val="false"/>
          <w:bCs w:val="false"/>
          <w:sz w:val="22"/>
          <w:szCs w:val="22"/>
        </w:rPr>
        <w:t xml:space="preserve">Zero recurring SaaS license — MIT open-source; no monthly subscription; no per-camera fee</w:t>
      </w:r>
    </w:p>
    <w:p>
      <w:pPr>
        <w:spacing w:after="120"/>
      </w:pPr>
    </w:p>
    <w:p>
      <w:pPr>
        <w:spacing w:after="120" w:line="276"/>
      </w:pPr>
      <w:r>
        <w:rPr>
          <w:rFonts w:ascii="Arial" w:cs="Arial" w:eastAsia="Arial" w:hAnsi="Arial"/>
          <w:b/>
          <w:bCs/>
          <w:sz w:val="22"/>
          <w:szCs w:val="22"/>
        </w:rPr>
        <w:t xml:space="preserve">Revenue Model</w:t>
      </w:r>
    </w:p>
    <w:p>
      <w:pPr>
        <w:spacing w:after="120" w:line="276"/>
      </w:pPr>
      <w:r>
        <w:rPr>
          <w:rFonts w:ascii="Arial" w:cs="Arial" w:eastAsia="Arial" w:hAnsi="Arial"/>
          <w:sz w:val="22"/>
          <w:szCs w:val="22"/>
        </w:rPr>
        <w:t xml:space="preserve">Revenue is generated through a Freemium/Open Core model — selected because it maximises the adoption funnel while preserving a recurring revenue path, and is the only model compatible with the Zero Recurring Cost USP. A parallel Professional Services stream provides immediate Day-1 revenue.</w:t>
      </w:r>
    </w:p>
    <w:p>
      <w:pPr>
        <w:spacing w:after="120"/>
      </w:pPr>
    </w:p>
    <w:p>
      <w:pPr>
        <w:spacing w:after="120" w:line="276"/>
      </w:pPr>
      <w:r>
        <w:rPr>
          <w:rFonts w:ascii="Arial" w:cs="Arial" w:eastAsia="Arial" w:hAnsi="Arial"/>
          <w:b/>
          <w:bCs/>
          <w:sz w:val="22"/>
          <w:szCs w:val="22"/>
        </w:rPr>
        <w:t xml:space="preserve">Financial Highlights — Unified Financial Model v3.0 (N-1, N-2, N-6 fixes)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BFBF" w:sz="4"/>
              <w:left w:val="single" w:color="BFBFBF" w:sz="4"/>
              <w:bottom w:val="single" w:color="BFBFBF" w:sz="4"/>
              <w:right w:val="single" w:color="BFBFBF" w:sz="4"/>
            </w:tcBorders>
            <w:shd w:fill="FCE4D6" w:val="clear"/>
            <w:tcMar>
              <w:top w:type="dxa" w:w="120"/>
              <w:left w:type="dxa" w:w="160"/>
              <w:bottom w:type="dxa" w:w="120"/>
              <w:right w:type="dxa" w:w="160"/>
            </w:tcMar>
          </w:tcPr>
          <w:p>
            <w:pPr>
              <w:spacing w:after="0"/>
            </w:pPr>
            <w:r>
              <w:rPr>
                <w:rFonts w:ascii="Arial" w:cs="Arial" w:eastAsia="Arial" w:hAnsi="Arial"/>
                <w:b/>
                <w:bCs/>
                <w:color w:val="C55A11"/>
                <w:sz w:val="22"/>
                <w:szCs w:val="22"/>
              </w:rPr>
              <w:t xml:space="preserve">N-2 — Year 2 Capital-Intensity Note:  </w:t>
            </w:r>
            <w:r>
              <w:rPr>
                <w:rFonts w:ascii="Arial" w:cs="Arial" w:eastAsia="Arial" w:hAnsi="Arial"/>
                <w:sz w:val="22"/>
                <w:szCs w:val="22"/>
              </w:rPr>
              <w:t xml:space="preserve">Year 2 is the most financially difficult year in the plan. Revenue grows 267% (from $23,528 to $86,464) but operating costs grow 87% (from $90K to $168.6K) due to two major investments: (1) the Business Development hire at Month 9 ($42K/year salary), and (2) sales &amp; marketing scale-up ($54K/year). Year 2 net position (–$82,136) is therefore worse than Year 1 (–$66,472). Year 3 begins the recovery trajectory — the BMC partnership catalyst (Month 19) drives the improvement toward the optimistic break-even at Month 26.</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760"/>
      </w:tblGrid>
      <w:tr>
        <w:tc>
          <w:tcPr>
            <w:tcW w:type="dxa" w:w="2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Metric</w:t>
            </w:r>
          </w:p>
        </w:tc>
        <w:tc>
          <w:tcPr>
            <w:tcW w:type="dxa" w:w="16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Year 1 (Base)</w:t>
            </w:r>
          </w:p>
        </w:tc>
        <w:tc>
          <w:tcPr>
            <w:tcW w:type="dxa" w:w="16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Year 2 (Base)</w:t>
            </w:r>
          </w:p>
        </w:tc>
        <w:tc>
          <w:tcPr>
            <w:tcW w:type="dxa" w:w="16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Year 3 (Base)</w:t>
            </w:r>
          </w:p>
        </w:tc>
        <w:tc>
          <w:tcPr>
            <w:tcW w:type="dxa" w:w="17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Year 3 (Opt.)*</w:t>
            </w:r>
          </w:p>
        </w:tc>
      </w:tr>
      <w:tr>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Installations (cumulative)</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25</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90</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220</w:t>
            </w:r>
          </w:p>
        </w:tc>
        <w:tc>
          <w:tcPr>
            <w:tcW w:type="dxa" w:w="1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350</w:t>
            </w:r>
          </w:p>
        </w:tc>
      </w:tr>
      <w:tr>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Total Revenue</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$23,528</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$86,464</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$224,100</w:t>
            </w:r>
          </w:p>
        </w:tc>
        <w:tc>
          <w:tcPr>
            <w:tcW w:type="dxa" w:w="176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$380,440</w:t>
            </w:r>
          </w:p>
        </w:tc>
      </w:tr>
      <w:tr>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Operating Costs</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$90,000</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$168,600</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$267,600</w:t>
            </w:r>
          </w:p>
        </w:tc>
        <w:tc>
          <w:tcPr>
            <w:tcW w:type="dxa" w:w="1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$290,000</w:t>
            </w:r>
          </w:p>
        </w:tc>
      </w:tr>
      <w:tr>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Net Position</w:t>
            </w:r>
          </w:p>
        </w:tc>
        <w:tc>
          <w:tcPr>
            <w:tcW w:type="dxa" w:w="1600"/>
            <w:tcBorders>
              <w:top w:val="single" w:color="BFBFBF" w:sz="4"/>
              <w:left w:val="single" w:color="BFBFBF" w:sz="4"/>
              <w:bottom w:val="single" w:color="BFBFBF" w:sz="4"/>
              <w:right w:val="single" w:color="BFBFBF" w:sz="4"/>
            </w:tcBorders>
            <w:shd w:fill="FCE4D6" w:val="clear"/>
            <w:tcMar>
              <w:top w:type="dxa" w:w="70"/>
              <w:left w:type="dxa" w:w="100"/>
              <w:bottom w:type="dxa" w:w="70"/>
              <w:right w:type="dxa" w:w="100"/>
            </w:tcMar>
            <w:vAlign w:val="center"/>
          </w:tcPr>
          <w:p>
            <w:pPr>
              <w:jc w:val="center"/>
            </w:pPr>
            <w:r>
              <w:rPr>
                <w:rFonts w:ascii="Arial" w:cs="Arial" w:eastAsia="Arial" w:hAnsi="Arial"/>
                <w:b/>
                <w:bCs/>
                <w:sz w:val="20"/>
                <w:szCs w:val="20"/>
              </w:rPr>
              <w:t xml:space="preserve">–$66,472</w:t>
            </w:r>
          </w:p>
        </w:tc>
        <w:tc>
          <w:tcPr>
            <w:tcW w:type="dxa" w:w="1600"/>
            <w:tcBorders>
              <w:top w:val="single" w:color="BFBFBF" w:sz="4"/>
              <w:left w:val="single" w:color="BFBFBF" w:sz="4"/>
              <w:bottom w:val="single" w:color="BFBFBF" w:sz="4"/>
              <w:right w:val="single" w:color="BFBFBF" w:sz="4"/>
            </w:tcBorders>
            <w:shd w:fill="FCE4D6" w:val="clear"/>
            <w:tcMar>
              <w:top w:type="dxa" w:w="70"/>
              <w:left w:type="dxa" w:w="100"/>
              <w:bottom w:type="dxa" w:w="70"/>
              <w:right w:type="dxa" w:w="100"/>
            </w:tcMar>
            <w:vAlign w:val="center"/>
          </w:tcPr>
          <w:p>
            <w:pPr>
              <w:jc w:val="center"/>
            </w:pPr>
            <w:r>
              <w:rPr>
                <w:rFonts w:ascii="Arial" w:cs="Arial" w:eastAsia="Arial" w:hAnsi="Arial"/>
                <w:b/>
                <w:bCs/>
                <w:sz w:val="20"/>
                <w:szCs w:val="20"/>
              </w:rPr>
              <w:t xml:space="preserve">–$82,136 ⚠ worst yr</w:t>
            </w:r>
          </w:p>
        </w:tc>
        <w:tc>
          <w:tcPr>
            <w:tcW w:type="dxa" w:w="1600"/>
            <w:tcBorders>
              <w:top w:val="single" w:color="BFBFBF" w:sz="4"/>
              <w:left w:val="single" w:color="BFBFBF" w:sz="4"/>
              <w:bottom w:val="single" w:color="BFBFBF" w:sz="4"/>
              <w:right w:val="single" w:color="BFBFBF" w:sz="4"/>
            </w:tcBorders>
            <w:shd w:fill="FFF2CC" w:val="clear"/>
            <w:tcMar>
              <w:top w:type="dxa" w:w="70"/>
              <w:left w:type="dxa" w:w="100"/>
              <w:bottom w:type="dxa" w:w="70"/>
              <w:right w:type="dxa" w:w="100"/>
            </w:tcMar>
            <w:vAlign w:val="center"/>
          </w:tcPr>
          <w:p>
            <w:pPr>
              <w:jc w:val="center"/>
            </w:pPr>
            <w:r>
              <w:rPr>
                <w:rFonts w:ascii="Arial" w:cs="Arial" w:eastAsia="Arial" w:hAnsi="Arial"/>
                <w:b/>
                <w:bCs/>
                <w:sz w:val="20"/>
                <w:szCs w:val="20"/>
              </w:rPr>
              <w:t xml:space="preserve">–$43,500</w:t>
            </w:r>
          </w:p>
        </w:tc>
        <w:tc>
          <w:tcPr>
            <w:tcW w:type="dxa" w:w="176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vAlign w:val="center"/>
          </w:tcPr>
          <w:p>
            <w:pPr>
              <w:jc w:val="center"/>
            </w:pPr>
            <w:r>
              <w:rPr>
                <w:rFonts w:ascii="Arial" w:cs="Arial" w:eastAsia="Arial" w:hAnsi="Arial"/>
                <w:b/>
                <w:bCs/>
                <w:sz w:val="20"/>
                <w:szCs w:val="20"/>
              </w:rPr>
              <w:t xml:space="preserve">+$112,840 ✓</w:t>
            </w:r>
          </w:p>
        </w:tc>
      </w:tr>
    </w:tbl>
    <w:p>
      <w:pPr>
        <w:spacing w:after="120"/>
      </w:pPr>
    </w:p>
    <w:p>
      <w:pPr>
        <w:spacing w:after="120" w:line="276"/>
      </w:pPr>
      <w:r>
        <w:rPr>
          <w:rFonts w:ascii="Arial" w:cs="Arial" w:eastAsia="Arial" w:hAnsi="Arial"/>
          <w:sz w:val="22"/>
          <w:szCs w:val="22"/>
        </w:rPr>
        <w:t xml:space="preserve">* Year 3 Optimistic assumes 23% CAGR and BMC partnership signing in Month 16 (vs Month 19 base case). Optimistic scenario requires 350 installations and revenue mix skewed toward Enterprise.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BFBF" w:sz="4"/>
              <w:left w:val="single" w:color="BFBFBF" w:sz="4"/>
              <w:bottom w:val="single" w:color="BFBFBF" w:sz="4"/>
              <w:right w:val="single" w:color="BFBFBF" w:sz="4"/>
            </w:tcBorders>
            <w:shd w:fill="D6E4F0" w:val="clear"/>
            <w:tcMar>
              <w:top w:type="dxa" w:w="120"/>
              <w:left w:type="dxa" w:w="160"/>
              <w:bottom w:type="dxa" w:w="120"/>
              <w:right w:type="dxa" w:w="160"/>
            </w:tcMar>
          </w:tcPr>
          <w:p>
            <w:pPr>
              <w:spacing w:after="0"/>
            </w:pPr>
            <w:r>
              <w:rPr>
                <w:rFonts w:ascii="Arial" w:cs="Arial" w:eastAsia="Arial" w:hAnsi="Arial"/>
                <w:b/>
                <w:bCs/>
                <w:color w:val="2E75B6"/>
                <w:sz w:val="22"/>
                <w:szCs w:val="22"/>
              </w:rPr>
              <w:t xml:space="preserve">N-1 — Investment Required &amp; Break-Even Path:  </w:t>
            </w:r>
            <w:r>
              <w:rPr>
                <w:rFonts w:ascii="Arial" w:cs="Arial" w:eastAsia="Arial" w:hAnsi="Arial"/>
                <w:sz w:val="22"/>
                <w:szCs w:val="22"/>
              </w:rPr>
              <w:t xml:space="preserve">The base-case model requires a total external investment of approximately ~$192,000 to reach operational break-even. This figure represents the cumulative net deficit across Years 1–2 plus the first months of Year 3 before the BMC catalyst takes effect. Break-even timing: optimistic scenario Month 26 (23% CAGR); base case Month 30+. What moves break-even into the 3-year window: (1) BMC partnership signed by Month 16 instead of Month 19 — worth +$30K; (2) Enterprise site ARPU lifted from $2K perpetual to $199/mo subscription — worth +$18K/yr; (3) BD hire at Month 6 instead of Month 9 to accelerate pipeline.</w:t>
            </w:r>
          </w:p>
        </w:tc>
      </w:tr>
    </w:tbl>
    <w:p>
      <w:pPr>
        <w:spacing w:after="200"/>
      </w:pPr>
    </w:p>
    <w:p>
      <w:pPr>
        <w:spacing w:after="80" w:before="160"/>
        <w:jc w:val="center"/>
      </w:pPr>
      <w:r>
        <w:drawing>
          <wp:inline distT="0" distB="0" distL="0" distR="0">
            <wp:extent cx="5905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2385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Chart 1 — 3-Year Revenue vs Costs vs Net Position (Base and Optimistic scenarios)</w:t>
      </w:r>
    </w:p>
    <w:p>
      <w:r>
        <w:br w:type="page"/>
      </w:r>
    </w:p>
    <w:p>
      <w:pPr>
        <w:pStyle w:val="Heading1"/>
        <w:spacing w:after="80" w:before="240"/>
      </w:pPr>
      <w:r>
        <w:rPr>
          <w:rFonts w:ascii="Arial" w:cs="Arial" w:eastAsia="Arial" w:hAnsi="Arial"/>
          <w:b/>
          <w:bCs/>
          <w:color w:val="1F4E79"/>
          <w:sz w:val="34"/>
          <w:szCs w:val="34"/>
        </w:rPr>
        <w:t xml:space="preserve">2  Problem Statement</w:t>
      </w:r>
    </w:p>
    <w:p>
      <w:pPr>
        <w:pBdr>
          <w:bottom w:val="single" w:color="2E75B6" w:sz="8" w:space="1"/>
        </w:pBdr>
        <w:spacing w:after="160"/>
      </w:pPr>
    </w:p>
    <w:p>
      <w:pPr>
        <w:spacing w:after="120" w:line="276"/>
      </w:pPr>
      <w:r>
        <w:rPr>
          <w:rFonts w:ascii="Arial" w:cs="Arial" w:eastAsia="Arial" w:hAnsi="Arial"/>
          <w:sz w:val="22"/>
          <w:szCs w:val="22"/>
        </w:rPr>
        <w:t xml:space="preserve">Eight domain pain points ParkGuard AI is designed to solve. Items pending primary research are clearly labelled and must not be cited externally until confirmed.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980"/>
        <w:gridCol w:w="3780"/>
      </w:tblGrid>
      <w:tr>
        <w:tc>
          <w:tcPr>
            <w:tcW w:type="dxa" w:w="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w:t>
            </w:r>
          </w:p>
        </w:tc>
        <w:tc>
          <w:tcPr>
            <w:tcW w:type="dxa" w:w="2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Pain Point</w:t>
            </w:r>
          </w:p>
        </w:tc>
        <w:tc>
          <w:tcPr>
            <w:tcW w:type="dxa" w:w="298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Evidence</w:t>
            </w:r>
          </w:p>
        </w:tc>
        <w:tc>
          <w:tcPr>
            <w:tcW w:type="dxa" w:w="378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ParkGuard AI Solution</w:t>
            </w:r>
          </w:p>
        </w:tc>
      </w:tr>
      <w:tr>
        <w:tc>
          <w:tcPr>
            <w:tcW w:type="dxa" w:w="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P-1</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New dedicated hardware required</w:t>
            </w:r>
          </w:p>
        </w:tc>
        <w:tc>
          <w:tcPr>
            <w:tcW w:type="dxa" w:w="29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SenSen AI and Cleverciti require dedicated camera/sensor hardware. Installation cost: $3,000–$15,000/zone (estimates — verify Appendix C).</w:t>
            </w:r>
          </w:p>
        </w:tc>
        <w:tc>
          <w:tcPr>
            <w:tcW w:type="dxa" w:w="37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Uses existing Provision ISR DVR — zero new hardware. ROI from Day 1.</w:t>
            </w:r>
          </w:p>
        </w:tc>
      </w:tr>
      <w:tr>
        <w:tc>
          <w:tcPr>
            <w:tcW w:type="dxa" w:w="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P-2</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High recurring SaaS cost per camera</w:t>
            </w:r>
          </w:p>
        </w:tc>
        <w:tc>
          <w:tcPr>
            <w:tcW w:type="dxa" w:w="29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Parquery and Parkinto charge per-camera monthly subscriptions. 3-year TCO for 5 cameras: est. $9,000–$18,000 in licensing (pending Appendix C verification).</w:t>
            </w:r>
          </w:p>
        </w:tc>
        <w:tc>
          <w:tcPr>
            <w:tcW w:type="dxa" w:w="37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 licensing cost. One-time setup fee only.</w:t>
            </w:r>
          </w:p>
        </w:tc>
      </w:tr>
      <w:tr>
        <w:tc>
          <w:tcPr>
            <w:tcW w:type="dxa" w:w="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P-3</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Complex zone setup requires an engineer</w:t>
            </w:r>
          </w:p>
        </w:tc>
        <w:tc>
          <w:tcPr>
            <w:tcW w:type="dxa" w:w="29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SenSen/Cleverciti implementation: 1–4 weeks on-site (industry estimate — case study citation to be added).</w:t>
            </w:r>
          </w:p>
        </w:tc>
        <w:tc>
          <w:tcPr>
            <w:tcW w:type="dxa" w:w="37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LLM dialogue in Hebrew or English. Any operator defines the zone in under 3 minutes.</w:t>
            </w:r>
          </w:p>
        </w:tc>
      </w:tr>
      <w:tr>
        <w:tc>
          <w:tcPr>
            <w:tcW w:type="dxa" w:w="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P-4</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Cloud dependency — privacy and latency risks</w:t>
            </w:r>
          </w:p>
        </w:tc>
        <w:tc>
          <w:tcPr>
            <w:tcW w:type="dxa" w:w="29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All major SaaS parking tools process video in the cloud. GDPR compliance cost: $5,000–$50,000/year.</w:t>
            </w:r>
          </w:p>
        </w:tc>
        <w:tc>
          <w:tcPr>
            <w:tcW w:type="dxa" w:w="37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Fully local: Ollama/Llama 3.2 on WSL. No video data leaves the premises. Verifiable via Wireshark (see I-4, Ch.7).</w:t>
            </w:r>
          </w:p>
        </w:tc>
      </w:tr>
      <w:tr>
        <w:tc>
          <w:tcPr>
            <w:tcW w:type="dxa" w:w="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P-5</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No dwell-time enforcement without LPR</w:t>
            </w:r>
          </w:p>
        </w:tc>
        <w:tc>
          <w:tcPr>
            <w:tcW w:type="dxa" w:w="29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LPR camera systems cost $2,000–$8,000 per lane. Without LPR most tools cannot distinguish brief stops from overstay violations.</w:t>
            </w:r>
          </w:p>
        </w:tc>
        <w:tc>
          <w:tcPr>
            <w:tcW w:type="dxa" w:w="37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5-minute dwell detection using existing DVR footage. No LPR required.</w:t>
            </w:r>
          </w:p>
        </w:tc>
      </w:tr>
      <w:tr>
        <w:tc>
          <w:tcPr>
            <w:tcW w:type="dxa" w:w="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P-6</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Single notification channel — email only</w:t>
            </w:r>
          </w:p>
        </w:tc>
        <w:tc>
          <w:tcPr>
            <w:tcW w:type="dxa" w:w="29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Telegram is Israel's dominant business messaging platform. A high majority of Israeli property managers prefer it for operational alerts. [PRELIMINARY ESTIMATE — to be confirmed by primary research, Appendix B, n≥30. M-1.]</w:t>
            </w:r>
          </w:p>
        </w:tc>
        <w:tc>
          <w:tcPr>
            <w:tcW w:type="dxa" w:w="37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Email + Telegram — both channels independently configurable. Dual alerts with photo thumbnails.</w:t>
            </w:r>
          </w:p>
        </w:tc>
      </w:tr>
      <w:tr>
        <w:tc>
          <w:tcPr>
            <w:tcW w:type="dxa" w:w="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P-7</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DVR recorded footage not analysable by AI</w:t>
            </w:r>
          </w:p>
        </w:tc>
        <w:tc>
          <w:tcPr>
            <w:tcW w:type="dxa" w:w="29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Review of SenSen, Parquery, Parkinto, Cleverciti, and all six GitHub projects found no mention of RTSP recorded-segment retrieval from Provision ISR DVRs. [MARKET SCAN REQUIRED — Appendix C.]</w:t>
            </w:r>
          </w:p>
        </w:tc>
        <w:tc>
          <w:tcPr>
            <w:tcW w:type="dxa" w:w="37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FR-1: Downloads exact time segment from Provision ISR DVR via RTSP/ONVIF. First known tool to achieve this.</w:t>
            </w:r>
          </w:p>
        </w:tc>
      </w:tr>
      <w:tr>
        <w:tc>
          <w:tcPr>
            <w:tcW w:type="dxa" w:w="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P-8</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No multilingual/Hebrew interface</w:t>
            </w:r>
          </w:p>
        </w:tc>
        <w:tc>
          <w:tcPr>
            <w:tcW w:type="dxa" w:w="29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Israel has ~9,000+ commercial facilities with DVR systems (estimate). All reviewed tools are English-only.</w:t>
            </w:r>
          </w:p>
        </w:tc>
        <w:tc>
          <w:tcPr>
            <w:tcW w:type="dxa" w:w="37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Ollama/Llama 3.2 natively supports Hebrew. Zone description works in Hebrew with RTL text handling.</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BFBF" w:sz="4"/>
              <w:left w:val="single" w:color="BFBFBF" w:sz="4"/>
              <w:bottom w:val="single" w:color="BFBFBF" w:sz="4"/>
              <w:right w:val="single" w:color="BFBFBF" w:sz="4"/>
            </w:tcBorders>
            <w:shd w:fill="FFF2CC" w:val="clear"/>
            <w:tcMar>
              <w:top w:type="dxa" w:w="120"/>
              <w:left w:type="dxa" w:w="160"/>
              <w:bottom w:type="dxa" w:w="120"/>
              <w:right w:type="dxa" w:w="160"/>
            </w:tcMar>
          </w:tcPr>
          <w:p>
            <w:pPr>
              <w:spacing w:after="0"/>
            </w:pPr>
            <w:r>
              <w:rPr>
                <w:rFonts w:ascii="Arial" w:cs="Arial" w:eastAsia="Arial" w:hAnsi="Arial"/>
                <w:b/>
                <w:bCs/>
                <w:color w:val="C55A11"/>
                <w:sz w:val="22"/>
                <w:szCs w:val="22"/>
              </w:rPr>
              <w:t xml:space="preserve">Research Note:  </w:t>
            </w:r>
            <w:r>
              <w:rPr>
                <w:rFonts w:ascii="Arial" w:cs="Arial" w:eastAsia="Arial" w:hAnsi="Arial"/>
                <w:sz w:val="22"/>
                <w:szCs w:val="22"/>
              </w:rPr>
              <w:t xml:space="preserve">P-6 and P-7 contain preliminary claims requiring verification before external use. See Appendix B (primary research plan) and Appendix C (competitor evidence log).</w:t>
            </w:r>
          </w:p>
        </w:tc>
      </w:tr>
    </w:tbl>
    <w:p>
      <w:r>
        <w:br w:type="page"/>
      </w:r>
    </w:p>
    <w:p>
      <w:pPr>
        <w:pStyle w:val="Heading1"/>
        <w:spacing w:after="80" w:before="240"/>
      </w:pPr>
      <w:r>
        <w:rPr>
          <w:rFonts w:ascii="Arial" w:cs="Arial" w:eastAsia="Arial" w:hAnsi="Arial"/>
          <w:b/>
          <w:bCs/>
          <w:color w:val="1F4E79"/>
          <w:sz w:val="34"/>
          <w:szCs w:val="34"/>
        </w:rPr>
        <w:t xml:space="preserve">3  Solution — ParkGuard AI</w:t>
      </w:r>
    </w:p>
    <w:p>
      <w:pPr>
        <w:pBdr>
          <w:bottom w:val="single" w:color="2E75B6" w:sz="8" w:space="1"/>
        </w:pBdr>
        <w:spacing w:after="160"/>
      </w:pPr>
    </w:p>
    <w:p>
      <w:pPr>
        <w:spacing w:after="120" w:line="276"/>
      </w:pPr>
      <w:r>
        <w:rPr>
          <w:rFonts w:ascii="Arial" w:cs="Arial" w:eastAsia="Arial" w:hAnsi="Arial"/>
          <w:sz w:val="22"/>
          <w:szCs w:val="22"/>
        </w:rPr>
        <w:t xml:space="preserve">ParkGuard AI is a five-layer software pipeline connecting existing Provision ISR DVR infrastructure to AI-powered parking enforcement and dual-channel notification. Fully open-source, runs on consumer hardware, no cloud API required.</w:t>
      </w:r>
    </w:p>
    <w:p>
      <w:pPr>
        <w:spacing w:after="12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BFBF" w:sz="4"/>
              <w:left w:val="single" w:color="BFBFBF" w:sz="4"/>
              <w:bottom w:val="single" w:color="BFBFBF" w:sz="4"/>
              <w:right w:val="single" w:color="BFBFBF" w:sz="4"/>
            </w:tcBorders>
            <w:shd w:fill="D6E4F0" w:val="clear"/>
            <w:tcMar>
              <w:top w:type="dxa" w:w="120"/>
              <w:left w:type="dxa" w:w="160"/>
              <w:bottom w:type="dxa" w:w="120"/>
              <w:right w:type="dxa" w:w="160"/>
            </w:tcMar>
          </w:tcPr>
          <w:p>
            <w:pPr>
              <w:spacing w:after="60"/>
            </w:pPr>
            <w:r>
              <w:rPr>
                <w:rFonts w:ascii="Arial" w:cs="Arial" w:eastAsia="Arial" w:hAnsi="Arial"/>
                <w:sz w:val="22"/>
                <w:szCs w:val="22"/>
              </w:rPr>
              <w:t xml:space="preserve">  ┌─────────────────────────────────────────────────────────────────┐</w:t>
            </w:r>
          </w:p>
          <w:p>
            <w:pPr>
              <w:spacing w:after="60"/>
            </w:pPr>
            <w:r>
              <w:rPr>
                <w:rFonts w:ascii="Arial" w:cs="Arial" w:eastAsia="Arial" w:hAnsi="Arial"/>
                <w:sz w:val="22"/>
                <w:szCs w:val="22"/>
              </w:rPr>
              <w:t xml:space="preserve">  │  INPUT: camera_id  +  start_datetime  +  end_datetime           │</w:t>
            </w:r>
          </w:p>
          <w:p>
            <w:pPr>
              <w:spacing w:after="60"/>
            </w:pPr>
            <w:r>
              <w:rPr>
                <w:rFonts w:ascii="Arial" w:cs="Arial" w:eastAsia="Arial" w:hAnsi="Arial"/>
                <w:sz w:val="22"/>
                <w:szCs w:val="22"/>
              </w:rPr>
              <w:t xml:space="preserve">  └─────────────────────────┬───────────────────────────────────────┘</w:t>
            </w:r>
          </w:p>
          <w:p>
            <w:pPr>
              <w:spacing w:after="60"/>
            </w:pPr>
            <w:r>
              <w:rPr>
                <w:rFonts w:ascii="Arial" w:cs="Arial" w:eastAsia="Arial" w:hAnsi="Arial"/>
                <w:sz w:val="22"/>
                <w:szCs w:val="22"/>
              </w:rPr>
              <w:t xml:space="preserve">                            ▼</w:t>
            </w:r>
          </w:p>
          <w:p>
            <w:pPr>
              <w:spacing w:after="60"/>
            </w:pPr>
            <w:r>
              <w:rPr>
                <w:rFonts w:ascii="Arial" w:cs="Arial" w:eastAsia="Arial" w:hAnsi="Arial"/>
                <w:sz w:val="22"/>
                <w:szCs w:val="22"/>
              </w:rPr>
              <w:t xml:space="preserve">  ┌─────────────────────────────────────────────────────────────────┐</w:t>
            </w:r>
          </w:p>
          <w:p>
            <w:pPr>
              <w:spacing w:after="60"/>
            </w:pPr>
            <w:r>
              <w:rPr>
                <w:rFonts w:ascii="Arial" w:cs="Arial" w:eastAsia="Arial" w:hAnsi="Arial"/>
                <w:sz w:val="22"/>
                <w:szCs w:val="22"/>
              </w:rPr>
              <w:t xml:space="preserve">  │  L0 — DVR INGESTION                                             │</w:t>
            </w:r>
          </w:p>
          <w:p>
            <w:pPr>
              <w:spacing w:after="60"/>
            </w:pPr>
            <w:r>
              <w:rPr>
                <w:rFonts w:ascii="Arial" w:cs="Arial" w:eastAsia="Arial" w:hAnsi="Arial"/>
                <w:sz w:val="22"/>
                <w:szCs w:val="22"/>
              </w:rPr>
              <w:t xml:space="preserve">  │  FFmpeg pulls recorded segment from Provision ISR via RTSP      │</w:t>
            </w:r>
          </w:p>
          <w:p>
            <w:pPr>
              <w:spacing w:after="60"/>
            </w:pPr>
            <w:r>
              <w:rPr>
                <w:rFonts w:ascii="Arial" w:cs="Arial" w:eastAsia="Arial" w:hAnsi="Arial"/>
                <w:sz w:val="22"/>
                <w:szCs w:val="22"/>
              </w:rPr>
              <w:t xml:space="preserve">  └─────────────────────────┬───────────────────────────────────────┘</w:t>
            </w:r>
          </w:p>
          <w:p>
            <w:pPr>
              <w:spacing w:after="60"/>
            </w:pPr>
            <w:r>
              <w:rPr>
                <w:rFonts w:ascii="Arial" w:cs="Arial" w:eastAsia="Arial" w:hAnsi="Arial"/>
                <w:sz w:val="22"/>
                <w:szCs w:val="22"/>
              </w:rPr>
              <w:t xml:space="preserve">                            ▼</w:t>
            </w:r>
          </w:p>
          <w:p>
            <w:pPr>
              <w:spacing w:after="60"/>
            </w:pPr>
            <w:r>
              <w:rPr>
                <w:rFonts w:ascii="Arial" w:cs="Arial" w:eastAsia="Arial" w:hAnsi="Arial"/>
                <w:sz w:val="22"/>
                <w:szCs w:val="22"/>
              </w:rPr>
              <w:t xml:space="preserve">  ┌─────────────────────────────────────────────────────────────────┐</w:t>
            </w:r>
          </w:p>
          <w:p>
            <w:pPr>
              <w:spacing w:after="60"/>
            </w:pPr>
            <w:r>
              <w:rPr>
                <w:rFonts w:ascii="Arial" w:cs="Arial" w:eastAsia="Arial" w:hAnsi="Arial"/>
                <w:sz w:val="22"/>
                <w:szCs w:val="22"/>
              </w:rPr>
              <w:t xml:space="preserve">  │  L1 — FRAME PROCESSING  (adaptive sampling — see FR-2)         │</w:t>
            </w:r>
          </w:p>
          <w:p>
            <w:pPr>
              <w:spacing w:after="60"/>
            </w:pPr>
            <w:r>
              <w:rPr>
                <w:rFonts w:ascii="Arial" w:cs="Arial" w:eastAsia="Arial" w:hAnsi="Arial"/>
                <w:sz w:val="22"/>
                <w:szCs w:val="22"/>
              </w:rPr>
              <w:t xml:space="preserve">  │  Default: 1 FPS · On first detection: 4 FPS burst (60 sec)     │</w:t>
            </w:r>
          </w:p>
          <w:p>
            <w:pPr>
              <w:spacing w:after="60"/>
            </w:pPr>
            <w:r>
              <w:rPr>
                <w:rFonts w:ascii="Arial" w:cs="Arial" w:eastAsia="Arial" w:hAnsi="Arial"/>
                <w:sz w:val="22"/>
                <w:szCs w:val="22"/>
              </w:rPr>
              <w:t xml:space="preserve">  │  OpenCV + MediaPipe Object Detection → vehicle bounding boxes   │</w:t>
            </w:r>
          </w:p>
          <w:p>
            <w:pPr>
              <w:spacing w:after="60"/>
            </w:pPr>
            <w:r>
              <w:rPr>
                <w:rFonts w:ascii="Arial" w:cs="Arial" w:eastAsia="Arial" w:hAnsi="Arial"/>
                <w:sz w:val="22"/>
                <w:szCs w:val="22"/>
              </w:rPr>
              <w:t xml:space="preserve">  └──────────────┬────────────────────────────┬────────────────────┘</w:t>
            </w:r>
          </w:p>
          <w:p>
            <w:pPr>
              <w:spacing w:after="60"/>
            </w:pPr>
            <w:r>
              <w:rPr>
                <w:rFonts w:ascii="Arial" w:cs="Arial" w:eastAsia="Arial" w:hAnsi="Arial"/>
                <w:sz w:val="22"/>
                <w:szCs w:val="22"/>
              </w:rPr>
              <w:t xml:space="preserve">       first frame only                 all frames</w:t>
            </w:r>
          </w:p>
          <w:p>
            <w:pPr>
              <w:spacing w:after="60"/>
            </w:pPr>
            <w:r>
              <w:rPr>
                <w:rFonts w:ascii="Arial" w:cs="Arial" w:eastAsia="Arial" w:hAnsi="Arial"/>
                <w:sz w:val="22"/>
                <w:szCs w:val="22"/>
              </w:rPr>
              <w:t xml:space="preserve">                 ▼                             ▼</w:t>
            </w:r>
          </w:p>
          <w:p>
            <w:pPr>
              <w:spacing w:after="60"/>
            </w:pPr>
            <w:r>
              <w:rPr>
                <w:rFonts w:ascii="Arial" w:cs="Arial" w:eastAsia="Arial" w:hAnsi="Arial"/>
                <w:sz w:val="22"/>
                <w:szCs w:val="22"/>
              </w:rPr>
              <w:t xml:space="preserve">  ┌──────────────────────────┐  ┌─────────────────────────────────┐</w:t>
            </w:r>
          </w:p>
          <w:p>
            <w:pPr>
              <w:spacing w:after="60"/>
            </w:pPr>
            <w:r>
              <w:rPr>
                <w:rFonts w:ascii="Arial" w:cs="Arial" w:eastAsia="Arial" w:hAnsi="Arial"/>
                <w:sz w:val="22"/>
                <w:szCs w:val="22"/>
              </w:rPr>
              <w:t xml:space="preserve">  │  L2 — ZONE SELECTION     │  │  L3 — OCCUPANCY STATE MACHINE   │</w:t>
            </w:r>
          </w:p>
          <w:p>
            <w:pPr>
              <w:spacing w:after="60"/>
            </w:pPr>
            <w:r>
              <w:rPr>
                <w:rFonts w:ascii="Arial" w:cs="Arial" w:eastAsia="Arial" w:hAnsi="Arial"/>
                <w:sz w:val="22"/>
                <w:szCs w:val="22"/>
              </w:rPr>
              <w:t xml:space="preserve">  │  Agent 1 (Ollama/Llama)  │─▶│  IoU → dwell≥5min → same-car   │</w:t>
            </w:r>
          </w:p>
          <w:p>
            <w:pPr>
              <w:spacing w:after="60"/>
            </w:pPr>
            <w:r>
              <w:rPr>
                <w:rFonts w:ascii="Arial" w:cs="Arial" w:eastAsia="Arial" w:hAnsi="Arial"/>
                <w:sz w:val="22"/>
                <w:szCs w:val="22"/>
              </w:rPr>
              <w:t xml:space="preserve">  │  Hebrew / English        │  │  tracker → gatekeeper           │</w:t>
            </w:r>
          </w:p>
          <w:p>
            <w:pPr>
              <w:spacing w:after="60"/>
            </w:pPr>
            <w:r>
              <w:rPr>
                <w:rFonts w:ascii="Arial" w:cs="Arial" w:eastAsia="Arial" w:hAnsi="Arial"/>
                <w:sz w:val="22"/>
                <w:szCs w:val="22"/>
              </w:rPr>
              <w:t xml:space="preserve">  └──────────────────────────┘  └─────────────────┬───────────────┘</w:t>
            </w:r>
          </w:p>
          <w:p>
            <w:pPr>
              <w:spacing w:after="60"/>
            </w:pPr>
            <w:r>
              <w:rPr>
                <w:rFonts w:ascii="Arial" w:cs="Arial" w:eastAsia="Arial" w:hAnsi="Arial"/>
                <w:sz w:val="22"/>
                <w:szCs w:val="22"/>
              </w:rPr>
              <w:t xml:space="preserve">                                                   ▼</w:t>
            </w:r>
          </w:p>
          <w:p>
            <w:pPr>
              <w:spacing w:after="60"/>
            </w:pPr>
            <w:r>
              <w:rPr>
                <w:rFonts w:ascii="Arial" w:cs="Arial" w:eastAsia="Arial" w:hAnsi="Arial"/>
                <w:sz w:val="22"/>
                <w:szCs w:val="22"/>
              </w:rPr>
              <w:t xml:space="preserve">  ┌─────────────────────────────────────────────────────────────────┐</w:t>
            </w:r>
          </w:p>
          <w:p>
            <w:pPr>
              <w:spacing w:after="60"/>
            </w:pPr>
            <w:r>
              <w:rPr>
                <w:rFonts w:ascii="Arial" w:cs="Arial" w:eastAsia="Arial" w:hAnsi="Arial"/>
                <w:sz w:val="22"/>
                <w:szCs w:val="22"/>
              </w:rPr>
              <w:t xml:space="preserve">  │  L4 — DUAL-CHANNEL NOTIFICATION  (Agent 2)                      │</w:t>
            </w:r>
          </w:p>
          <w:p>
            <w:pPr>
              <w:spacing w:after="60"/>
            </w:pPr>
            <w:r>
              <w:rPr>
                <w:rFonts w:ascii="Arial" w:cs="Arial" w:eastAsia="Arial" w:hAnsi="Arial"/>
                <w:sz w:val="22"/>
                <w:szCs w:val="22"/>
              </w:rPr>
              <w:t xml:space="preserve">  │  📧 Gmail API  +  🚗 Telegram Bot — photo thumbnail + timestamp │</w:t>
            </w:r>
          </w:p>
          <w:p>
            <w:pPr>
              <w:spacing w:after="60"/>
            </w:pPr>
            <w:r>
              <w:rPr>
                <w:rFonts w:ascii="Arial" w:cs="Arial" w:eastAsia="Arial" w:hAnsi="Arial"/>
                <w:sz w:val="22"/>
                <w:szCs w:val="22"/>
              </w:rPr>
              <w:t xml:space="preserve">  └─────────────────────────┬───────────────────────────────────────┘</w:t>
            </w:r>
          </w:p>
          <w:p>
            <w:pPr>
              <w:spacing w:after="60"/>
            </w:pPr>
            <w:r>
              <w:rPr>
                <w:rFonts w:ascii="Arial" w:cs="Arial" w:eastAsia="Arial" w:hAnsi="Arial"/>
                <w:sz w:val="22"/>
                <w:szCs w:val="22"/>
              </w:rPr>
              <w:t xml:space="preserve">                            ▼</w:t>
            </w:r>
          </w:p>
          <w:p>
            <w:pPr>
              <w:spacing w:after="60"/>
            </w:pPr>
            <w:r>
              <w:rPr>
                <w:rFonts w:ascii="Arial" w:cs="Arial" w:eastAsia="Arial" w:hAnsi="Arial"/>
                <w:sz w:val="22"/>
                <w:szCs w:val="22"/>
              </w:rPr>
              <w:t xml:space="preserve">  ┌─────────────────────────────────────────────────────────────────┐</w:t>
            </w:r>
          </w:p>
          <w:p>
            <w:pPr>
              <w:spacing w:after="60"/>
            </w:pPr>
            <w:r>
              <w:rPr>
                <w:rFonts w:ascii="Arial" w:cs="Arial" w:eastAsia="Arial" w:hAnsi="Arial"/>
                <w:sz w:val="22"/>
                <w:szCs w:val="22"/>
              </w:rPr>
              <w:t xml:space="preserve">  │  L5 — STATISTICS  (pandas / CSV)                                │</w:t>
            </w:r>
          </w:p>
          <w:p>
            <w:pPr>
              <w:spacing w:after="60"/>
            </w:pPr>
            <w:r>
              <w:rPr>
                <w:rFonts w:ascii="Arial" w:cs="Arial" w:eastAsia="Arial" w:hAnsi="Arial"/>
                <w:sz w:val="22"/>
                <w:szCs w:val="22"/>
              </w:rPr>
              <w:t xml:space="preserve">  └─────────────────────────────────────────────────────────────────┘</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100"/>
        <w:gridCol w:w="2760"/>
        <w:gridCol w:w="2800"/>
      </w:tblGrid>
      <w:tr>
        <w:tc>
          <w:tcPr>
            <w:tcW w:type="dxa" w:w="7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FR</w:t>
            </w:r>
          </w:p>
        </w:tc>
        <w:tc>
          <w:tcPr>
            <w:tcW w:type="dxa" w:w="31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Requirement</w:t>
            </w:r>
          </w:p>
        </w:tc>
        <w:tc>
          <w:tcPr>
            <w:tcW w:type="dxa" w:w="27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Technology</w:t>
            </w:r>
          </w:p>
        </w:tc>
        <w:tc>
          <w:tcPr>
            <w:tcW w:type="dxa" w:w="2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Key Design Choice</w:t>
            </w:r>
          </w:p>
        </w:tc>
      </w:tr>
      <w:tr>
        <w:tc>
          <w:tcPr>
            <w:tcW w:type="dxa" w:w="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FR-1</w:t>
            </w:r>
          </w:p>
        </w:tc>
        <w:tc>
          <w:tcPr>
            <w:tcW w:type="dxa" w:w="3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Download DVR segment by camera + time range</w:t>
            </w:r>
          </w:p>
        </w:tc>
        <w:tc>
          <w:tcPr>
            <w:tcW w:type="dxa" w:w="2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FFmpeg over RTSP/ONVIF</w:t>
            </w:r>
          </w:p>
        </w:tc>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Provision ISR-specific — first in class</w:t>
            </w:r>
          </w:p>
        </w:tc>
      </w:tr>
      <w:tr>
        <w:tc>
          <w:tcPr>
            <w:tcW w:type="dxa" w:w="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FR-2</w:t>
            </w:r>
          </w:p>
        </w:tc>
        <w:tc>
          <w:tcPr>
            <w:tcW w:type="dxa" w:w="3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Frame-by-frame vehicle detection (adaptive sampling — N-7 fix)</w:t>
            </w:r>
          </w:p>
        </w:tc>
        <w:tc>
          <w:tcPr>
            <w:tcW w:type="dxa" w:w="2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Google MediaPipe EfficientDet-Lite (CPU)</w:t>
            </w:r>
          </w:p>
        </w:tc>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Default: 1 FPS (3,600 frames/hr at ~720 frames/min ≈ 5 min, satisfying M-5). ADAPTIVE BURST: when first car is detected in the zone, sampling immediately increases to 4 FPS for the next 60 seconds to establish precise arrival timestamp (±1 second accuracy, satisfying M-4 ±30s). Reverts to 1 FPS once car presence is confirmed.</w:t>
            </w:r>
          </w:p>
        </w:tc>
      </w:tr>
      <w:tr>
        <w:tc>
          <w:tcPr>
            <w:tcW w:type="dxa" w:w="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FR-3</w:t>
            </w:r>
          </w:p>
        </w:tc>
        <w:tc>
          <w:tcPr>
            <w:tcW w:type="dxa" w:w="3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Conversational zone selection (Hebrew/English)</w:t>
            </w:r>
          </w:p>
        </w:tc>
        <w:tc>
          <w:tcPr>
            <w:tcW w:type="dxa" w:w="2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Ollama + Llama 3.2 1B on WSL — fully offline</w:t>
            </w:r>
          </w:p>
        </w:tc>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No cloud API; no engineer; &lt;3 min setup. Single-command installer (Phase 7).</w:t>
            </w:r>
          </w:p>
        </w:tc>
      </w:tr>
      <w:tr>
        <w:tc>
          <w:tcPr>
            <w:tcW w:type="dxa" w:w="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FR-4</w:t>
            </w:r>
          </w:p>
        </w:tc>
        <w:tc>
          <w:tcPr>
            <w:tcW w:type="dxa" w:w="3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Detect car in zone for ≥5 continuous minutes</w:t>
            </w:r>
          </w:p>
        </w:tc>
        <w:tc>
          <w:tcPr>
            <w:tcW w:type="dxa" w:w="2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Python state machine + IoU overlap check</w:t>
            </w:r>
          </w:p>
        </w:tc>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Configurable threshold; grace period for brief exits</w:t>
            </w:r>
          </w:p>
        </w:tc>
      </w:tr>
      <w:tr>
        <w:tc>
          <w:tcPr>
            <w:tcW w:type="dxa" w:w="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FR-5</w:t>
            </w:r>
          </w:p>
        </w:tc>
        <w:tc>
          <w:tcPr>
            <w:tcW w:type="dxa" w:w="3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No duplicate alerts while same car is present</w:t>
            </w:r>
          </w:p>
        </w:tc>
        <w:tc>
          <w:tcPr>
            <w:tcW w:type="dxa" w:w="2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IoU-based spatial + temporal continuity tracker</w:t>
            </w:r>
          </w:p>
        </w:tc>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Eliminates alert fatigue for single parking events</w:t>
            </w:r>
          </w:p>
        </w:tc>
      </w:tr>
      <w:tr>
        <w:tc>
          <w:tcPr>
            <w:tcW w:type="dxa" w:w="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FR-6</w:t>
            </w:r>
          </w:p>
        </w:tc>
        <w:tc>
          <w:tcPr>
            <w:tcW w:type="dxa" w:w="3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Gatekeeper between alerts (N-3 fix: single-channel in Community)</w:t>
            </w:r>
          </w:p>
        </w:tc>
        <w:tc>
          <w:tcPr>
            <w:tcW w:type="dxa" w:w="2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Timestamp gatekeeper — channel-aware</w:t>
            </w:r>
          </w:p>
        </w:tc>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Community tier (single channel): gatekeeper applies to that one configured channel. Professional/Enterprise tiers (dual channel): gatekeeper applies cross-channel — a Telegram alert resets the email gatekeeper and vice versa. The 'cross-channel' qualifier does not apply to Community tier.</w:t>
            </w:r>
          </w:p>
        </w:tc>
      </w:tr>
      <w:tr>
        <w:tc>
          <w:tcPr>
            <w:tcW w:type="dxa" w:w="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FR-7</w:t>
            </w:r>
          </w:p>
        </w:tc>
        <w:tc>
          <w:tcPr>
            <w:tcW w:type="dxa" w:w="3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Statistics per run</w:t>
            </w:r>
          </w:p>
        </w:tc>
        <w:tc>
          <w:tcPr>
            <w:tcW w:type="dxa" w:w="2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pandas / CSV logger — JSON output</w:t>
            </w:r>
          </w:p>
        </w:tc>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Community: JSON log to local file. Professional+: CSV export with date-range filter via dashboard.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4200"/>
      </w:tblGrid>
      <w:tr>
        <w:tc>
          <w:tcPr>
            <w:tcW w:type="dxa" w:w="6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w:t>
            </w:r>
          </w:p>
        </w:tc>
        <w:tc>
          <w:tcPr>
            <w:tcW w:type="dxa" w:w="45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Metric</w:t>
            </w:r>
          </w:p>
        </w:tc>
        <w:tc>
          <w:tcPr>
            <w:tcW w:type="dxa" w:w="4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Target</w:t>
            </w:r>
          </w:p>
        </w:tc>
      </w:tr>
      <w:tr>
        <w:tc>
          <w:tcPr>
            <w:tcW w:type="dxa" w:w="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M-1</w:t>
            </w:r>
          </w:p>
        </w:tc>
        <w:tc>
          <w:tcPr>
            <w:tcW w:type="dxa" w:w="45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Detection precision (true detections / total MediaPipe detections in zone)</w:t>
            </w:r>
          </w:p>
        </w:tc>
        <w:tc>
          <w:tcPr>
            <w:tcW w:type="dxa" w:w="4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&gt; 0.85</w:t>
            </w:r>
          </w:p>
        </w:tc>
      </w:tr>
      <w:tr>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M-2</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Occupancy event recall (correctly detected events / total true events)</w:t>
            </w:r>
          </w:p>
        </w:tc>
        <w:tc>
          <w:tcPr>
            <w:tcW w:type="dxa" w:w="4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&gt; 0.90</w:t>
            </w:r>
          </w:p>
        </w:tc>
      </w:tr>
      <w:tr>
        <w:tc>
          <w:tcPr>
            <w:tcW w:type="dxa" w:w="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M-3</w:t>
            </w:r>
          </w:p>
        </w:tc>
        <w:tc>
          <w:tcPr>
            <w:tcW w:type="dxa" w:w="45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Alert precision (true-positive alerts / total alerts sent)</w:t>
            </w:r>
          </w:p>
        </w:tc>
        <w:tc>
          <w:tcPr>
            <w:tcW w:type="dxa" w:w="4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&gt; 0.95</w:t>
            </w:r>
          </w:p>
        </w:tc>
      </w:tr>
      <w:tr>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M-4</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Dwell-time accuracy (detected dwell within ±30s of actual)</w:t>
            </w:r>
          </w:p>
        </w:tc>
        <w:tc>
          <w:tcPr>
            <w:tcW w:type="dxa" w:w="4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Within ±30s on &gt;90% of events  [Achieved by: 4 FPS burst (FR-2) sets arrival time to ±1s. 1 FPS during confirmed presence introduces ≤59s departure-time error — mitigated by checking the frame immediately before and after departure. Net accuracy: ±30s achievable.]</w:t>
            </w:r>
          </w:p>
        </w:tc>
      </w:tr>
      <w:tr>
        <w:tc>
          <w:tcPr>
            <w:tcW w:type="dxa" w:w="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M-5</w:t>
            </w:r>
          </w:p>
        </w:tc>
        <w:tc>
          <w:tcPr>
            <w:tcW w:type="dxa" w:w="45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End-to-end latency — pipeline start to first alert (1-hr segment at 1 FPS)</w:t>
            </w:r>
          </w:p>
        </w:tc>
        <w:tc>
          <w:tcPr>
            <w:tcW w:type="dxa" w:w="4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&lt; 5 minutes  [1 FPS: 3,600 frames at ~720 frames/min ≈ 5 min. 4 FPS burst adds ≤5 seconds overhead per detection event — negligible on total latency.]</w:t>
            </w:r>
          </w:p>
        </w:tc>
      </w:tr>
      <w:tr>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M-6</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Zone selection dialogue turns (average before confirmation)</w:t>
            </w:r>
          </w:p>
        </w:tc>
        <w:tc>
          <w:tcPr>
            <w:tcW w:type="dxa" w:w="4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 2 turns</w:t>
            </w:r>
          </w:p>
        </w:tc>
      </w:tr>
      <w:tr>
        <w:tc>
          <w:tcPr>
            <w:tcW w:type="dxa" w:w="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M-7</w:t>
            </w:r>
          </w:p>
        </w:tc>
        <w:tc>
          <w:tcPr>
            <w:tcW w:type="dxa" w:w="45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Hebrew vs English IoU accuracy gap</w:t>
            </w:r>
          </w:p>
        </w:tc>
        <w:tc>
          <w:tcPr>
            <w:tcW w:type="dxa" w:w="4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&lt; 5% difference</w:t>
            </w:r>
          </w:p>
        </w:tc>
      </w:tr>
      <w:tr>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M-8</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Telegram delivery latency — detection decision to message received</w:t>
            </w:r>
          </w:p>
        </w:tc>
        <w:tc>
          <w:tcPr>
            <w:tcW w:type="dxa" w:w="4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&lt; 3 seconds</w:t>
            </w:r>
          </w:p>
        </w:tc>
      </w:tr>
    </w:tbl>
    <w:p>
      <w:r>
        <w:br w:type="page"/>
      </w:r>
    </w:p>
    <w:p>
      <w:pPr>
        <w:pStyle w:val="Heading1"/>
        <w:spacing w:after="80" w:before="240"/>
      </w:pPr>
      <w:r>
        <w:rPr>
          <w:rFonts w:ascii="Arial" w:cs="Arial" w:eastAsia="Arial" w:hAnsi="Arial"/>
          <w:b/>
          <w:bCs/>
          <w:color w:val="1F4E79"/>
          <w:sz w:val="34"/>
          <w:szCs w:val="34"/>
        </w:rPr>
        <w:t xml:space="preserve">4  Market Analysis</w:t>
      </w:r>
    </w:p>
    <w:p>
      <w:pPr>
        <w:pBdr>
          <w:bottom w:val="single" w:color="2E75B6" w:sz="8" w:space="1"/>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60"/>
        <w:gridCol w:w="2200"/>
        <w:gridCol w:w="2600"/>
      </w:tblGrid>
      <w:tr>
        <w:tc>
          <w:tcPr>
            <w:tcW w:type="dxa" w:w="2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Data Point</w:t>
            </w:r>
          </w:p>
        </w:tc>
        <w:tc>
          <w:tcPr>
            <w:tcW w:type="dxa" w:w="17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Value</w:t>
            </w:r>
          </w:p>
        </w:tc>
        <w:tc>
          <w:tcPr>
            <w:tcW w:type="dxa" w:w="2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Source</w:t>
            </w:r>
          </w:p>
        </w:tc>
        <w:tc>
          <w:tcPr>
            <w:tcW w:type="dxa" w:w="26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Reference Figure</w:t>
            </w:r>
          </w:p>
        </w:tc>
      </w:tr>
      <w:tr>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Global smart parking market (2024)</w:t>
            </w:r>
          </w:p>
        </w:tc>
        <w:tc>
          <w:tcPr>
            <w:tcW w:type="dxa" w:w="1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$6.8B – $8.5B</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Straits Research, Zion MR, IMARC, Grand View</w:t>
            </w:r>
          </w:p>
        </w:tc>
        <w:tc>
          <w:tcPr>
            <w:tcW w:type="dxa" w:w="2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Chosen: $7.6B (median)</w:t>
            </w:r>
          </w:p>
        </w:tc>
      </w:tr>
      <w:tr>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Projected market (2033)</w:t>
            </w:r>
          </w:p>
        </w:tc>
        <w:tc>
          <w:tcPr>
            <w:tcW w:type="dxa" w:w="1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$14.1B – $53.4B</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Multiple analysts</w:t>
            </w:r>
          </w:p>
        </w:tc>
        <w:tc>
          <w:tcPr>
            <w:tcW w:type="dxa" w:w="2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Conservative: $18B (low-end median)</w:t>
            </w:r>
          </w:p>
        </w:tc>
      </w:tr>
      <w:tr>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CAGR 2025–2033</w:t>
            </w:r>
          </w:p>
        </w:tc>
        <w:tc>
          <w:tcPr>
            <w:tcW w:type="dxa" w:w="1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9.1% – 23.3%</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Market Research Future, Grand View</w:t>
            </w:r>
          </w:p>
        </w:tc>
        <w:tc>
          <w:tcPr>
            <w:tcW w:type="dxa" w:w="2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Base: 17%; sensitivity: 9% and 23%</w:t>
            </w:r>
          </w:p>
        </w:tc>
      </w:tr>
      <w:tr>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Camera-based AI parking segment (2035)</w:t>
            </w:r>
          </w:p>
        </w:tc>
        <w:tc>
          <w:tcPr>
            <w:tcW w:type="dxa" w:w="1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~$5.25B</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Market Research Future</w:t>
            </w:r>
          </w:p>
        </w:tc>
        <w:tc>
          <w:tcPr>
            <w:tcW w:type="dxa" w:w="2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ParkGuard AI's primary sub-segment</w:t>
            </w:r>
          </w:p>
        </w:tc>
      </w:tr>
      <w:tr>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Commercial segment share (end-users)</w:t>
            </w:r>
          </w:p>
        </w:tc>
        <w:tc>
          <w:tcPr>
            <w:tcW w:type="dxa" w:w="1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~42%</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Maximize Market Research (2024)</w:t>
            </w:r>
          </w:p>
        </w:tc>
        <w:tc>
          <w:tcPr>
            <w:tcW w:type="dxa" w:w="2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Primary target: commercial (office/retail)</w:t>
            </w:r>
          </w:p>
        </w:tc>
      </w:tr>
    </w:tbl>
    <w:p>
      <w:pPr>
        <w:spacing w:after="200"/>
      </w:pPr>
    </w:p>
    <w:p>
      <w:pPr>
        <w:spacing w:after="80" w:before="16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4290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Chart 3 — TAM / SAM / SOM Funnel (Global → Israel/MENA → Capturable)</w:t>
      </w:r>
    </w:p>
    <w:p>
      <w:pPr>
        <w:spacing w:after="120"/>
      </w:pPr>
    </w:p>
    <w:p>
      <w:pPr>
        <w:spacing w:after="120" w:line="276"/>
      </w:pPr>
      <w:r>
        <w:rPr>
          <w:rFonts w:ascii="Arial" w:cs="Arial" w:eastAsia="Arial" w:hAnsi="Arial"/>
          <w:b/>
          <w:bCs/>
          <w:sz w:val="22"/>
          <w:szCs w:val="22"/>
        </w:rPr>
        <w:t xml:space="preserve">SAM — Serviceable Addressable Market (Sensitivity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20"/>
        <w:gridCol w:w="1520"/>
        <w:gridCol w:w="1520"/>
        <w:gridCol w:w="2200"/>
      </w:tblGrid>
      <w:tr>
        <w:tc>
          <w:tcPr>
            <w:tcW w:type="dxa" w:w="26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Assumption</w:t>
            </w:r>
          </w:p>
        </w:tc>
        <w:tc>
          <w:tcPr>
            <w:tcW w:type="dxa" w:w="152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Low Case</w:t>
            </w:r>
          </w:p>
        </w:tc>
        <w:tc>
          <w:tcPr>
            <w:tcW w:type="dxa" w:w="152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Base Case</w:t>
            </w:r>
          </w:p>
        </w:tc>
        <w:tc>
          <w:tcPr>
            <w:tcW w:type="dxa" w:w="152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High Case</w:t>
            </w:r>
          </w:p>
        </w:tc>
        <w:tc>
          <w:tcPr>
            <w:tcW w:type="dxa" w:w="2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Note</w:t>
            </w:r>
          </w:p>
        </w:tc>
      </w:tr>
      <w:tr>
        <w:tc>
          <w:tcPr>
            <w:tcW w:type="dxa" w:w="2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Global market size (2024)</w:t>
            </w:r>
          </w:p>
        </w:tc>
        <w:tc>
          <w:tcPr>
            <w:tcW w:type="dxa" w:w="152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$6.8B</w:t>
            </w:r>
          </w:p>
        </w:tc>
        <w:tc>
          <w:tcPr>
            <w:tcW w:type="dxa" w:w="152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$7.6B</w:t>
            </w:r>
          </w:p>
        </w:tc>
        <w:tc>
          <w:tcPr>
            <w:tcW w:type="dxa" w:w="152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$8.5B</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Analyst range</w:t>
            </w:r>
          </w:p>
        </w:tc>
      </w:tr>
      <w:tr>
        <w:tc>
          <w:tcPr>
            <w:tcW w:type="dxa" w:w="2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Israel/MENA regional share</w:t>
            </w:r>
          </w:p>
        </w:tc>
        <w:tc>
          <w:tcPr>
            <w:tcW w:type="dxa" w:w="152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1.5%</w:t>
            </w:r>
          </w:p>
        </w:tc>
        <w:tc>
          <w:tcPr>
            <w:tcW w:type="dxa" w:w="152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2.4%</w:t>
            </w:r>
          </w:p>
        </w:tc>
        <w:tc>
          <w:tcPr>
            <w:tcW w:type="dxa" w:w="152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3.5%</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IMARC regional; Israel = ~0.1% of global GDP but higher tech-density</w:t>
            </w:r>
          </w:p>
        </w:tc>
      </w:tr>
      <w:tr>
        <w:tc>
          <w:tcPr>
            <w:tcW w:type="dxa" w:w="2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Camera-software sub-segment share</w:t>
            </w:r>
          </w:p>
        </w:tc>
        <w:tc>
          <w:tcPr>
            <w:tcW w:type="dxa" w:w="152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25%</w:t>
            </w:r>
          </w:p>
        </w:tc>
        <w:tc>
          <w:tcPr>
            <w:tcW w:type="dxa" w:w="152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35%</w:t>
            </w:r>
          </w:p>
        </w:tc>
        <w:tc>
          <w:tcPr>
            <w:tcW w:type="dxa" w:w="152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45%</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Excludes hardware-only solutions</w:t>
            </w:r>
          </w:p>
        </w:tc>
      </w:tr>
      <w:tr>
        <w:tc>
          <w:tcPr>
            <w:tcW w:type="dxa" w:w="2600"/>
            <w:tcBorders>
              <w:top w:val="single" w:color="BFBFBF" w:sz="4"/>
              <w:left w:val="single" w:color="BFBFBF" w:sz="4"/>
              <w:bottom w:val="single" w:color="BFBFBF" w:sz="4"/>
              <w:right w:val="single" w:color="BFBFBF" w:sz="4"/>
            </w:tcBorders>
            <w:shd w:fill="BDD7EE"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DERIVED SAM</w:t>
            </w:r>
          </w:p>
        </w:tc>
        <w:tc>
          <w:tcPr>
            <w:tcW w:type="dxa" w:w="1520"/>
            <w:tcBorders>
              <w:top w:val="single" w:color="BFBFBF" w:sz="4"/>
              <w:left w:val="single" w:color="BFBFBF" w:sz="4"/>
              <w:bottom w:val="single" w:color="BFBFBF" w:sz="4"/>
              <w:right w:val="single" w:color="BFBFBF" w:sz="4"/>
            </w:tcBorders>
            <w:shd w:fill="BDD7EE"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~$26M</w:t>
            </w:r>
          </w:p>
        </w:tc>
        <w:tc>
          <w:tcPr>
            <w:tcW w:type="dxa" w:w="1520"/>
            <w:tcBorders>
              <w:top w:val="single" w:color="BFBFBF" w:sz="4"/>
              <w:left w:val="single" w:color="BFBFBF" w:sz="4"/>
              <w:bottom w:val="single" w:color="BFBFBF" w:sz="4"/>
              <w:right w:val="single" w:color="BFBFBF" w:sz="4"/>
            </w:tcBorders>
            <w:shd w:fill="BDD7EE"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~$64M</w:t>
            </w:r>
          </w:p>
        </w:tc>
        <w:tc>
          <w:tcPr>
            <w:tcW w:type="dxa" w:w="1520"/>
            <w:tcBorders>
              <w:top w:val="single" w:color="BFBFBF" w:sz="4"/>
              <w:left w:val="single" w:color="BFBFBF" w:sz="4"/>
              <w:bottom w:val="single" w:color="BFBFBF" w:sz="4"/>
              <w:right w:val="single" w:color="BFBFBF" w:sz="4"/>
            </w:tcBorders>
            <w:shd w:fill="BDD7EE"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~$134M</w:t>
            </w:r>
          </w:p>
        </w:tc>
        <w:tc>
          <w:tcPr>
            <w:tcW w:type="dxa" w:w="2200"/>
            <w:tcBorders>
              <w:top w:val="single" w:color="BFBFBF" w:sz="4"/>
              <w:left w:val="single" w:color="BFBFBF" w:sz="4"/>
              <w:bottom w:val="single" w:color="BFBFBF" w:sz="4"/>
              <w:right w:val="single" w:color="BFBFBF" w:sz="4"/>
            </w:tcBorders>
            <w:shd w:fill="BDD7EE"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Base $64M. Independent Israeli source sought — INPA/Israel Smart Cities Institute (added to Appendix B per committee observation).</w:t>
            </w:r>
          </w:p>
        </w:tc>
      </w:tr>
    </w:tbl>
    <w:p>
      <w:pPr>
        <w:spacing w:after="120"/>
      </w:pPr>
    </w:p>
    <w:p>
      <w:pPr>
        <w:spacing w:after="120" w:line="276"/>
      </w:pPr>
      <w:r>
        <w:rPr>
          <w:rFonts w:ascii="Arial" w:cs="Arial" w:eastAsia="Arial" w:hAnsi="Arial"/>
          <w:b/>
          <w:bCs/>
          <w:sz w:val="22"/>
          <w:szCs w:val="22"/>
        </w:rPr>
        <w:t xml:space="preserve">SOM — Serviceable Obtainable Market (First-Principles Derivation)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20"/>
        <w:gridCol w:w="1520"/>
        <w:gridCol w:w="3120"/>
      </w:tblGrid>
      <w:tr>
        <w:tc>
          <w:tcPr>
            <w:tcW w:type="dxa" w:w="3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Input</w:t>
            </w:r>
          </w:p>
        </w:tc>
        <w:tc>
          <w:tcPr>
            <w:tcW w:type="dxa" w:w="152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Low</w:t>
            </w:r>
          </w:p>
        </w:tc>
        <w:tc>
          <w:tcPr>
            <w:tcW w:type="dxa" w:w="152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Base</w:t>
            </w:r>
          </w:p>
        </w:tc>
        <w:tc>
          <w:tcPr>
            <w:tcW w:type="dxa" w:w="312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Notes</w:t>
            </w:r>
          </w:p>
        </w:tc>
      </w:tr>
      <w:tr>
        <w:tc>
          <w:tcPr>
            <w:tcW w:type="dxa" w:w="3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Target accounts in Israel (primary segments)</w:t>
            </w:r>
          </w:p>
        </w:tc>
        <w:tc>
          <w:tcPr>
            <w:tcW w:type="dxa" w:w="152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8,500</w:t>
            </w:r>
          </w:p>
        </w:tc>
        <w:tc>
          <w:tcPr>
            <w:tcW w:type="dxa" w:w="152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12,850</w:t>
            </w:r>
          </w:p>
        </w:tc>
        <w:tc>
          <w:tcPr>
            <w:tcW w:type="dxa" w:w="312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Residential + office + hospitals + education (estimates — CBS Israel data needed)</w:t>
            </w:r>
          </w:p>
        </w:tc>
      </w:tr>
      <w:tr>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Realistic 3-year penetration rate</w:t>
            </w:r>
          </w:p>
        </w:tc>
        <w:tc>
          <w:tcPr>
            <w:tcW w:type="dxa" w:w="152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0.8%</w:t>
            </w:r>
          </w:p>
        </w:tc>
        <w:tc>
          <w:tcPr>
            <w:tcW w:type="dxa" w:w="152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1.7%</w:t>
            </w:r>
          </w:p>
        </w:tc>
        <w:tc>
          <w:tcPr>
            <w:tcW w:type="dxa" w:w="312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Early-stage product; community + paid combined</w:t>
            </w:r>
          </w:p>
        </w:tc>
      </w:tr>
      <w:tr>
        <w:tc>
          <w:tcPr>
            <w:tcW w:type="dxa" w:w="3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Average lifetime value per account</w:t>
            </w:r>
          </w:p>
        </w:tc>
        <w:tc>
          <w:tcPr>
            <w:tcW w:type="dxa" w:w="152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$18,000</w:t>
            </w:r>
          </w:p>
        </w:tc>
        <w:tc>
          <w:tcPr>
            <w:tcW w:type="dxa" w:w="152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$24,500</w:t>
            </w:r>
          </w:p>
        </w:tc>
        <w:tc>
          <w:tcPr>
            <w:tcW w:type="dxa" w:w="312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Services ($2,000) + Pro/Ent subscription (3-yr avg) + renewals</w:t>
            </w:r>
          </w:p>
        </w:tc>
      </w:tr>
      <w:tr>
        <w:tc>
          <w:tcPr>
            <w:tcW w:type="dxa" w:w="320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DERIVED SOM</w:t>
            </w:r>
          </w:p>
        </w:tc>
        <w:tc>
          <w:tcPr>
            <w:tcW w:type="dxa" w:w="152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~$1.2M</w:t>
            </w:r>
          </w:p>
        </w:tc>
        <w:tc>
          <w:tcPr>
            <w:tcW w:type="dxa" w:w="152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~$5.4M</w:t>
            </w:r>
          </w:p>
        </w:tc>
        <w:tc>
          <w:tcPr>
            <w:tcW w:type="dxa" w:w="312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Base: 12,850 × 1.7% × $24,500. Independent of revenue model.</w:t>
            </w:r>
          </w:p>
        </w:tc>
      </w:tr>
    </w:tbl>
    <w:p>
      <w:r>
        <w:br w:type="page"/>
      </w:r>
    </w:p>
    <w:p>
      <w:pPr>
        <w:pStyle w:val="Heading1"/>
        <w:spacing w:after="80" w:before="240"/>
      </w:pPr>
      <w:r>
        <w:rPr>
          <w:rFonts w:ascii="Arial" w:cs="Arial" w:eastAsia="Arial" w:hAnsi="Arial"/>
          <w:b/>
          <w:bCs/>
          <w:color w:val="1F4E79"/>
          <w:sz w:val="34"/>
          <w:szCs w:val="34"/>
        </w:rPr>
        <w:t xml:space="preserve">5  Competitor Analysis</w:t>
      </w:r>
    </w:p>
    <w:p>
      <w:pPr>
        <w:pBdr>
          <w:bottom w:val="single" w:color="2E75B6" w:sz="8" w:space="1"/>
        </w:pBdr>
        <w:spacing w:after="160"/>
      </w:pPr>
    </w:p>
    <w:p>
      <w:pPr>
        <w:spacing w:after="120" w:line="276"/>
      </w:pPr>
      <w:r>
        <w:rPr>
          <w:rFonts w:ascii="Arial" w:cs="Arial" w:eastAsia="Arial" w:hAnsi="Arial"/>
          <w:sz w:val="22"/>
          <w:szCs w:val="22"/>
        </w:rPr>
        <w:t xml:space="preserve">All competitor pricing is estimated pending Appendix C verification. The TCO comparison should not be used in external investor presentations until Appendix C research is complete.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2000"/>
        <w:gridCol w:w="2160"/>
      </w:tblGrid>
      <w:tr>
        <w:tc>
          <w:tcPr>
            <w:tcW w:type="dxa" w:w="16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Competitor</w:t>
            </w:r>
          </w:p>
        </w:tc>
        <w:tc>
          <w:tcPr>
            <w:tcW w:type="dxa" w:w="16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Product</w:t>
            </w:r>
          </w:p>
        </w:tc>
        <w:tc>
          <w:tcPr>
            <w:tcW w:type="dxa" w:w="2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Strengths</w:t>
            </w:r>
          </w:p>
        </w:tc>
        <w:tc>
          <w:tcPr>
            <w:tcW w:type="dxa" w:w="2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Weaknesses</w:t>
            </w:r>
          </w:p>
        </w:tc>
        <w:tc>
          <w:tcPr>
            <w:tcW w:type="dxa" w:w="21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ParkGuard AI Position</w:t>
            </w:r>
          </w:p>
        </w:tc>
      </w:tr>
      <w:tr>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SenSen AI (Australia)</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Camera-based overstay + LPR</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97%+ accuracy; real-time; full enforcement lifecycle</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Requires dedicated cameras; $15K+/site; no DVR integration; no Hebrew</w:t>
            </w:r>
          </w:p>
        </w:tc>
        <w:tc>
          <w:tcPr>
            <w:tcW w:type="dxa" w:w="21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Undercut on cost for single-zone SMB use cases</w:t>
            </w:r>
          </w:p>
        </w:tc>
      </w:tr>
      <w:tr>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Parquery (Czech Republic)</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'Any camera' AI occupancy + LPR</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Works on existing cameras; 99.7% accuracy; SaaS; GDPR-compliant</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Per-camera SaaS subscription; cloud-dependent; no Telegram; no Hebrew; no DVR recorded-segment</w:t>
            </w:r>
          </w:p>
        </w:tc>
        <w:tc>
          <w:tcPr>
            <w:tcW w:type="dxa" w:w="2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Zero recurring cost vs Parquery. DVR integration unique.</w:t>
            </w:r>
          </w:p>
        </w:tc>
      </w:tr>
      <w:tr>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Parkinto (Czech Republic)</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AI occupancy detection SaaS</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Per-camera SaaS; 99.4% accuracy certified</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Subscription model; no local LLM; no DVR; English only</w:t>
            </w:r>
          </w:p>
        </w:tc>
        <w:tc>
          <w:tcPr>
            <w:tcW w:type="dxa" w:w="21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Perpetual license vs SaaS. Local AI vs cloud dependency.</w:t>
            </w:r>
          </w:p>
        </w:tc>
      </w:tr>
      <w:tr>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Cleverciti (Germany)</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Edge AI sensor + cloud analytics</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Precise spatial detection; city-scale deployment</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Hardware sensors required; enterprise pricing; no recorded-footage analysis</w:t>
            </w:r>
          </w:p>
        </w:tc>
        <w:tc>
          <w:tcPr>
            <w:tcW w:type="dxa" w:w="2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SMB gap: Cleverciti targets cities; ParkGuard AI targets facilities.</w:t>
            </w:r>
          </w:p>
        </w:tc>
      </w:tr>
      <w:tr>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SoftServeInc SmartParking</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Open-source enterprise pipeline</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Open source; multi-camera; documented architecture</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No notifications; no LLM; no DVR; requires DevOps engineer</w:t>
            </w:r>
          </w:p>
        </w:tc>
        <w:tc>
          <w:tcPr>
            <w:tcW w:type="dxa" w:w="21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ParkGuard AI is the deployable non-engineer version.</w:t>
            </w:r>
          </w:p>
        </w:tc>
      </w:tr>
    </w:tbl>
    <w:p>
      <w:pPr>
        <w:spacing w:after="200"/>
      </w:pPr>
    </w:p>
    <w:p>
      <w:pPr>
        <w:spacing w:after="120" w:line="276"/>
      </w:pPr>
      <w:r>
        <w:rPr>
          <w:rFonts w:ascii="Arial" w:cs="Arial" w:eastAsia="Arial" w:hAnsi="Arial"/>
          <w:sz w:val="22"/>
          <w:szCs w:val="22"/>
        </w:rPr>
        <w:t xml:space="preserve">Current AI parking product: Hikvision's DeepinView camera series includes 'Parking Lot Management' analytics detecting vehicle occupancy via iVMS-4200 VMS. Requires Hikvision IP cameras — does not support Provision ISR DVR systems or recorded-segment analysis.</w:t>
      </w:r>
    </w:p>
    <w:p>
      <w:pPr>
        <w:spacing w:after="120" w:line="276"/>
      </w:pPr>
      <w:r>
        <w:rPr>
          <w:rFonts w:ascii="Arial" w:cs="Arial" w:eastAsia="Arial" w:hAnsi="Arial"/>
          <w:sz w:val="22"/>
          <w:szCs w:val="22"/>
        </w:rPr>
        <w:t xml:space="preserve">M&amp;A history (2020–2025): No significant acquisitions in camera-agnostic AI parking software. AI analytics capability grown through internal R&amp;D, primarily in LPR hardware. Dahua similarly has not acquired a camera-agnostic parking AI platform.</w:t>
      </w:r>
    </w:p>
    <w:p>
      <w:pPr>
        <w:spacing w:after="120" w:line="276"/>
      </w:pPr>
      <w:r>
        <w:rPr>
          <w:rFonts w:ascii="Arial" w:cs="Arial" w:eastAsia="Arial" w:hAnsi="Arial"/>
          <w:sz w:val="22"/>
          <w:szCs w:val="22"/>
        </w:rPr>
        <w:t xml:space="preserve">Time-to-DVR-AI-plugin estimate: Approximately 18–24 months if prioritised. Key barrier: Provision ISR's proprietary RTSP protocol requires reverse-engineering or an API partnership. Not a publicly stated product priority as of May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BFBF" w:sz="4"/>
              <w:left w:val="single" w:color="BFBFBF" w:sz="4"/>
              <w:bottom w:val="single" w:color="BFBFBF" w:sz="4"/>
              <w:right w:val="single" w:color="BFBFBF" w:sz="4"/>
            </w:tcBorders>
            <w:shd w:fill="D6E4F0" w:val="clear"/>
            <w:tcMar>
              <w:top w:type="dxa" w:w="120"/>
              <w:left w:type="dxa" w:w="160"/>
              <w:bottom w:type="dxa" w:w="120"/>
              <w:right w:type="dxa" w:w="160"/>
            </w:tcMar>
          </w:tcPr>
          <w:p>
            <w:pPr>
              <w:spacing w:after="60"/>
            </w:pPr>
            <w:r>
              <w:rPr>
                <w:rFonts w:ascii="Arial" w:cs="Arial" w:eastAsia="Arial" w:hAnsi="Arial"/>
                <w:sz w:val="22"/>
                <w:szCs w:val="22"/>
              </w:rPr>
              <w:t xml:space="preserve">Hikvision Competitive Summary:</w:t>
            </w:r>
          </w:p>
          <w:p>
            <w:pPr>
              <w:spacing w:after="60"/>
            </w:pPr>
            <w:r>
              <w:rPr>
                <w:rFonts w:ascii="Arial" w:cs="Arial" w:eastAsia="Arial" w:hAnsi="Arial"/>
                <w:sz w:val="22"/>
                <w:szCs w:val="22"/>
              </w:rPr>
              <w:t xml:space="preserve">  Current threat: Medium-High (same market, different hardware dependency)</w:t>
            </w:r>
          </w:p>
          <w:p>
            <w:pPr>
              <w:spacing w:after="60"/>
            </w:pPr>
            <w:r>
              <w:rPr>
                <w:rFonts w:ascii="Arial" w:cs="Arial" w:eastAsia="Arial" w:hAnsi="Arial"/>
                <w:sz w:val="22"/>
                <w:szCs w:val="22"/>
              </w:rPr>
              <w:t xml:space="preserve">  12-month threat: Low (no DVR-AI product in pipeline from public sources)</w:t>
            </w:r>
          </w:p>
          <w:p>
            <w:pPr>
              <w:spacing w:after="60"/>
            </w:pPr>
            <w:r>
              <w:rPr>
                <w:rFonts w:ascii="Arial" w:cs="Arial" w:eastAsia="Arial" w:hAnsi="Arial"/>
                <w:sz w:val="22"/>
                <w:szCs w:val="22"/>
              </w:rPr>
              <w:t xml:space="preserve">  24-month threat: Medium (could accelerate if ParkGuard AI achieves visible traction)</w:t>
            </w:r>
          </w:p>
          <w:p>
            <w:pPr>
              <w:spacing w:after="60"/>
            </w:pPr>
            <w:r>
              <w:rPr>
                <w:rFonts w:ascii="Arial" w:cs="Arial" w:eastAsia="Arial" w:hAnsi="Arial"/>
                <w:sz w:val="22"/>
                <w:szCs w:val="22"/>
              </w:rPr>
              <w:t xml:space="preserve">  Recommended moat defence: Sign Provision ISR distributor partnership before Month 9.</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2960"/>
        <w:gridCol w:w="3300"/>
      </w:tblGrid>
      <w:tr>
        <w:tc>
          <w:tcPr>
            <w:tcW w:type="dxa" w:w="2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Project</w:t>
            </w:r>
          </w:p>
        </w:tc>
        <w:tc>
          <w:tcPr>
            <w:tcW w:type="dxa" w:w="7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Stars</w:t>
            </w:r>
          </w:p>
        </w:tc>
        <w:tc>
          <w:tcPr>
            <w:tcW w:type="dxa" w:w="29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Core Limitation</w:t>
            </w:r>
          </w:p>
        </w:tc>
        <w:tc>
          <w:tcPr>
            <w:tcW w:type="dxa" w:w="33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Why ParkGuard AI Wins</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SoftServeInc/smartparking</w:t>
            </w:r>
          </w:p>
        </w:tc>
        <w:tc>
          <w:tcPr>
            <w:tcW w:type="dxa" w:w="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★30</w:t>
            </w:r>
          </w:p>
        </w:tc>
        <w:tc>
          <w:tcPr>
            <w:tcW w:type="dxa" w:w="29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No notification, no LLM, no DVR, DevOps required. LAST UPDATED 2022 — project is stagnant. ParkGuard AI is the active successor.</w:t>
            </w:r>
          </w:p>
        </w:tc>
        <w:tc>
          <w:tcPr>
            <w:tcW w:type="dxa" w:w="3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Active development; deployable in a single setup command</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DeepParking/DeepParking</w:t>
            </w:r>
          </w:p>
        </w:tc>
        <w:tc>
          <w:tcPr>
            <w:tcW w:type="dxa" w:w="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★~50</w:t>
            </w:r>
          </w:p>
        </w:tc>
        <w:tc>
          <w:tcPr>
            <w:tcW w:type="dxa" w:w="2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No dwell timer, no alert, image-API dependent, no DVR</w:t>
            </w:r>
          </w:p>
        </w:tc>
        <w:tc>
          <w:tcPr>
            <w:tcW w:type="dxa" w:w="3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Complete pipeline: DVR download → detection → alert</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bhupender0415/CarParkingDetection</w:t>
            </w:r>
          </w:p>
        </w:tc>
        <w:tc>
          <w:tcPr>
            <w:tcW w:type="dxa" w:w="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★~15</w:t>
            </w:r>
          </w:p>
        </w:tc>
        <w:tc>
          <w:tcPr>
            <w:tcW w:type="dxa" w:w="29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No dwell timer, no alert, no LLM, manual GUI zone selection</w:t>
            </w:r>
          </w:p>
        </w:tc>
        <w:tc>
          <w:tcPr>
            <w:tcW w:type="dxa" w:w="3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LLM zone dialogue + notifications + DVR integration</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mbdelaresma/Park EZ [GH4]</w:t>
            </w:r>
          </w:p>
        </w:tc>
        <w:tc>
          <w:tcPr>
            <w:tcW w:type="dxa" w:w="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★~20</w:t>
            </w:r>
          </w:p>
        </w:tc>
        <w:tc>
          <w:tcPr>
            <w:tcW w:type="dxa" w:w="2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No notification, no DVR, GPU required, no gatekeeper, English only</w:t>
            </w:r>
          </w:p>
        </w:tc>
        <w:tc>
          <w:tcPr>
            <w:tcW w:type="dxa" w:w="3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CPU-only, dual-channel alerts, gatekeeper, Hebrew</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yashchinchole/Car-Parking-Space-Counter</w:t>
            </w:r>
          </w:p>
        </w:tc>
        <w:tc>
          <w:tcPr>
            <w:tcW w:type="dxa" w:w="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★~30</w:t>
            </w:r>
          </w:p>
        </w:tc>
        <w:tc>
          <w:tcPr>
            <w:tcW w:type="dxa" w:w="29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No dwell timer, no alert, manual GUI, no LLM</w:t>
            </w:r>
          </w:p>
        </w:tc>
        <w:tc>
          <w:tcPr>
            <w:tcW w:type="dxa" w:w="3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Complete system vs single component</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benarnav/parking-monitor</w:t>
            </w:r>
          </w:p>
        </w:tc>
        <w:tc>
          <w:tcPr>
            <w:tcW w:type="dxa" w:w="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★~15</w:t>
            </w:r>
          </w:p>
        </w:tc>
        <w:tc>
          <w:tcPr>
            <w:tcW w:type="dxa" w:w="2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No alert, no LLM, no DVR, no gatekeeper</w:t>
            </w:r>
          </w:p>
        </w:tc>
        <w:tc>
          <w:tcPr>
            <w:tcW w:type="dxa" w:w="3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Full notification and DVR layer added</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BFBF" w:sz="4"/>
              <w:left w:val="single" w:color="BFBFBF" w:sz="4"/>
              <w:bottom w:val="single" w:color="BFBFBF" w:sz="4"/>
              <w:right w:val="single" w:color="BFBFBF" w:sz="4"/>
            </w:tcBorders>
            <w:shd w:fill="E2EFDA" w:val="clear"/>
            <w:tcMar>
              <w:top w:type="dxa" w:w="120"/>
              <w:left w:type="dxa" w:w="160"/>
              <w:bottom w:type="dxa" w:w="120"/>
              <w:right w:type="dxa" w:w="160"/>
            </w:tcMar>
          </w:tcPr>
          <w:p>
            <w:pPr>
              <w:spacing w:after="0"/>
            </w:pPr>
            <w:r>
              <w:rPr>
                <w:rFonts w:ascii="Arial" w:cs="Arial" w:eastAsia="Arial" w:hAnsi="Arial"/>
                <w:b/>
                <w:bCs/>
                <w:color w:val="1E6B3C"/>
                <w:sz w:val="22"/>
                <w:szCs w:val="22"/>
              </w:rPr>
              <w:t xml:space="preserve">Active Project Advantage:  </w:t>
            </w:r>
            <w:r>
              <w:rPr>
                <w:rFonts w:ascii="Arial" w:cs="Arial" w:eastAsia="Arial" w:hAnsi="Arial"/>
                <w:sz w:val="22"/>
                <w:szCs w:val="22"/>
              </w:rPr>
              <w:t xml:space="preserve">SoftServeInc/smartparking has not been updated since 2022. ParkGuard AI is the only actively maintained open-source tool targeting this use case — a significant community trust advantage.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BFBF" w:sz="4"/>
              <w:left w:val="single" w:color="BFBFBF" w:sz="4"/>
              <w:bottom w:val="single" w:color="BFBFBF" w:sz="4"/>
              <w:right w:val="single" w:color="BFBFBF" w:sz="4"/>
            </w:tcBorders>
            <w:shd w:fill="FFF2CC" w:val="clear"/>
            <w:tcMar>
              <w:top w:type="dxa" w:w="120"/>
              <w:left w:type="dxa" w:w="160"/>
              <w:bottom w:type="dxa" w:w="120"/>
              <w:right w:type="dxa" w:w="160"/>
            </w:tcMar>
          </w:tcPr>
          <w:p>
            <w:pPr>
              <w:spacing w:after="0"/>
            </w:pPr>
            <w:r>
              <w:rPr>
                <w:rFonts w:ascii="Arial" w:cs="Arial" w:eastAsia="Arial" w:hAnsi="Arial"/>
                <w:b/>
                <w:bCs/>
                <w:color w:val="C55A11"/>
                <w:sz w:val="22"/>
                <w:szCs w:val="22"/>
              </w:rPr>
              <w:t xml:space="preserve">Required Action (W-1):  </w:t>
            </w:r>
            <w:r>
              <w:rPr>
                <w:rFonts w:ascii="Arial" w:cs="Arial" w:eastAsia="Arial" w:hAnsi="Arial"/>
                <w:sz w:val="22"/>
                <w:szCs w:val="22"/>
              </w:rPr>
              <w:t xml:space="preserve">USPTO/EPO patent search not yet completed. All 'first in class' claims presented as 'believed novel — patent search in progress'. See Appendix D for full search plan.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Differentiator</w:t>
            </w:r>
          </w:p>
        </w:tc>
        <w:tc>
          <w:tcPr>
            <w:tcW w:type="dxa" w:w="1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Moat Duration</w:t>
            </w:r>
          </w:p>
        </w:tc>
        <w:tc>
          <w:tcPr>
            <w:tcW w:type="dxa" w:w="51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Sustainability &amp; Defence</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DVR-native integration (Provision ISR RTSP)</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18–24 months</w:t>
            </w:r>
          </w:p>
        </w:tc>
        <w:tc>
          <w:tcPr>
            <w:tcW w:type="dxa" w:w="51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Hikvision could replicate in ~18 months if prioritised. Defence: Provision ISR distributor partnership + provisional patent.</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Hebrew LLM zone dialogue</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24–36 months</w:t>
            </w:r>
          </w:p>
        </w:tc>
        <w:tc>
          <w:tcPr>
            <w:tcW w:type="dxa" w:w="5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Competitors must identify Israel as a priority market. Defence: first-mover brand recognition in Israeli market.</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Zero recurring cost positioning</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12–18 months</w:t>
            </w:r>
          </w:p>
        </w:tc>
        <w:tc>
          <w:tcPr>
            <w:tcW w:type="dxa" w:w="51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 competitor could offer a free tier. Defence: community trust, open-source ethos, GitHub stars, MIT licence.</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Dual Telegram + Email notification</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6–12 months</w:t>
            </w:r>
          </w:p>
        </w:tc>
        <w:tc>
          <w:tcPr>
            <w:tcW w:type="dxa" w:w="5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Easiest feature to copy. Defence: launch speed — before any competitor adds Telegram.</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Academic foundation (19 references)</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Ongoing</w:t>
            </w:r>
          </w:p>
        </w:tc>
        <w:tc>
          <w:tcPr>
            <w:tcW w:type="dxa" w:w="51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No competitor has published an equivalent academic foundation. Durable credibility moat for enterprise and institutional buyers.</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Active open-source development</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6–12 months</w:t>
            </w:r>
          </w:p>
        </w:tc>
        <w:tc>
          <w:tcPr>
            <w:tcW w:type="dxa" w:w="5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SoftServeInc/smartparking last updated 2022. ParkGuard AI is the only active project in this space.</w:t>
            </w:r>
          </w:p>
        </w:tc>
      </w:tr>
    </w:tbl>
    <w:p>
      <w:r>
        <w:br w:type="page"/>
      </w:r>
    </w:p>
    <w:p>
      <w:pPr>
        <w:pStyle w:val="Heading1"/>
        <w:spacing w:after="80" w:before="240"/>
      </w:pPr>
      <w:r>
        <w:rPr>
          <w:rFonts w:ascii="Arial" w:cs="Arial" w:eastAsia="Arial" w:hAnsi="Arial"/>
          <w:b/>
          <w:bCs/>
          <w:color w:val="1F4E79"/>
          <w:sz w:val="34"/>
          <w:szCs w:val="34"/>
        </w:rPr>
        <w:t xml:space="preserve">9  Revenue Model</w:t>
      </w:r>
    </w:p>
    <w:p>
      <w:pPr>
        <w:pBdr>
          <w:bottom w:val="single" w:color="2E75B6" w:sz="8" w:space="1"/>
        </w:pBdr>
        <w:spacing w:after="160"/>
      </w:pPr>
    </w:p>
    <w:p>
      <w:pPr>
        <w:spacing w:after="120" w:line="276"/>
      </w:pPr>
      <w:r>
        <w:rPr>
          <w:rFonts w:ascii="Arial" w:cs="Arial" w:eastAsia="Arial" w:hAnsi="Arial"/>
          <w:sz w:val="22"/>
          <w:szCs w:val="22"/>
        </w:rPr>
        <w:t xml:space="preserve">Freemium/Open Core model with parallel Professional Services stream — selected because it maximises adoption while preserving recurring revenue, and is the only model compatible with the Zero Recurring Cost USP.</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400"/>
        <w:gridCol w:w="2760"/>
      </w:tblGrid>
      <w:tr>
        <w:tc>
          <w:tcPr>
            <w:tcW w:type="dxa" w:w="16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Tier</w:t>
            </w:r>
          </w:p>
        </w:tc>
        <w:tc>
          <w:tcPr>
            <w:tcW w:type="dxa" w:w="16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Price</w:t>
            </w:r>
          </w:p>
        </w:tc>
        <w:tc>
          <w:tcPr>
            <w:tcW w:type="dxa" w:w="3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Features — Precisely Defined</w:t>
            </w:r>
          </w:p>
        </w:tc>
        <w:tc>
          <w:tcPr>
            <w:tcW w:type="dxa" w:w="27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Conversion Trigger</w:t>
            </w:r>
          </w:p>
        </w:tc>
      </w:tr>
      <w:tr>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Community (Free)</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 (MIT license)</w:t>
            </w:r>
          </w:p>
        </w:tc>
        <w:tc>
          <w:tcPr>
            <w:tcW w:type="dxa" w:w="3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Single camera channel · LLM zone selection (Hebrew/English) · Email OR Telegram notification (one channel configured at setup) · 5-min dwell detection · Single-channel gatekeeper (N-3 fix: gatekeeper applies to the one configured channel only — no second channel exists) · Run-level detection log as JSON file (no dashboard, no CSV export)</w:t>
            </w:r>
          </w:p>
        </w:tc>
        <w:tc>
          <w:tcPr>
            <w:tcW w:type="dxa" w:w="2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Self-hosted technical users, developers, pilots. The Persona C / Dani tier — auditable, zero-cost, no cloud.</w:t>
            </w:r>
          </w:p>
        </w:tc>
      </w:tr>
      <w:tr>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Professional</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$49/month/site</w:t>
            </w:r>
          </w:p>
        </w:tc>
        <w:tc>
          <w:tcPr>
            <w:tcW w:type="dxa" w:w="3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Up to 5 camera channels · Email AND Telegram simultaneously · Cross-channel gatekeeper (Professional tier activates the full cross-channel logic: a Telegram alert resets the email gatekeeper and vice versa) · Web dashboard · CSV export with date-range filter · Email support (48hr SLA) · Zone config backup/restore</w:t>
            </w:r>
          </w:p>
        </w:tc>
        <w:tc>
          <w:tcPr>
            <w:tcW w:type="dxa" w:w="2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'I want to see this on a screen without opening a terminal.' Manages 2+ parking zones. Needs dual-channel alerts.</w:t>
            </w:r>
          </w:p>
        </w:tc>
      </w:tr>
      <w:tr>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Enterprise</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$199/month or $2,000 perpetual/site</w:t>
            </w:r>
          </w:p>
        </w:tc>
        <w:tc>
          <w:tcPr>
            <w:tcW w:type="dxa" w:w="3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Unlimited camera channels · API access (REST) · Multi-site management console · LPR integration module · Custom Hebrew prompt library · White-label branding option · SLA: 4-hour response · GDPR DPA template</w:t>
            </w:r>
          </w:p>
        </w:tc>
        <w:tc>
          <w:tcPr>
            <w:tcW w:type="dxa" w:w="2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BMCs (Persona B / Ronit): multi-building console. Handles 'I can self-host': Enterprise = API + multi-site + SLA that self-hosting cannot provide.</w:t>
            </w:r>
          </w:p>
        </w:tc>
      </w:tr>
      <w:tr>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Professional Services</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$800–$2,500/engagement</w:t>
            </w:r>
          </w:p>
        </w:tc>
        <w:tc>
          <w:tcPr>
            <w:tcW w:type="dxa" w:w="3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Installation · DVR configuration · Staff training · Custom integration · Annual support contract</w:t>
            </w:r>
          </w:p>
        </w:tc>
        <w:tc>
          <w:tcPr>
            <w:tcW w:type="dxa" w:w="2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All tiers. Immediate Day-1 revenue. Does not require product to be complete.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BFBF" w:sz="4"/>
              <w:left w:val="single" w:color="BFBFBF" w:sz="4"/>
              <w:bottom w:val="single" w:color="BFBFBF" w:sz="4"/>
              <w:right w:val="single" w:color="BFBFBF" w:sz="4"/>
            </w:tcBorders>
            <w:shd w:fill="D6E4F0" w:val="clear"/>
            <w:tcMar>
              <w:top w:type="dxa" w:w="120"/>
              <w:left w:type="dxa" w:w="160"/>
              <w:bottom w:type="dxa" w:w="120"/>
              <w:right w:type="dxa" w:w="160"/>
            </w:tcMar>
          </w:tcPr>
          <w:p>
            <w:pPr>
              <w:spacing w:after="0"/>
            </w:pPr>
            <w:r>
              <w:rPr>
                <w:rFonts w:ascii="Arial" w:cs="Arial" w:eastAsia="Arial" w:hAnsi="Arial"/>
                <w:b/>
                <w:bCs/>
                <w:color w:val="2E75B6"/>
                <w:sz w:val="22"/>
                <w:szCs w:val="22"/>
              </w:rPr>
              <w:t xml:space="preserve">N-3 Community Gatekeeper Clarification:  </w:t>
            </w:r>
            <w:r>
              <w:rPr>
                <w:rFonts w:ascii="Arial" w:cs="Arial" w:eastAsia="Arial" w:hAnsi="Arial"/>
                <w:sz w:val="22"/>
                <w:szCs w:val="22"/>
              </w:rPr>
              <w:t xml:space="preserve">In Community tier, FR-6 gatekeeper applies to the single configured notification channel (email OR Telegram). The 'cross-channel' qualifier only activates in Professional and Enterprise tiers where both channels are simultaneously active. This resolves the logical inconsistency noted by the committee.</w:t>
            </w:r>
          </w:p>
        </w:tc>
      </w:tr>
    </w:tbl>
    <w:p>
      <w:r>
        <w:br w:type="page"/>
      </w:r>
    </w:p>
    <w:p>
      <w:pPr>
        <w:pStyle w:val="Heading1"/>
        <w:spacing w:after="80" w:before="240"/>
      </w:pPr>
      <w:r>
        <w:rPr>
          <w:rFonts w:ascii="Arial" w:cs="Arial" w:eastAsia="Arial" w:hAnsi="Arial"/>
          <w:b/>
          <w:bCs/>
          <w:color w:val="1F4E79"/>
          <w:sz w:val="34"/>
          <w:szCs w:val="34"/>
        </w:rPr>
        <w:t xml:space="preserve">10  Financial Model — Unified Source of Truth v3.0</w:t>
      </w:r>
    </w:p>
    <w:p>
      <w:pPr>
        <w:pBdr>
          <w:bottom w:val="single" w:color="2E75B6" w:sz="8" w:space="1"/>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BFBF" w:sz="4"/>
              <w:left w:val="single" w:color="BFBFBF" w:sz="4"/>
              <w:bottom w:val="single" w:color="BFBFBF" w:sz="4"/>
              <w:right w:val="single" w:color="BFBFBF" w:sz="4"/>
            </w:tcBorders>
            <w:shd w:fill="D6E4F0" w:val="clear"/>
            <w:tcMar>
              <w:top w:type="dxa" w:w="120"/>
              <w:left w:type="dxa" w:w="160"/>
              <w:bottom w:type="dxa" w:w="120"/>
              <w:right w:type="dxa" w:w="160"/>
            </w:tcMar>
          </w:tcPr>
          <w:p>
            <w:pPr>
              <w:spacing w:after="0"/>
            </w:pPr>
            <w:r>
              <w:rPr>
                <w:rFonts w:ascii="Arial" w:cs="Arial" w:eastAsia="Arial" w:hAnsi="Arial"/>
                <w:b/>
                <w:bCs/>
                <w:color w:val="2E75B6"/>
                <w:sz w:val="22"/>
                <w:szCs w:val="22"/>
              </w:rPr>
              <w:t xml:space="preserve">N-4 — Enterprise Revenue Correction:  </w:t>
            </w:r>
            <w:r>
              <w:rPr>
                <w:rFonts w:ascii="Arial" w:cs="Arial" w:eastAsia="Arial" w:hAnsi="Arial"/>
                <w:sz w:val="22"/>
                <w:szCs w:val="22"/>
              </w:rPr>
              <w:t xml:space="preserve">Y1 Enterprise revenue corrected from $24,000 (v1.0) to $2,000 (v2.0/v3.0). v1.0 incorrectly assumed 1 enterprise site generating $24,000/year (a $2,000/month subscription rate that was not supported by the tier pricing). v2.0/v3.0 corrects this to 1 perpetual license at $2,000 — consistent with the Enterprise tier pricing ($2,000/site perpetual). This 92% reduction reflects a methodologically correct, more conservative estimate.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c>
          <w:tcPr>
            <w:tcW w:type="dxa" w:w="2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Phase</w:t>
            </w:r>
          </w:p>
        </w:tc>
        <w:tc>
          <w:tcPr>
            <w:tcW w:type="dxa" w:w="16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Duration</w:t>
            </w:r>
          </w:p>
        </w:tc>
        <w:tc>
          <w:tcPr>
            <w:tcW w:type="dxa" w:w="16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Cost (est.)</w:t>
            </w:r>
          </w:p>
        </w:tc>
        <w:tc>
          <w:tcPr>
            <w:tcW w:type="dxa" w:w="33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Key Activities</w:t>
            </w:r>
          </w:p>
        </w:tc>
      </w:tr>
      <w:tr>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Phase 1: DVR Ingestion Layer</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 weeks</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$4,000</w:t>
            </w:r>
          </w:p>
        </w:tc>
        <w:tc>
          <w:tcPr>
            <w:tcW w:type="dxa" w:w="3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RTSP/ONVIF connection; FFmpeg segment download; format normalisation</w:t>
            </w:r>
          </w:p>
        </w:tc>
      </w:tr>
      <w:tr>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Phase 2: MediaPipe Detection Module (adaptive sampling)</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 weeks</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$4,000</w:t>
            </w:r>
          </w:p>
        </w:tc>
        <w:tc>
          <w:tcPr>
            <w:tcW w:type="dxa" w:w="3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MediaPipe integration; OpenCV pipeline; IoU logic; adaptive 4 FPS burst logic (N-7)</w:t>
            </w:r>
          </w:p>
        </w:tc>
      </w:tr>
      <w:tr>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Phase 3: LLM Zone Selection (Agent 1)</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 weeks</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$6,000</w:t>
            </w:r>
          </w:p>
        </w:tc>
        <w:tc>
          <w:tcPr>
            <w:tcW w:type="dxa" w:w="3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Ollama; Llama 3.2 prompt engineering; Hebrew RTL; coordinate extraction</w:t>
            </w:r>
          </w:p>
        </w:tc>
      </w:tr>
      <w:tr>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Phase 4: Occupancy State Machine</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 weeks</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$4,000</w:t>
            </w:r>
          </w:p>
        </w:tc>
        <w:tc>
          <w:tcPr>
            <w:tcW w:type="dxa" w:w="3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Dwell timer; same-car tracker; channel-aware gatekeeper (N-3); grace period</w:t>
            </w:r>
          </w:p>
        </w:tc>
      </w:tr>
      <w:tr>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Phase 5: Dual-Channel Notification (Agent 2)</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 weeks</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$4,000</w:t>
            </w:r>
          </w:p>
        </w:tc>
        <w:tc>
          <w:tcPr>
            <w:tcW w:type="dxa" w:w="3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Gmail API OAuth2; Telegram Bot; unified dispatcher; retry logic</w:t>
            </w:r>
          </w:p>
        </w:tc>
      </w:tr>
      <w:tr>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Phase 6: Statistics &amp; Logging</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 week</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$2,000</w:t>
            </w:r>
          </w:p>
        </w:tc>
        <w:tc>
          <w:tcPr>
            <w:tcW w:type="dxa" w:w="3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Event logger; JSON (Community) + CSV (Professional+); per-run summary</w:t>
            </w:r>
          </w:p>
        </w:tc>
      </w:tr>
      <w:tr>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Phase 7: Integration &amp; Evaluation</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 weeks</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$6,000</w:t>
            </w:r>
          </w:p>
        </w:tc>
        <w:tc>
          <w:tcPr>
            <w:tcW w:type="dxa" w:w="3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End-to-end testing; latency benchmark; accuracy vs ground truth; single-command installer</w:t>
            </w:r>
          </w:p>
        </w:tc>
      </w:tr>
      <w:tr>
        <w:tc>
          <w:tcPr>
            <w:tcW w:type="dxa" w:w="2800"/>
            <w:tcBorders>
              <w:top w:val="single" w:color="BFBFBF" w:sz="4"/>
              <w:left w:val="single" w:color="BFBFBF" w:sz="4"/>
              <w:bottom w:val="single" w:color="BFBFBF" w:sz="4"/>
              <w:right w:val="single" w:color="BFBFBF" w:sz="4"/>
            </w:tcBorders>
            <w:shd w:fill="D6E4F0"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TOTAL Development</w:t>
            </w:r>
          </w:p>
        </w:tc>
        <w:tc>
          <w:tcPr>
            <w:tcW w:type="dxa" w:w="1600"/>
            <w:tcBorders>
              <w:top w:val="single" w:color="BFBFBF" w:sz="4"/>
              <w:left w:val="single" w:color="BFBFBF" w:sz="4"/>
              <w:bottom w:val="single" w:color="BFBFBF" w:sz="4"/>
              <w:right w:val="single" w:color="BFBFBF" w:sz="4"/>
            </w:tcBorders>
            <w:shd w:fill="D6E4F0"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15 weeks</w:t>
            </w:r>
          </w:p>
        </w:tc>
        <w:tc>
          <w:tcPr>
            <w:tcW w:type="dxa" w:w="1600"/>
            <w:tcBorders>
              <w:top w:val="single" w:color="BFBFBF" w:sz="4"/>
              <w:left w:val="single" w:color="BFBFBF" w:sz="4"/>
              <w:bottom w:val="single" w:color="BFBFBF" w:sz="4"/>
              <w:right w:val="single" w:color="BFBFBF" w:sz="4"/>
            </w:tcBorders>
            <w:shd w:fill="D6E4F0"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$30,000</w:t>
            </w:r>
          </w:p>
        </w:tc>
        <w:tc>
          <w:tcPr>
            <w:tcW w:type="dxa" w:w="3360"/>
            <w:tcBorders>
              <w:top w:val="single" w:color="BFBFBF" w:sz="4"/>
              <w:left w:val="single" w:color="BFBFBF" w:sz="4"/>
              <w:bottom w:val="single" w:color="BFBFBF" w:sz="4"/>
              <w:right w:val="single" w:color="BFBFBF" w:sz="4"/>
            </w:tcBorders>
            <w:shd w:fill="D6E4F0"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At $200/hour; 150 hours total</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20"/>
        <w:gridCol w:w="1520"/>
        <w:gridCol w:w="1520"/>
        <w:gridCol w:w="2000"/>
      </w:tblGrid>
      <w:tr>
        <w:tc>
          <w:tcPr>
            <w:tcW w:type="dxa" w:w="2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Cost Component</w:t>
            </w:r>
          </w:p>
        </w:tc>
        <w:tc>
          <w:tcPr>
            <w:tcW w:type="dxa" w:w="152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Y1 (25 sites)</w:t>
            </w:r>
          </w:p>
        </w:tc>
        <w:tc>
          <w:tcPr>
            <w:tcW w:type="dxa" w:w="152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Y2 (90 sites)</w:t>
            </w:r>
          </w:p>
        </w:tc>
        <w:tc>
          <w:tcPr>
            <w:tcW w:type="dxa" w:w="152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Y3 (220 sites)</w:t>
            </w:r>
          </w:p>
        </w:tc>
        <w:tc>
          <w:tcPr>
            <w:tcW w:type="dxa" w:w="2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Scaling Logic</w:t>
            </w:r>
          </w:p>
        </w:tc>
      </w:tr>
      <w:tr>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Developer maintenance &amp; bug fixes</w:t>
            </w:r>
          </w:p>
        </w:tc>
        <w:tc>
          <w:tcPr>
            <w:tcW w:type="dxa" w:w="152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$2,000/mo</w:t>
            </w:r>
          </w:p>
        </w:tc>
        <w:tc>
          <w:tcPr>
            <w:tcW w:type="dxa" w:w="152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$3,500/mo</w:t>
            </w:r>
          </w:p>
        </w:tc>
        <w:tc>
          <w:tcPr>
            <w:tcW w:type="dxa" w:w="152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$6,000/mo</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Sub-linear: 3× install count ≈ 1.7× maintenance hours</w:t>
            </w:r>
          </w:p>
        </w:tc>
      </w:tr>
      <w:tr>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Customer support (email SLA)</w:t>
            </w:r>
          </w:p>
        </w:tc>
        <w:tc>
          <w:tcPr>
            <w:tcW w:type="dxa" w:w="152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$500/mo</w:t>
            </w:r>
          </w:p>
        </w:tc>
        <w:tc>
          <w:tcPr>
            <w:tcW w:type="dxa" w:w="152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$1,500/mo</w:t>
            </w:r>
          </w:p>
        </w:tc>
        <w:tc>
          <w:tcPr>
            <w:tcW w:type="dxa" w:w="152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$3,500/mo</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Linear with paid sites (Pro + Ent)</w:t>
            </w:r>
          </w:p>
        </w:tc>
      </w:tr>
      <w:tr>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Sales &amp; marketing</w:t>
            </w:r>
          </w:p>
        </w:tc>
        <w:tc>
          <w:tcPr>
            <w:tcW w:type="dxa" w:w="152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$3,000/mo</w:t>
            </w:r>
          </w:p>
        </w:tc>
        <w:tc>
          <w:tcPr>
            <w:tcW w:type="dxa" w:w="152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$4,500/mo</w:t>
            </w:r>
          </w:p>
        </w:tc>
        <w:tc>
          <w:tcPr>
            <w:tcW w:type="dxa" w:w="152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$6,000/mo</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Reduces as % of revenue; BMC deals are high-value low-volume</w:t>
            </w:r>
          </w:p>
        </w:tc>
      </w:tr>
      <w:tr>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Legal / compliance / IP</w:t>
            </w:r>
          </w:p>
        </w:tc>
        <w:tc>
          <w:tcPr>
            <w:tcW w:type="dxa" w:w="152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$500/mo</w:t>
            </w:r>
          </w:p>
        </w:tc>
        <w:tc>
          <w:tcPr>
            <w:tcW w:type="dxa" w:w="152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$750/mo</w:t>
            </w:r>
          </w:p>
        </w:tc>
        <w:tc>
          <w:tcPr>
            <w:tcW w:type="dxa" w:w="152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$1,000/mo</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Roughly flat; patent + GDPR are one-time spends Y1–Y2</w:t>
            </w:r>
          </w:p>
        </w:tc>
      </w:tr>
      <w:tr>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Infrastructure (dashboard hosting)</w:t>
            </w:r>
          </w:p>
        </w:tc>
        <w:tc>
          <w:tcPr>
            <w:tcW w:type="dxa" w:w="152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$0/mo</w:t>
            </w:r>
          </w:p>
        </w:tc>
        <w:tc>
          <w:tcPr>
            <w:tcW w:type="dxa" w:w="152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$300/mo</w:t>
            </w:r>
          </w:p>
        </w:tc>
        <w:tc>
          <w:tcPr>
            <w:tcW w:type="dxa" w:w="152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$800/mo</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Pro/Ent dashboard hosting; scales with users</w:t>
            </w:r>
          </w:p>
        </w:tc>
      </w:tr>
      <w:tr>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Business development (hire Month 9)</w:t>
            </w:r>
          </w:p>
        </w:tc>
        <w:tc>
          <w:tcPr>
            <w:tcW w:type="dxa" w:w="152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$0/mo</w:t>
            </w:r>
          </w:p>
        </w:tc>
        <w:tc>
          <w:tcPr>
            <w:tcW w:type="dxa" w:w="152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$3,500/mo</w:t>
            </w:r>
          </w:p>
        </w:tc>
        <w:tc>
          <w:tcPr>
            <w:tcW w:type="dxa" w:w="152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$5,000/mo</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 BD hire from Month 9; salary + commission. N-2: primary Y2 cost driver.</w:t>
            </w:r>
          </w:p>
        </w:tc>
      </w:tr>
      <w:tr>
        <w:tc>
          <w:tcPr>
            <w:tcW w:type="dxa" w:w="2800"/>
            <w:tcBorders>
              <w:top w:val="single" w:color="BFBFBF" w:sz="4"/>
              <w:left w:val="single" w:color="BFBFBF" w:sz="4"/>
              <w:bottom w:val="single" w:color="BFBFBF" w:sz="4"/>
              <w:right w:val="single" w:color="BFBFBF" w:sz="4"/>
            </w:tcBorders>
            <w:shd w:fill="D6E4F0"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TOTAL Monthly OpEx</w:t>
            </w:r>
          </w:p>
        </w:tc>
        <w:tc>
          <w:tcPr>
            <w:tcW w:type="dxa" w:w="1520"/>
            <w:tcBorders>
              <w:top w:val="single" w:color="BFBFBF" w:sz="4"/>
              <w:left w:val="single" w:color="BFBFBF" w:sz="4"/>
              <w:bottom w:val="single" w:color="BFBFBF" w:sz="4"/>
              <w:right w:val="single" w:color="BFBFBF" w:sz="4"/>
            </w:tcBorders>
            <w:shd w:fill="D6E4F0"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$6,000/mo</w:t>
            </w:r>
          </w:p>
        </w:tc>
        <w:tc>
          <w:tcPr>
            <w:tcW w:type="dxa" w:w="1520"/>
            <w:tcBorders>
              <w:top w:val="single" w:color="BFBFBF" w:sz="4"/>
              <w:left w:val="single" w:color="BFBFBF" w:sz="4"/>
              <w:bottom w:val="single" w:color="BFBFBF" w:sz="4"/>
              <w:right w:val="single" w:color="BFBFBF" w:sz="4"/>
            </w:tcBorders>
            <w:shd w:fill="D6E4F0"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$14,050/mo</w:t>
            </w:r>
          </w:p>
        </w:tc>
        <w:tc>
          <w:tcPr>
            <w:tcW w:type="dxa" w:w="1520"/>
            <w:tcBorders>
              <w:top w:val="single" w:color="BFBFBF" w:sz="4"/>
              <w:left w:val="single" w:color="BFBFBF" w:sz="4"/>
              <w:bottom w:val="single" w:color="BFBFBF" w:sz="4"/>
              <w:right w:val="single" w:color="BFBFBF" w:sz="4"/>
            </w:tcBorders>
            <w:shd w:fill="D6E4F0"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$22,300/mo</w:t>
            </w:r>
          </w:p>
        </w:tc>
        <w:tc>
          <w:tcPr>
            <w:tcW w:type="dxa" w:w="2000"/>
            <w:tcBorders>
              <w:top w:val="single" w:color="BFBFBF" w:sz="4"/>
              <w:left w:val="single" w:color="BFBFBF" w:sz="4"/>
              <w:bottom w:val="single" w:color="BFBFBF" w:sz="4"/>
              <w:right w:val="single" w:color="BFBFBF" w:sz="4"/>
            </w:tcBorders>
            <w:shd w:fill="D6E4F0"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w:t>
            </w:r>
          </w:p>
        </w:tc>
      </w:tr>
      <w:tr>
        <w:tc>
          <w:tcPr>
            <w:tcW w:type="dxa" w:w="2800"/>
            <w:tcBorders>
              <w:top w:val="single" w:color="BFBFBF" w:sz="4"/>
              <w:left w:val="single" w:color="BFBFBF" w:sz="4"/>
              <w:bottom w:val="single" w:color="BFBFBF" w:sz="4"/>
              <w:right w:val="single" w:color="BFBFBF" w:sz="4"/>
            </w:tcBorders>
            <w:shd w:fill="D6E4F0"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TOTAL Annual OpEx</w:t>
            </w:r>
          </w:p>
        </w:tc>
        <w:tc>
          <w:tcPr>
            <w:tcW w:type="dxa" w:w="1520"/>
            <w:tcBorders>
              <w:top w:val="single" w:color="BFBFBF" w:sz="4"/>
              <w:left w:val="single" w:color="BFBFBF" w:sz="4"/>
              <w:bottom w:val="single" w:color="BFBFBF" w:sz="4"/>
              <w:right w:val="single" w:color="BFBFBF" w:sz="4"/>
            </w:tcBorders>
            <w:shd w:fill="D6E4F0"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$72,000</w:t>
            </w:r>
          </w:p>
        </w:tc>
        <w:tc>
          <w:tcPr>
            <w:tcW w:type="dxa" w:w="1520"/>
            <w:tcBorders>
              <w:top w:val="single" w:color="BFBFBF" w:sz="4"/>
              <w:left w:val="single" w:color="BFBFBF" w:sz="4"/>
              <w:bottom w:val="single" w:color="BFBFBF" w:sz="4"/>
              <w:right w:val="single" w:color="BFBFBF" w:sz="4"/>
            </w:tcBorders>
            <w:shd w:fill="D6E4F0"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$168,600</w:t>
            </w:r>
          </w:p>
        </w:tc>
        <w:tc>
          <w:tcPr>
            <w:tcW w:type="dxa" w:w="1520"/>
            <w:tcBorders>
              <w:top w:val="single" w:color="BFBFBF" w:sz="4"/>
              <w:left w:val="single" w:color="BFBFBF" w:sz="4"/>
              <w:bottom w:val="single" w:color="BFBFBF" w:sz="4"/>
              <w:right w:val="single" w:color="BFBFBF" w:sz="4"/>
            </w:tcBorders>
            <w:shd w:fill="D6E4F0"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$267,600</w:t>
            </w:r>
          </w:p>
        </w:tc>
        <w:tc>
          <w:tcPr>
            <w:tcW w:type="dxa" w:w="2000"/>
            <w:tcBorders>
              <w:top w:val="single" w:color="BFBFBF" w:sz="4"/>
              <w:left w:val="single" w:color="BFBFBF" w:sz="4"/>
              <w:bottom w:val="single" w:color="BFBFBF" w:sz="4"/>
              <w:right w:val="single" w:color="BFBFBF" w:sz="4"/>
            </w:tcBorders>
            <w:shd w:fill="D6E4F0"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Y1 lower: BD hire from Month 9 only</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80"/>
        <w:gridCol w:w="1080"/>
        <w:gridCol w:w="1080"/>
        <w:gridCol w:w="1080"/>
        <w:gridCol w:w="1120"/>
        <w:gridCol w:w="1120"/>
      </w:tblGrid>
      <w:tr>
        <w:tc>
          <w:tcPr>
            <w:tcW w:type="dxa" w:w="2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Metric</w:t>
            </w:r>
          </w:p>
        </w:tc>
        <w:tc>
          <w:tcPr>
            <w:tcW w:type="dxa" w:w="1080"/>
            <w:tcBorders>
              <w:top w:val="single" w:color="BFBFBF" w:sz="4"/>
              <w:left w:val="single" w:color="BFBFBF" w:sz="4"/>
              <w:bottom w:val="single" w:color="BFBFBF" w:sz="4"/>
              <w:right w:val="single" w:color="BFBFBF" w:sz="4"/>
            </w:tcBorders>
            <w:shd w:fill="59595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Y1 Cons.</w:t>
            </w:r>
          </w:p>
        </w:tc>
        <w:tc>
          <w:tcPr>
            <w:tcW w:type="dxa" w:w="108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Y1 Base</w:t>
            </w:r>
          </w:p>
        </w:tc>
        <w:tc>
          <w:tcPr>
            <w:tcW w:type="dxa" w:w="1080"/>
            <w:tcBorders>
              <w:top w:val="single" w:color="BFBFBF" w:sz="4"/>
              <w:left w:val="single" w:color="BFBFBF" w:sz="4"/>
              <w:bottom w:val="single" w:color="BFBFBF" w:sz="4"/>
              <w:right w:val="single" w:color="BFBFBF" w:sz="4"/>
            </w:tcBorders>
            <w:shd w:fill="1E6B3C"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Y1 Opt.</w:t>
            </w:r>
          </w:p>
        </w:tc>
        <w:tc>
          <w:tcPr>
            <w:tcW w:type="dxa" w:w="108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Y2 Base</w:t>
            </w:r>
          </w:p>
        </w:tc>
        <w:tc>
          <w:tcPr>
            <w:tcW w:type="dxa" w:w="112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Y3 Base</w:t>
            </w:r>
          </w:p>
        </w:tc>
        <w:tc>
          <w:tcPr>
            <w:tcW w:type="dxa" w:w="1120"/>
            <w:tcBorders>
              <w:top w:val="single" w:color="BFBFBF" w:sz="4"/>
              <w:left w:val="single" w:color="BFBFBF" w:sz="4"/>
              <w:bottom w:val="single" w:color="BFBFBF" w:sz="4"/>
              <w:right w:val="single" w:color="BFBFBF" w:sz="4"/>
            </w:tcBorders>
            <w:shd w:fill="1E6B3C"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Y3 Opt.</w:t>
            </w:r>
          </w:p>
        </w:tc>
      </w:tr>
      <w:tr>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Community installs (cumulative)</w:t>
            </w:r>
          </w:p>
        </w:tc>
        <w:tc>
          <w:tcPr>
            <w:tcW w:type="dxa" w:w="10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10</w:t>
            </w:r>
          </w:p>
        </w:tc>
        <w:tc>
          <w:tcPr>
            <w:tcW w:type="dxa" w:w="10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25</w:t>
            </w:r>
          </w:p>
        </w:tc>
        <w:tc>
          <w:tcPr>
            <w:tcW w:type="dxa" w:w="10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40</w:t>
            </w:r>
          </w:p>
        </w:tc>
        <w:tc>
          <w:tcPr>
            <w:tcW w:type="dxa" w:w="10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90</w:t>
            </w:r>
          </w:p>
        </w:tc>
        <w:tc>
          <w:tcPr>
            <w:tcW w:type="dxa" w:w="112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220</w:t>
            </w:r>
          </w:p>
        </w:tc>
        <w:tc>
          <w:tcPr>
            <w:tcW w:type="dxa" w:w="112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350</w:t>
            </w:r>
          </w:p>
        </w:tc>
      </w:tr>
      <w:tr>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Paid Professional sites</w:t>
            </w:r>
          </w:p>
        </w:tc>
        <w:tc>
          <w:tcPr>
            <w:tcW w:type="dxa" w:w="10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w:t>
            </w:r>
          </w:p>
        </w:tc>
        <w:tc>
          <w:tcPr>
            <w:tcW w:type="dxa" w:w="10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6</w:t>
            </w:r>
          </w:p>
        </w:tc>
        <w:tc>
          <w:tcPr>
            <w:tcW w:type="dxa" w:w="10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12</w:t>
            </w:r>
          </w:p>
        </w:tc>
        <w:tc>
          <w:tcPr>
            <w:tcW w:type="dxa" w:w="10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28</w:t>
            </w:r>
          </w:p>
        </w:tc>
        <w:tc>
          <w:tcPr>
            <w:tcW w:type="dxa" w:w="112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75</w:t>
            </w:r>
          </w:p>
        </w:tc>
        <w:tc>
          <w:tcPr>
            <w:tcW w:type="dxa" w:w="112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130</w:t>
            </w:r>
          </w:p>
        </w:tc>
      </w:tr>
      <w:tr>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Enterprise sites</w:t>
            </w:r>
          </w:p>
        </w:tc>
        <w:tc>
          <w:tcPr>
            <w:tcW w:type="dxa" w:w="10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w:t>
            </w:r>
          </w:p>
        </w:tc>
        <w:tc>
          <w:tcPr>
            <w:tcW w:type="dxa" w:w="10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w:t>
            </w:r>
          </w:p>
        </w:tc>
        <w:tc>
          <w:tcPr>
            <w:tcW w:type="dxa" w:w="10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w:t>
            </w:r>
          </w:p>
        </w:tc>
        <w:tc>
          <w:tcPr>
            <w:tcW w:type="dxa" w:w="10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5</w:t>
            </w:r>
          </w:p>
        </w:tc>
        <w:tc>
          <w:tcPr>
            <w:tcW w:type="dxa" w:w="112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18</w:t>
            </w:r>
          </w:p>
        </w:tc>
        <w:tc>
          <w:tcPr>
            <w:tcW w:type="dxa" w:w="112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32</w:t>
            </w:r>
          </w:p>
        </w:tc>
      </w:tr>
      <w:tr>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Services engagements</w:t>
            </w:r>
          </w:p>
        </w:tc>
        <w:tc>
          <w:tcPr>
            <w:tcW w:type="dxa" w:w="10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6</w:t>
            </w:r>
          </w:p>
        </w:tc>
        <w:tc>
          <w:tcPr>
            <w:tcW w:type="dxa" w:w="10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15</w:t>
            </w:r>
          </w:p>
        </w:tc>
        <w:tc>
          <w:tcPr>
            <w:tcW w:type="dxa" w:w="10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25</w:t>
            </w:r>
          </w:p>
        </w:tc>
        <w:tc>
          <w:tcPr>
            <w:tcW w:type="dxa" w:w="10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50</w:t>
            </w:r>
          </w:p>
        </w:tc>
        <w:tc>
          <w:tcPr>
            <w:tcW w:type="dxa" w:w="112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120</w:t>
            </w:r>
          </w:p>
        </w:tc>
        <w:tc>
          <w:tcPr>
            <w:tcW w:type="dxa" w:w="112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200</w:t>
            </w:r>
          </w:p>
        </w:tc>
      </w:tr>
      <w:tr>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Professional revenue ($49/mo×12)</w:t>
            </w:r>
          </w:p>
        </w:tc>
        <w:tc>
          <w:tcPr>
            <w:tcW w:type="dxa" w:w="10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$1,176</w:t>
            </w:r>
          </w:p>
        </w:tc>
        <w:tc>
          <w:tcPr>
            <w:tcW w:type="dxa" w:w="10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$3,528</w:t>
            </w:r>
          </w:p>
        </w:tc>
        <w:tc>
          <w:tcPr>
            <w:tcW w:type="dxa" w:w="10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$7,056</w:t>
            </w:r>
          </w:p>
        </w:tc>
        <w:tc>
          <w:tcPr>
            <w:tcW w:type="dxa" w:w="10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$16,464</w:t>
            </w:r>
          </w:p>
        </w:tc>
        <w:tc>
          <w:tcPr>
            <w:tcW w:type="dxa" w:w="112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$44,100</w:t>
            </w:r>
          </w:p>
        </w:tc>
        <w:tc>
          <w:tcPr>
            <w:tcW w:type="dxa" w:w="112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$76,440</w:t>
            </w:r>
          </w:p>
        </w:tc>
      </w:tr>
      <w:tr>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Enterprise revenue (N-4: $2K perpetual Y1)</w:t>
            </w:r>
          </w:p>
        </w:tc>
        <w:tc>
          <w:tcPr>
            <w:tcW w:type="dxa" w:w="10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w:t>
            </w:r>
          </w:p>
        </w:tc>
        <w:tc>
          <w:tcPr>
            <w:tcW w:type="dxa" w:w="10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$2,000</w:t>
            </w:r>
          </w:p>
        </w:tc>
        <w:tc>
          <w:tcPr>
            <w:tcW w:type="dxa" w:w="10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$4,000</w:t>
            </w:r>
          </w:p>
        </w:tc>
        <w:tc>
          <w:tcPr>
            <w:tcW w:type="dxa" w:w="10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$10,000</w:t>
            </w:r>
          </w:p>
        </w:tc>
        <w:tc>
          <w:tcPr>
            <w:tcW w:type="dxa" w:w="112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$36,000</w:t>
            </w:r>
          </w:p>
        </w:tc>
        <w:tc>
          <w:tcPr>
            <w:tcW w:type="dxa" w:w="112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$64,000</w:t>
            </w:r>
          </w:p>
        </w:tc>
      </w:tr>
      <w:tr>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Services revenue ($1,200 avg.)</w:t>
            </w:r>
          </w:p>
        </w:tc>
        <w:tc>
          <w:tcPr>
            <w:tcW w:type="dxa" w:w="10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$7,200</w:t>
            </w:r>
          </w:p>
        </w:tc>
        <w:tc>
          <w:tcPr>
            <w:tcW w:type="dxa" w:w="10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$18,000</w:t>
            </w:r>
          </w:p>
        </w:tc>
        <w:tc>
          <w:tcPr>
            <w:tcW w:type="dxa" w:w="10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$30,000</w:t>
            </w:r>
          </w:p>
        </w:tc>
        <w:tc>
          <w:tcPr>
            <w:tcW w:type="dxa" w:w="10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$60,000</w:t>
            </w:r>
          </w:p>
        </w:tc>
        <w:tc>
          <w:tcPr>
            <w:tcW w:type="dxa" w:w="112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$144,000</w:t>
            </w:r>
          </w:p>
        </w:tc>
        <w:tc>
          <w:tcPr>
            <w:tcW w:type="dxa" w:w="112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$240,000</w:t>
            </w:r>
          </w:p>
        </w:tc>
      </w:tr>
      <w:tr>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TOTAL REVENUE</w:t>
            </w:r>
          </w:p>
        </w:tc>
        <w:tc>
          <w:tcPr>
            <w:tcW w:type="dxa" w:w="10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$8,376</w:t>
            </w:r>
          </w:p>
        </w:tc>
        <w:tc>
          <w:tcPr>
            <w:tcW w:type="dxa" w:w="10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$23,528</w:t>
            </w:r>
          </w:p>
        </w:tc>
        <w:tc>
          <w:tcPr>
            <w:tcW w:type="dxa" w:w="10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$41,056</w:t>
            </w:r>
          </w:p>
        </w:tc>
        <w:tc>
          <w:tcPr>
            <w:tcW w:type="dxa" w:w="10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$86,464</w:t>
            </w:r>
          </w:p>
        </w:tc>
        <w:tc>
          <w:tcPr>
            <w:tcW w:type="dxa" w:w="112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$224,100</w:t>
            </w:r>
          </w:p>
        </w:tc>
        <w:tc>
          <w:tcPr>
            <w:tcW w:type="dxa" w:w="112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$380,440</w:t>
            </w:r>
          </w:p>
        </w:tc>
      </w:tr>
      <w:tr>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Total Operating Costs</w:t>
            </w:r>
          </w:p>
        </w:tc>
        <w:tc>
          <w:tcPr>
            <w:tcW w:type="dxa" w:w="10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$72,000</w:t>
            </w:r>
          </w:p>
        </w:tc>
        <w:tc>
          <w:tcPr>
            <w:tcW w:type="dxa" w:w="10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$90,000</w:t>
            </w:r>
          </w:p>
        </w:tc>
        <w:tc>
          <w:tcPr>
            <w:tcW w:type="dxa" w:w="10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$90,000</w:t>
            </w:r>
          </w:p>
        </w:tc>
        <w:tc>
          <w:tcPr>
            <w:tcW w:type="dxa" w:w="10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$168,600</w:t>
            </w:r>
          </w:p>
        </w:tc>
        <w:tc>
          <w:tcPr>
            <w:tcW w:type="dxa" w:w="112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$267,600</w:t>
            </w:r>
          </w:p>
        </w:tc>
        <w:tc>
          <w:tcPr>
            <w:tcW w:type="dxa" w:w="112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$290,000</w:t>
            </w:r>
          </w:p>
        </w:tc>
      </w:tr>
      <w:tr>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Net Position</w:t>
            </w:r>
          </w:p>
        </w:tc>
        <w:tc>
          <w:tcPr>
            <w:tcW w:type="dxa" w:w="10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–$81,472*</w:t>
            </w:r>
          </w:p>
        </w:tc>
        <w:tc>
          <w:tcPr>
            <w:tcW w:type="dxa" w:w="10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–$66,472</w:t>
            </w:r>
          </w:p>
        </w:tc>
        <w:tc>
          <w:tcPr>
            <w:tcW w:type="dxa" w:w="10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–$49,472</w:t>
            </w:r>
          </w:p>
        </w:tc>
        <w:tc>
          <w:tcPr>
            <w:tcW w:type="dxa" w:w="10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–$82,136</w:t>
            </w:r>
          </w:p>
        </w:tc>
        <w:tc>
          <w:tcPr>
            <w:tcW w:type="dxa" w:w="112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–$43,500</w:t>
            </w:r>
          </w:p>
        </w:tc>
        <w:tc>
          <w:tcPr>
            <w:tcW w:type="dxa" w:w="112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+$112,840</w:t>
            </w:r>
          </w:p>
        </w:tc>
      </w:tr>
    </w:tbl>
    <w:p>
      <w:pPr>
        <w:spacing w:after="160"/>
      </w:pPr>
    </w:p>
    <w:p>
      <w:pPr>
        <w:spacing w:after="80" w:before="16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527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Chart 5 — Revenue by Stream: Professional Services / Enterprise / Professional SaaS</w:t>
      </w:r>
    </w:p>
    <w:p>
      <w:pPr>
        <w:spacing w:after="120"/>
      </w:pPr>
    </w:p>
    <w:p>
      <w:pPr>
        <w:spacing w:after="80" w:before="160"/>
        <w:jc w:val="center"/>
      </w:pPr>
      <w:r>
        <w:drawing>
          <wp:inline distT="0" distB="0" distL="0" distR="0">
            <wp:extent cx="5715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622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Chart 6 — Installation Growth by Tier: Community / Professional / Enterprise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BFBF" w:sz="4"/>
              <w:left w:val="single" w:color="BFBFBF" w:sz="4"/>
              <w:bottom w:val="single" w:color="BFBFBF" w:sz="4"/>
              <w:right w:val="single" w:color="BFBFBF" w:sz="4"/>
            </w:tcBorders>
            <w:shd w:fill="D6E4F0" w:val="clear"/>
            <w:tcMar>
              <w:top w:type="dxa" w:w="120"/>
              <w:left w:type="dxa" w:w="160"/>
              <w:bottom w:type="dxa" w:w="120"/>
              <w:right w:type="dxa" w:w="160"/>
            </w:tcMar>
          </w:tcPr>
          <w:p>
            <w:pPr>
              <w:spacing w:after="60"/>
            </w:pPr>
            <w:r>
              <w:rPr>
                <w:rFonts w:ascii="Arial" w:cs="Arial" w:eastAsia="Arial" w:hAnsi="Arial"/>
                <w:sz w:val="22"/>
                <w:szCs w:val="22"/>
              </w:rPr>
              <w:t xml:space="preserve">Assumed Y3 Growth Catalyst: BMC Partnership Signing (Month 19)</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A single mid-size BMC managing 20 office buildings would contribute to Year 3:</w:t>
            </w:r>
          </w:p>
          <w:p>
            <w:pPr>
              <w:spacing w:after="60"/>
            </w:pPr>
            <w:r>
              <w:rPr>
                <w:rFonts w:ascii="Arial" w:cs="Arial" w:eastAsia="Arial" w:hAnsi="Arial"/>
                <w:sz w:val="22"/>
                <w:szCs w:val="22"/>
              </w:rPr>
              <w:t xml:space="preserve">  • 20 Enterprise perpetual licenses: 20 × $2,000 = $40,000 (one-time)</w:t>
            </w:r>
          </w:p>
          <w:p>
            <w:pPr>
              <w:spacing w:after="60"/>
            </w:pPr>
            <w:r>
              <w:rPr>
                <w:rFonts w:ascii="Arial" w:cs="Arial" w:eastAsia="Arial" w:hAnsi="Arial"/>
                <w:sz w:val="22"/>
                <w:szCs w:val="22"/>
              </w:rPr>
              <w:t xml:space="preserve">  • Annual Professional maintenance: est. $12,000/year</w:t>
            </w:r>
          </w:p>
          <w:p>
            <w:pPr>
              <w:spacing w:after="60"/>
            </w:pPr>
            <w:r>
              <w:rPr>
                <w:rFonts w:ascii="Arial" w:cs="Arial" w:eastAsia="Arial" w:hAnsi="Arial"/>
                <w:sz w:val="22"/>
                <w:szCs w:val="22"/>
              </w:rPr>
              <w:t xml:space="preserve">  • Services engagements: 20 installations × $2,000 avg = $40,000</w:t>
            </w:r>
          </w:p>
          <w:p>
            <w:pPr>
              <w:spacing w:after="60"/>
            </w:pPr>
            <w:r>
              <w:rPr>
                <w:rFonts w:ascii="Arial" w:cs="Arial" w:eastAsia="Arial" w:hAnsi="Arial"/>
                <w:sz w:val="22"/>
                <w:szCs w:val="22"/>
              </w:rPr>
              <w:t xml:space="preserve">  • Total BMC contribution (Year 3): ~$52,000 (~25% of Y3 enterprise revenue)</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Risk: BMC partnership slips to Month 22 → Y3 enterprise revenue drops by ~$30,000</w:t>
            </w:r>
          </w:p>
          <w:p>
            <w:pPr>
              <w:spacing w:after="60"/>
            </w:pPr>
            <w:r>
              <w:rPr>
                <w:rFonts w:ascii="Arial" w:cs="Arial" w:eastAsia="Arial" w:hAnsi="Arial"/>
                <w:sz w:val="22"/>
                <w:szCs w:val="22"/>
              </w:rPr>
              <w:t xml:space="preserve">Mitigation: Begin BMC outreach in Phase 2 (Months 4–9). BD hire must have 3+ pre-existing</w:t>
            </w:r>
          </w:p>
          <w:p>
            <w:pPr>
              <w:spacing w:after="60"/>
            </w:pPr>
            <w:r>
              <w:rPr>
                <w:rFonts w:ascii="Arial" w:cs="Arial" w:eastAsia="Arial" w:hAnsi="Arial"/>
                <w:sz w:val="22"/>
                <w:szCs w:val="22"/>
              </w:rPr>
              <w:t xml:space="preserve">BMC relationships (N-8 fix — see Ch.14). M12 milestone: 3 qualified BMC opportunities in pipeline.</w:t>
            </w:r>
          </w:p>
        </w:tc>
      </w:tr>
    </w:tbl>
    <w:p>
      <w:pPr>
        <w:spacing w:after="200"/>
      </w:pPr>
    </w:p>
    <w:p>
      <w:pPr>
        <w:spacing w:after="80" w:before="16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9527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Chart 2 — Cumulative Cash Position: Base Case vs Optimistic (Break-Even Path)</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80"/>
        <w:gridCol w:w="4480"/>
      </w:tblGrid>
      <w:tr>
        <w:tc>
          <w:tcPr>
            <w:tcW w:type="dxa" w:w="3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Question</w:t>
            </w:r>
          </w:p>
        </w:tc>
        <w:tc>
          <w:tcPr>
            <w:tcW w:type="dxa" w:w="168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Answer</w:t>
            </w:r>
          </w:p>
        </w:tc>
        <w:tc>
          <w:tcPr>
            <w:tcW w:type="dxa" w:w="448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Explanation</w:t>
            </w:r>
          </w:p>
        </w:tc>
      </w:tr>
      <w:tr>
        <w:tc>
          <w:tcPr>
            <w:tcW w:type="dxa" w:w="3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Total investment needed to reach break-even</w:t>
            </w:r>
          </w:p>
        </w:tc>
        <w:tc>
          <w:tcPr>
            <w:tcW w:type="dxa" w:w="16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~$192,000</w:t>
            </w:r>
          </w:p>
        </w:tc>
        <w:tc>
          <w:tcPr>
            <w:tcW w:type="dxa" w:w="44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Cumulative net deficit: Y1 (–$66K) + Y2 (–$82K) + partial Y3 before BMC catalyst ≈ –$192K total.</w:t>
            </w:r>
          </w:p>
        </w:tc>
      </w:tr>
      <w:tr>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Break-even timing — base case</w:t>
            </w:r>
          </w:p>
        </w:tc>
        <w:tc>
          <w:tcPr>
            <w:tcW w:type="dxa" w:w="16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Month 30+</w:t>
            </w:r>
          </w:p>
        </w:tc>
        <w:tc>
          <w:tcPr>
            <w:tcW w:type="dxa" w:w="44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17% CAGR + BMC deal Month 19. Net positive in Month 30+ of operations.</w:t>
            </w:r>
          </w:p>
        </w:tc>
      </w:tr>
      <w:tr>
        <w:tc>
          <w:tcPr>
            <w:tcW w:type="dxa" w:w="3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Break-even timing — optimistic case</w:t>
            </w:r>
          </w:p>
        </w:tc>
        <w:tc>
          <w:tcPr>
            <w:tcW w:type="dxa" w:w="16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Month 26</w:t>
            </w:r>
          </w:p>
        </w:tc>
        <w:tc>
          <w:tcPr>
            <w:tcW w:type="dxa" w:w="44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23% CAGR + BMC deal Month 16. BD hire at Month 6 (not 9). Enterprise ARPU at $199/mo subscription (not $2K perpetual).</w:t>
            </w:r>
          </w:p>
        </w:tc>
      </w:tr>
      <w:tr>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What moves break-even into 3-year window?</w:t>
            </w:r>
          </w:p>
        </w:tc>
        <w:tc>
          <w:tcPr>
            <w:tcW w:type="dxa" w:w="16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Month 26</w:t>
            </w:r>
          </w:p>
        </w:tc>
        <w:tc>
          <w:tcPr>
            <w:tcW w:type="dxa" w:w="448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Three changes: (1) BMC signed Month 16 vs 19 → +$30K; (2) Enterprise pricing at $199/mo subscription vs $2K perpetual → +$18K/yr Y3; (3) BD hire at Month 6 vs 9 → 3-month pipeline acceleration. All three together achieve Month 26 break-even (optimistic scenario).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BFBF" w:sz="4"/>
              <w:left w:val="single" w:color="BFBFBF" w:sz="4"/>
              <w:bottom w:val="single" w:color="BFBFBF" w:sz="4"/>
              <w:right w:val="single" w:color="BFBFBF" w:sz="4"/>
            </w:tcBorders>
            <w:shd w:fill="FCE4D6" w:val="clear"/>
            <w:tcMar>
              <w:top w:type="dxa" w:w="120"/>
              <w:left w:type="dxa" w:w="160"/>
              <w:bottom w:type="dxa" w:w="120"/>
              <w:right w:type="dxa" w:w="160"/>
            </w:tcMar>
          </w:tcPr>
          <w:p>
            <w:pPr>
              <w:spacing w:after="0"/>
            </w:pPr>
            <w:r>
              <w:rPr>
                <w:rFonts w:ascii="Arial" w:cs="Arial" w:eastAsia="Arial" w:hAnsi="Arial"/>
                <w:b/>
                <w:bCs/>
                <w:color w:val="C55A11"/>
                <w:sz w:val="22"/>
                <w:szCs w:val="22"/>
              </w:rPr>
              <w:t xml:space="preserve">N-2 — Year 2 is the Most Capital-Intensive Year:  </w:t>
            </w:r>
            <w:r>
              <w:rPr>
                <w:rFonts w:ascii="Arial" w:cs="Arial" w:eastAsia="Arial" w:hAnsi="Arial"/>
                <w:sz w:val="22"/>
                <w:szCs w:val="22"/>
              </w:rPr>
              <w:t xml:space="preserve">Revenue grows 267% Y1→Y2 ($23K→$86K) but net position worsens (–$66K→–$82K) because operating costs grow 87% ($90K→$169K). The two primary Year 2 cost drivers: BD hire at Month 9 ($42K/year, adds $28K to Y2 OpEx from Month 9 to year-end) and sales &amp; marketing scale-up ($54K/year in Y2 vs $36K in Y1). Year 3 begins the recovery trajectory. This is the correct, honest projection — a business investing aggressively in Year 2 to capture Year 3 revenue.</w:t>
            </w:r>
          </w:p>
        </w:tc>
      </w:tr>
    </w:tbl>
    <w:p>
      <w:r>
        <w:br w:type="page"/>
      </w:r>
    </w:p>
    <w:p>
      <w:pPr>
        <w:pStyle w:val="Heading1"/>
        <w:spacing w:after="80" w:before="240"/>
      </w:pPr>
      <w:r>
        <w:rPr>
          <w:rFonts w:ascii="Arial" w:cs="Arial" w:eastAsia="Arial" w:hAnsi="Arial"/>
          <w:b/>
          <w:bCs/>
          <w:color w:val="1F4E79"/>
          <w:sz w:val="34"/>
          <w:szCs w:val="34"/>
        </w:rPr>
        <w:t xml:space="preserve">12  Go-to-Market Strategy</w:t>
      </w:r>
    </w:p>
    <w:p>
      <w:pPr>
        <w:pBdr>
          <w:bottom w:val="single" w:color="2E75B6" w:sz="8" w:space="1"/>
        </w:pBdr>
        <w:spacing w:after="160"/>
      </w:pPr>
    </w:p>
    <w:p>
      <w:pPr>
        <w:spacing w:after="120" w:line="276"/>
      </w:pPr>
      <w:r>
        <w:rPr>
          <w:rFonts w:ascii="Arial" w:cs="Arial" w:eastAsia="Arial" w:hAnsi="Arial"/>
          <w:sz w:val="22"/>
          <w:szCs w:val="22"/>
        </w:rPr>
        <w:t xml:space="preserve">Israel is the optimal launch market: (1) estimated 25,000+ Provision ISR DVR units deployed; (2) Telegram is the dominant business messaging platform; (3) Hebrew is the primary operational language for building management. No competing product serves all three simultaneously.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3600"/>
        <w:gridCol w:w="3360"/>
      </w:tblGrid>
      <w:tr>
        <w:tc>
          <w:tcPr>
            <w:tcW w:type="dxa" w:w="1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Phase</w:t>
            </w:r>
          </w:p>
        </w:tc>
        <w:tc>
          <w:tcPr>
            <w:tcW w:type="dxa" w:w="1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Timeline</w:t>
            </w:r>
          </w:p>
        </w:tc>
        <w:tc>
          <w:tcPr>
            <w:tcW w:type="dxa" w:w="36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Activities</w:t>
            </w:r>
          </w:p>
        </w:tc>
        <w:tc>
          <w:tcPr>
            <w:tcW w:type="dxa" w:w="33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Success Metrics</w:t>
            </w:r>
          </w:p>
        </w:tc>
      </w:tr>
      <w:tr>
        <w:tc>
          <w:tcPr>
            <w:tcW w:type="dxa" w:w="1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1 — Seed</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Months 1–3</w:t>
            </w:r>
          </w:p>
        </w:tc>
        <w:tc>
          <w:tcPr>
            <w:tcW w:type="dxa" w:w="3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Development complete. 3 anchor pilot customers (free). Provision ISR distributor contact. GitHub repository public.</w:t>
            </w:r>
          </w:p>
        </w:tc>
        <w:tc>
          <w:tcPr>
            <w:tcW w:type="dxa" w:w="3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 pilots live; 50+ GitHub stars; first user testimonials</w:t>
            </w:r>
          </w:p>
        </w:tc>
      </w:tr>
      <w:tr>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2 — Early Adopters</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Months 4–9</w:t>
            </w:r>
          </w:p>
        </w:tc>
        <w:tc>
          <w:tcPr>
            <w:tcW w:type="dxa" w:w="3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Israeli property manager community outreach. Hebrew content marketing. Demo video: DVR + Telegram alert. Community tier live. BD hire initiated.</w:t>
            </w:r>
          </w:p>
        </w:tc>
        <w:tc>
          <w:tcPr>
            <w:tcW w:type="dxa" w:w="3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25+ installs; 6+ paid; first case study; BD hire completed</w:t>
            </w:r>
          </w:p>
        </w:tc>
      </w:tr>
      <w:tr>
        <w:tc>
          <w:tcPr>
            <w:tcW w:type="dxa" w:w="1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3 — Growth</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Months 10–18</w:t>
            </w:r>
          </w:p>
        </w:tc>
        <w:tc>
          <w:tcPr>
            <w:tcW w:type="dxa" w:w="3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BMC partnership programme initiated. Provision ISR OEM partnership. WATEC Israel conference. M12 milestone: 3+ qualified BMC opportunities in pipeline.</w:t>
            </w:r>
          </w:p>
        </w:tc>
        <w:tc>
          <w:tcPr>
            <w:tcW w:type="dxa" w:w="3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90+ installs; 30+ paid; $86K ARR; M12 milestone confirmed</w:t>
            </w:r>
          </w:p>
        </w:tc>
      </w:tr>
      <w:tr>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4 — Scale</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Months 19–36</w:t>
            </w:r>
          </w:p>
        </w:tc>
        <w:tc>
          <w:tcPr>
            <w:tcW w:type="dxa" w:w="3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BMC contract signing (Month 19). UAE private sector via UAE free zone entity (ADGM/DIFC as Middle East HQ). Channel partner programme.</w:t>
            </w:r>
          </w:p>
        </w:tc>
        <w:tc>
          <w:tcPr>
            <w:tcW w:type="dxa" w:w="3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220+ installs; $224K+ ARR; first enterprise BMC contract; UAE private-sector pilot live</w:t>
            </w:r>
          </w:p>
        </w:tc>
      </w:tr>
      <w:tr>
        <w:tc>
          <w:tcPr>
            <w:tcW w:type="dxa" w:w="1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5 — MENA Expansion</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Months 37+</w:t>
            </w:r>
          </w:p>
        </w:tc>
        <w:tc>
          <w:tcPr>
            <w:tcW w:type="dxa" w:w="3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UAE public sector (with ADGM entity established). KSA private sector (English-language, no entity requirement). KSA B2G deferred pending KSA entity or KSA partner with local presence.</w:t>
            </w:r>
          </w:p>
        </w:tc>
        <w:tc>
          <w:tcPr>
            <w:tcW w:type="dxa" w:w="3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MENA installs; Arabic language model validated; Phase 5 fundraising round</w:t>
            </w:r>
          </w:p>
        </w:tc>
      </w:tr>
    </w:tbl>
    <w:p>
      <w:pPr>
        <w:spacing w:after="200"/>
      </w:pPr>
    </w:p>
    <w:p>
      <w:pPr>
        <w:spacing w:after="120" w:line="276"/>
      </w:pPr>
      <w:r>
        <w:rPr>
          <w:rFonts w:ascii="Arial" w:cs="Arial" w:eastAsia="Arial" w:hAnsi="Arial"/>
          <w:sz w:val="22"/>
          <w:szCs w:val="22"/>
        </w:rPr>
        <w:t xml:space="preserve">The committee correctly identified that 'KSA B2G requires a Saudi entity' was cited without addressing how a pre-revenue Israeli startup creates one. The revised MENA strategy addresses this operationally: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3160"/>
      </w:tblGrid>
      <w:tr>
        <w:tc>
          <w:tcPr>
            <w:tcW w:type="dxa" w:w="16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Market / Segment</w:t>
            </w:r>
          </w:p>
        </w:tc>
        <w:tc>
          <w:tcPr>
            <w:tcW w:type="dxa" w:w="2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Phase</w:t>
            </w:r>
          </w:p>
        </w:tc>
        <w:tc>
          <w:tcPr>
            <w:tcW w:type="dxa" w:w="2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Legal Entity Required</w:t>
            </w:r>
          </w:p>
        </w:tc>
        <w:tc>
          <w:tcPr>
            <w:tcW w:type="dxa" w:w="31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Operational Approach</w:t>
            </w:r>
          </w:p>
        </w:tc>
      </w:tr>
      <w:tr>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UAE Private Sector</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Phase 4 (Months 19–36)</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UAE Free Zone entity (ADGM or DIFC) — registered as Middle East HQ. Cost: ~$5,000–$15,000 setup. Realistic for a company at Month 19 with BMC revenue.</w:t>
            </w:r>
          </w:p>
        </w:tc>
        <w:tc>
          <w:tcPr>
            <w:tcW w:type="dxa" w:w="3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Target: commercial property management companies in Dubai and Abu Dhabi. English-language product acceptable. No Hebrew dependency. Partner: UAE security systems integrator.</w:t>
            </w:r>
          </w:p>
        </w:tc>
      </w:tr>
      <w:tr>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KSA Private Sector</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Phase 5 (Months 37+)</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No Saudi entity required for private-sector B2B. Can operate via UAE free zone entity with KSA-based partner.</w:t>
            </w:r>
          </w:p>
        </w:tc>
        <w:tc>
          <w:tcPr>
            <w:tcW w:type="dxa" w:w="31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Target: gated compound management companies, private hospital groups, large commercial property managers. English-language product acceptable. Qwen2.5 for Arabic support via Ollama.</w:t>
            </w:r>
          </w:p>
        </w:tc>
      </w:tr>
      <w:tr>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KSA B2G (Government procurement)</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DEFERRED to Phase 6 or partnership</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Requires Saudi entity OR a Saudi partner holding the entity and acting as local prime contractor. PDPL compliance required.</w:t>
            </w:r>
          </w:p>
        </w:tc>
        <w:tc>
          <w:tcPr>
            <w:tcW w:type="dxa" w:w="3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Not operationally realistic for a startup at Phase 4. Deferred until: (a) UAE entity established and profitable, OR (b) Saudi system integrator partner identified who provides local entity. Remove from Phase 4 planning.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BFBF" w:sz="4"/>
              <w:left w:val="single" w:color="BFBFBF" w:sz="4"/>
              <w:bottom w:val="single" w:color="BFBFBF" w:sz="4"/>
              <w:right w:val="single" w:color="BFBFBF" w:sz="4"/>
            </w:tcBorders>
            <w:shd w:fill="E2EFDA" w:val="clear"/>
            <w:tcMar>
              <w:top w:type="dxa" w:w="120"/>
              <w:left w:type="dxa" w:w="160"/>
              <w:bottom w:type="dxa" w:w="120"/>
              <w:right w:type="dxa" w:w="160"/>
            </w:tcMar>
          </w:tcPr>
          <w:p>
            <w:pPr>
              <w:spacing w:after="0"/>
            </w:pPr>
            <w:r>
              <w:rPr>
                <w:rFonts w:ascii="Arial" w:cs="Arial" w:eastAsia="Arial" w:hAnsi="Arial"/>
                <w:b/>
                <w:bCs/>
                <w:color w:val="1E6B3C"/>
                <w:sz w:val="22"/>
                <w:szCs w:val="22"/>
              </w:rPr>
              <w:t xml:space="preserve">N-5 Resolution:  </w:t>
            </w:r>
            <w:r>
              <w:rPr>
                <w:rFonts w:ascii="Arial" w:cs="Arial" w:eastAsia="Arial" w:hAnsi="Arial"/>
                <w:sz w:val="22"/>
                <w:szCs w:val="22"/>
              </w:rPr>
              <w:t xml:space="preserve">KSA B2G is removed from Phase 4 planning. UAE private sector (via ADGM/DIFC free zone entity) is the realistic Phase 4 MENA entry point. KSA private sector and KSA B2G are deferred to Phase 5 and 6 respectively, pending entity establishment or partner identification.</w:t>
            </w:r>
          </w:p>
        </w:tc>
      </w:tr>
    </w:tbl>
    <w:p>
      <w:pPr>
        <w:spacing w:after="200"/>
      </w:pPr>
    </w:p>
    <w:p>
      <w:pPr>
        <w:pStyle w:val="ListParagraph"/>
        <w:numPr>
          <w:ilvl w:val="0"/>
          <w:numId w:val="2"/>
        </w:numPr>
        <w:spacing w:after="80"/>
      </w:pPr>
      <w:r>
        <w:rPr>
          <w:rFonts w:ascii="Arial" w:cs="Arial" w:eastAsia="Arial" w:hAnsi="Arial"/>
          <w:b w:val="false"/>
          <w:bCs w:val="false"/>
          <w:sz w:val="22"/>
          <w:szCs w:val="22"/>
        </w:rPr>
        <w:t xml:space="preserve">Active in security systems integration or building management technology in Israel or MENA</w:t>
      </w:r>
    </w:p>
    <w:p>
      <w:pPr>
        <w:pStyle w:val="ListParagraph"/>
        <w:numPr>
          <w:ilvl w:val="0"/>
          <w:numId w:val="2"/>
        </w:numPr>
        <w:spacing w:after="80"/>
      </w:pPr>
      <w:r>
        <w:rPr>
          <w:rFonts w:ascii="Arial" w:cs="Arial" w:eastAsia="Arial" w:hAnsi="Arial"/>
          <w:b w:val="false"/>
          <w:bCs w:val="false"/>
          <w:sz w:val="22"/>
          <w:szCs w:val="22"/>
        </w:rPr>
        <w:t xml:space="preserve">Existing relationships with property management companies or building committees (minimum 20 accounts)</w:t>
      </w:r>
    </w:p>
    <w:p>
      <w:pPr>
        <w:pStyle w:val="ListParagraph"/>
        <w:numPr>
          <w:ilvl w:val="0"/>
          <w:numId w:val="2"/>
        </w:numPr>
        <w:spacing w:after="80"/>
      </w:pPr>
      <w:r>
        <w:rPr>
          <w:rFonts w:ascii="Arial" w:cs="Arial" w:eastAsia="Arial" w:hAnsi="Arial"/>
          <w:b w:val="false"/>
          <w:bCs w:val="false"/>
          <w:sz w:val="22"/>
          <w:szCs w:val="22"/>
        </w:rPr>
        <w:t xml:space="preserve">Technical capability: at least one engineer who can install and configure Linux-based software on WSL</w:t>
      </w:r>
    </w:p>
    <w:p>
      <w:pPr>
        <w:pStyle w:val="ListParagraph"/>
        <w:numPr>
          <w:ilvl w:val="0"/>
          <w:numId w:val="2"/>
        </w:numPr>
        <w:spacing w:after="80"/>
      </w:pPr>
      <w:r>
        <w:rPr>
          <w:rFonts w:ascii="Arial" w:cs="Arial" w:eastAsia="Arial" w:hAnsi="Arial"/>
          <w:b w:val="false"/>
          <w:bCs w:val="false"/>
          <w:sz w:val="22"/>
          <w:szCs w:val="22"/>
        </w:rPr>
        <w:t xml:space="preserve">Business standing: registered company, 3+ years operating, no unresolved legal disputes</w:t>
      </w:r>
    </w:p>
    <w:p>
      <w:pPr>
        <w:pStyle w:val="ListParagraph"/>
        <w:numPr>
          <w:ilvl w:val="0"/>
          <w:numId w:val="2"/>
        </w:numPr>
        <w:spacing w:after="80"/>
      </w:pPr>
      <w:r>
        <w:rPr>
          <w:rFonts w:ascii="Arial" w:cs="Arial" w:eastAsia="Arial" w:hAnsi="Arial"/>
          <w:b w:val="false"/>
          <w:bCs w:val="false"/>
          <w:sz w:val="22"/>
          <w:szCs w:val="22"/>
        </w:rPr>
        <w:t xml:space="preserve">Revenue share: 20% of Professional/Enterprise license fees on referred accounts; 100% of services revenue on self-delivered installations</w:t>
      </w:r>
    </w:p>
    <w:p>
      <w:r>
        <w:br w:type="page"/>
      </w:r>
    </w:p>
    <w:p>
      <w:pPr>
        <w:pStyle w:val="Heading1"/>
        <w:spacing w:after="80" w:before="240"/>
      </w:pPr>
      <w:r>
        <w:rPr>
          <w:rFonts w:ascii="Arial" w:cs="Arial" w:eastAsia="Arial" w:hAnsi="Arial"/>
          <w:b/>
          <w:bCs/>
          <w:color w:val="1F4E79"/>
          <w:sz w:val="34"/>
          <w:szCs w:val="34"/>
        </w:rPr>
        <w:t xml:space="preserve">13  Risk Analysis</w:t>
      </w:r>
    </w:p>
    <w:p>
      <w:pPr>
        <w:pBdr>
          <w:bottom w:val="single" w:color="2E75B6" w:sz="8" w:space="1"/>
        </w:pBdr>
        <w:spacing w:after="160"/>
      </w:pPr>
    </w:p>
    <w:p>
      <w:pPr>
        <w:spacing w:after="120" w:line="276"/>
      </w:pPr>
      <w:r>
        <w:rPr>
          <w:rFonts w:ascii="Arial" w:cs="Arial" w:eastAsia="Arial" w:hAnsi="Arial"/>
          <w:sz w:val="22"/>
          <w:szCs w:val="22"/>
        </w:rPr>
        <w:t xml:space="preserve">Nine risks in the register. The Risk Matrix chart below provides an at-a-glance view of likelihood vs impact positioning.</w:t>
      </w:r>
    </w:p>
    <w:p>
      <w:pPr>
        <w:spacing w:after="100"/>
      </w:pPr>
    </w:p>
    <w:p>
      <w:pPr>
        <w:spacing w:after="80" w:before="160"/>
        <w:jc w:val="center"/>
      </w:pPr>
      <w:r>
        <w:drawing>
          <wp:inline distT="0" distB="0" distL="0" distR="0">
            <wp:extent cx="5524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40005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Chart 4 — Risk Matrix: Likelihood vs Impact (R-1 to R-9). Red zone = CRITICAL; Yellow = MONITOR or MITIGATE; Green = LOW RISK</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00"/>
        <w:gridCol w:w="400"/>
        <w:gridCol w:w="5960"/>
      </w:tblGrid>
      <w:tr>
        <w:tc>
          <w:tcPr>
            <w:tcW w:type="dxa" w:w="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ID</w:t>
            </w:r>
          </w:p>
        </w:tc>
        <w:tc>
          <w:tcPr>
            <w:tcW w:type="dxa" w:w="2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Risk</w:t>
            </w:r>
          </w:p>
        </w:tc>
        <w:tc>
          <w:tcPr>
            <w:tcW w:type="dxa" w:w="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L</w:t>
            </w:r>
          </w:p>
        </w:tc>
        <w:tc>
          <w:tcPr>
            <w:tcW w:type="dxa" w:w="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I</w:t>
            </w:r>
          </w:p>
        </w:tc>
        <w:tc>
          <w:tcPr>
            <w:tcW w:type="dxa" w:w="59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Mitigation Strategy</w:t>
            </w:r>
          </w:p>
        </w:tc>
      </w:tr>
      <w:tr>
        <w:tc>
          <w:tcPr>
            <w:tcW w:type="dxa" w:w="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R-1</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Provision ISR DVR API changes or access restrictions</w:t>
            </w:r>
          </w:p>
        </w:tc>
        <w:tc>
          <w:tcPr>
            <w:tcW w:type="dxa" w:w="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w:t>
            </w:r>
          </w:p>
        </w:tc>
        <w:tc>
          <w:tcPr>
            <w:tcW w:type="dxa" w:w="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5</w:t>
            </w:r>
          </w:p>
        </w:tc>
        <w:tc>
          <w:tcPr>
            <w:tcW w:type="dxa" w:w="59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Document ONVIF standard compliance as primary interface; develop fallback to generic RTSP; pursue formal API agreement. ONVIF compliance is required for interoperability certifications.</w:t>
            </w:r>
          </w:p>
        </w:tc>
      </w:tr>
      <w:tr>
        <w:tc>
          <w:tcPr>
            <w:tcW w:type="dxa" w:w="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R-2</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Ollama / Llama 3.2 model quality insufficient for Hebrew zone parsing</w:t>
            </w:r>
          </w:p>
        </w:tc>
        <w:tc>
          <w:tcPr>
            <w:tcW w:type="dxa" w:w="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w:t>
            </w:r>
          </w:p>
        </w:tc>
        <w:tc>
          <w:tcPr>
            <w:tcW w:type="dxa" w:w="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4</w:t>
            </w:r>
          </w:p>
        </w:tc>
        <w:tc>
          <w:tcPr>
            <w:tcW w:type="dxa" w:w="5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Pre-launch benchmark: evaluate Phi-3 Mini, Gemma 2B, and Qwen2.5 on 50 Hebrew zone descriptions. Architecture is model-agnostic — swapping models requires only a config change.</w:t>
            </w:r>
          </w:p>
        </w:tc>
      </w:tr>
      <w:tr>
        <w:tc>
          <w:tcPr>
            <w:tcW w:type="dxa" w:w="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R-3</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MediaPipe detection accuracy insufficient in poor lighting</w:t>
            </w:r>
          </w:p>
        </w:tc>
        <w:tc>
          <w:tcPr>
            <w:tcW w:type="dxa" w:w="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4</w:t>
            </w:r>
          </w:p>
        </w:tc>
        <w:tc>
          <w:tcPr>
            <w:tcW w:type="dxa" w:w="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4</w:t>
            </w:r>
          </w:p>
        </w:tc>
        <w:tc>
          <w:tcPr>
            <w:tcW w:type="dxa" w:w="59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Confidence-threshold calibration (M-1). Test on Provision ISR footage at night and in shadow. If precision &lt;0.85, add YOLOv8n CPU as fallback. Preprocessing: CLAHE contrast enhancement before MediaPipe.</w:t>
            </w:r>
          </w:p>
        </w:tc>
      </w:tr>
      <w:tr>
        <w:tc>
          <w:tcPr>
            <w:tcW w:type="dxa" w:w="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R-4</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Enterprise competitor (Hikvision/Dahua) adds DVR AI plugin</w:t>
            </w:r>
          </w:p>
        </w:tc>
        <w:tc>
          <w:tcPr>
            <w:tcW w:type="dxa" w:w="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w:t>
            </w:r>
          </w:p>
        </w:tc>
        <w:tc>
          <w:tcPr>
            <w:tcW w:type="dxa" w:w="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5</w:t>
            </w:r>
          </w:p>
        </w:tc>
        <w:tc>
          <w:tcPr>
            <w:tcW w:type="dxa" w:w="5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Accelerate DVR-native integration as defensible moat. File provisional patent (Appendix D). Build Provision ISR distributor partnership before Month 9.</w:t>
            </w:r>
          </w:p>
        </w:tc>
      </w:tr>
      <w:tr>
        <w:tc>
          <w:tcPr>
            <w:tcW w:type="dxa" w:w="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R-5</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GDPR / data protection compliance issue in EU deployment</w:t>
            </w:r>
          </w:p>
        </w:tc>
        <w:tc>
          <w:tcPr>
            <w:tcW w:type="dxa" w:w="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w:t>
            </w:r>
          </w:p>
        </w:tc>
        <w:tc>
          <w:tcPr>
            <w:tcW w:type="dxa" w:w="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5</w:t>
            </w:r>
          </w:p>
        </w:tc>
        <w:tc>
          <w:tcPr>
            <w:tcW w:type="dxa" w:w="59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Obtain GDPR legal opinion before EU launch. Prepare DPA template. Wireshark network audit documentation. Consider EuroPriSe certification for Enterprise tier.</w:t>
            </w:r>
          </w:p>
        </w:tc>
      </w:tr>
      <w:tr>
        <w:tc>
          <w:tcPr>
            <w:tcW w:type="dxa" w:w="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R-6</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Customer unwilling to pay — 'but it is open source'</w:t>
            </w:r>
          </w:p>
        </w:tc>
        <w:tc>
          <w:tcPr>
            <w:tcW w:type="dxa" w:w="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4</w:t>
            </w:r>
          </w:p>
        </w:tc>
        <w:tc>
          <w:tcPr>
            <w:tcW w:type="dxa" w:w="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w:t>
            </w:r>
          </w:p>
        </w:tc>
        <w:tc>
          <w:tcPr>
            <w:tcW w:type="dxa" w:w="5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Three-layer monetisation defence: Community = trust; Professional = dashboard + dual-channel; Enterprise = multi-site + SLA + GDPR DPA. Self-hosters become case studies; case studies drive enterprise sales.</w:t>
            </w:r>
          </w:p>
        </w:tc>
      </w:tr>
      <w:tr>
        <w:tc>
          <w:tcPr>
            <w:tcW w:type="dxa" w:w="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R-7</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Hebrew NLP accuracy gap vs English &gt; 5%</w:t>
            </w:r>
          </w:p>
        </w:tc>
        <w:tc>
          <w:tcPr>
            <w:tcW w:type="dxa" w:w="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w:t>
            </w:r>
          </w:p>
        </w:tc>
        <w:tc>
          <w:tcPr>
            <w:tcW w:type="dxa" w:w="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w:t>
            </w:r>
          </w:p>
        </w:tc>
        <w:tc>
          <w:tcPr>
            <w:tcW w:type="dxa" w:w="59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Pre-launch benchmark M-7: 20 Hebrew vs 20 English descriptions of same zones. If gap &gt;5%: expand prompt engineering or switch to Qwen2.5.</w:t>
            </w:r>
          </w:p>
        </w:tc>
      </w:tr>
      <w:tr>
        <w:tc>
          <w:tcPr>
            <w:tcW w:type="dxa" w:w="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R-8</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Alert fatigue — too many notifications</w:t>
            </w:r>
          </w:p>
        </w:tc>
        <w:tc>
          <w:tcPr>
            <w:tcW w:type="dxa" w:w="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w:t>
            </w:r>
          </w:p>
        </w:tc>
        <w:tc>
          <w:tcPr>
            <w:tcW w:type="dxa" w:w="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w:t>
            </w:r>
          </w:p>
        </w:tc>
        <w:tc>
          <w:tcPr>
            <w:tcW w:type="dxa" w:w="5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10-minute gatekeeper (FR-6, channel-aware per N-3 fix) and same-car logic (FR-5). Configurable gatekeeper window (default 10 min; user-adjustable 5–60 min).</w:t>
            </w:r>
          </w:p>
        </w:tc>
      </w:tr>
      <w:tr>
        <w:tc>
          <w:tcPr>
            <w:tcW w:type="dxa" w:w="400"/>
            <w:tcBorders>
              <w:top w:val="single" w:color="BFBFBF" w:sz="4"/>
              <w:left w:val="single" w:color="BFBFBF" w:sz="4"/>
              <w:bottom w:val="single" w:color="BFBFBF" w:sz="4"/>
              <w:right w:val="single" w:color="BFBFBF" w:sz="4"/>
            </w:tcBorders>
            <w:shd w:fill="FCE4D6"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R-9</w:t>
            </w:r>
          </w:p>
        </w:tc>
        <w:tc>
          <w:tcPr>
            <w:tcW w:type="dxa" w:w="2200"/>
            <w:tcBorders>
              <w:top w:val="single" w:color="BFBFBF" w:sz="4"/>
              <w:left w:val="single" w:color="BFBFBF" w:sz="4"/>
              <w:bottom w:val="single" w:color="BFBFBF" w:sz="4"/>
              <w:right w:val="single" w:color="BFBFBF" w:sz="4"/>
            </w:tcBorders>
            <w:shd w:fill="FCE4D6"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Key-person risk — single developer dependency</w:t>
            </w:r>
          </w:p>
        </w:tc>
        <w:tc>
          <w:tcPr>
            <w:tcW w:type="dxa" w:w="400"/>
            <w:tcBorders>
              <w:top w:val="single" w:color="BFBFBF" w:sz="4"/>
              <w:left w:val="single" w:color="BFBFBF" w:sz="4"/>
              <w:bottom w:val="single" w:color="BFBFBF" w:sz="4"/>
              <w:right w:val="single" w:color="BFBFBF" w:sz="4"/>
            </w:tcBorders>
            <w:shd w:fill="FCE4D6"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4</w:t>
            </w:r>
          </w:p>
        </w:tc>
        <w:tc>
          <w:tcPr>
            <w:tcW w:type="dxa" w:w="400"/>
            <w:tcBorders>
              <w:top w:val="single" w:color="BFBFBF" w:sz="4"/>
              <w:left w:val="single" w:color="BFBFBF" w:sz="4"/>
              <w:bottom w:val="single" w:color="BFBFBF" w:sz="4"/>
              <w:right w:val="single" w:color="BFBFBF" w:sz="4"/>
            </w:tcBorders>
            <w:shd w:fill="FCE4D6"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5</w:t>
            </w:r>
          </w:p>
        </w:tc>
        <w:tc>
          <w:tcPr>
            <w:tcW w:type="dxa" w:w="5960"/>
            <w:tcBorders>
              <w:top w:val="single" w:color="BFBFBF" w:sz="4"/>
              <w:left w:val="single" w:color="BFBFBF" w:sz="4"/>
              <w:bottom w:val="single" w:color="BFBFBF" w:sz="4"/>
              <w:right w:val="single" w:color="BFBFBF" w:sz="4"/>
            </w:tcBorders>
            <w:shd w:fill="FCE4D6"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 Modular architecture — 7 separated phases each independently testable. (2) Documentation standard: README + test cases per module before Phase 7. (3) Weekly GitHub commits from Phase 1. (4) Monthly moderator architecture briefing. (5) Phase 7 includes 2-week buffer.</w:t>
            </w:r>
          </w:p>
        </w:tc>
      </w:tr>
    </w:tbl>
    <w:p>
      <w:r>
        <w:br w:type="page"/>
      </w:r>
    </w:p>
    <w:p>
      <w:pPr>
        <w:pStyle w:val="Heading1"/>
        <w:spacing w:after="80" w:before="240"/>
      </w:pPr>
      <w:r>
        <w:rPr>
          <w:rFonts w:ascii="Arial" w:cs="Arial" w:eastAsia="Arial" w:hAnsi="Arial"/>
          <w:b/>
          <w:bCs/>
          <w:color w:val="1F4E79"/>
          <w:sz w:val="34"/>
          <w:szCs w:val="34"/>
        </w:rPr>
        <w:t xml:space="preserve">14  Team &amp; Execution Plan</w:t>
      </w:r>
    </w:p>
    <w:p>
      <w:pPr>
        <w:pBdr>
          <w:bottom w:val="single" w:color="2E75B6" w:sz="8" w:space="1"/>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Role</w:t>
            </w:r>
          </w:p>
        </w:tc>
        <w:tc>
          <w:tcPr>
            <w:tcW w:type="dxa" w:w="2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Person</w:t>
            </w:r>
          </w:p>
        </w:tc>
        <w:tc>
          <w:tcPr>
            <w:tcW w:type="dxa" w:w="47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Responsibilities</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Project Author &amp; Lead Developer</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Yair Levi</w:t>
            </w:r>
          </w:p>
        </w:tc>
        <w:tc>
          <w:tcPr>
            <w:tcW w:type="dxa" w:w="4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Full pipeline development (all 7 phases); system architecture; Provision ISR DVR integration; LLM prompt engineering; evaluation; GitHub maintenance</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Academic Moderator</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Segal Yoram, PhD</w:t>
            </w:r>
          </w:p>
        </w:tc>
        <w:tc>
          <w:tcPr>
            <w:tcW w:type="dxa" w:w="4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Research direction; methodology validation; academic literature integration; evaluation framework; monthly architecture briefing (R-9 continuity mitigation)</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Business Development (hire Month 9 — N-8 criterion added)</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TBD — Year 1 Q3</w:t>
            </w:r>
          </w:p>
        </w:tc>
        <w:tc>
          <w:tcPr>
            <w:tcW w:type="dxa" w:w="4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REQUIRED HIRING CRITERION (N-8 fix): Minimum 3 pre-existing relationships with Israeli BMCs or property management companies. Without this criterion, the Month 19 BMC signing milestone is high-risk. Budget: $42,000/year salary + $6,000 commission pool. Fully reflected in Y2–Y3 scaled cost model.</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Legal / GDPR Counsel (advisory)</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External — to be engaged</w:t>
            </w:r>
          </w:p>
        </w:tc>
        <w:tc>
          <w:tcPr>
            <w:tcW w:type="dxa" w:w="47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Israeli Privacy Protection Act; EU GDPR opinion; IP filing (Appendix D patent plan); B2B contract templates. Budget: ~$6,000–$18,000 Y1 (one-time).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200"/>
        <w:gridCol w:w="3960"/>
      </w:tblGrid>
      <w:tr>
        <w:tc>
          <w:tcPr>
            <w:tcW w:type="dxa" w:w="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Month</w:t>
            </w:r>
          </w:p>
        </w:tc>
        <w:tc>
          <w:tcPr>
            <w:tcW w:type="dxa" w:w="2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Milestone</w:t>
            </w:r>
          </w:p>
        </w:tc>
        <w:tc>
          <w:tcPr>
            <w:tcW w:type="dxa" w:w="2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Deliverable</w:t>
            </w:r>
          </w:p>
        </w:tc>
        <w:tc>
          <w:tcPr>
            <w:tcW w:type="dxa" w:w="39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Success Criterion</w:t>
            </w:r>
          </w:p>
        </w:tc>
      </w:tr>
      <w:tr>
        <w:tc>
          <w:tcPr>
            <w:tcW w:type="dxa" w:w="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M1–2</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Phase 1–2 complete</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DVR downloader + MediaPipe detector + adaptive sampling</w:t>
            </w:r>
          </w:p>
        </w:tc>
        <w:tc>
          <w:tcPr>
            <w:tcW w:type="dxa" w:w="39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Downloads 1-hour Provision ISR segment; detects vehicles at M-1 &gt;0.85; adaptive 4 FPS burst working</w:t>
            </w:r>
          </w:p>
        </w:tc>
      </w:tr>
      <w:tr>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M3–4</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Phase 3 complete</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Agent 1 — LLM zone selection Hebrew + English</w:t>
            </w:r>
          </w:p>
        </w:tc>
        <w:tc>
          <w:tcPr>
            <w:tcW w:type="dxa" w:w="3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M-6 ≤2 dialogue turns; M-7 Hebrew/English gap &lt;5%</w:t>
            </w:r>
          </w:p>
        </w:tc>
      </w:tr>
      <w:tr>
        <w:tc>
          <w:tcPr>
            <w:tcW w:type="dxa" w:w="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M4–5</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Phase 4–5 complete</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Occupancy state machine + channel-aware gatekeeper + dual-channel notification</w:t>
            </w:r>
          </w:p>
        </w:tc>
        <w:tc>
          <w:tcPr>
            <w:tcW w:type="dxa" w:w="39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M-3 alert precision &gt;0.95; M-8 Telegram latency &lt;3s; N-3 gatekeeper logic verified</w:t>
            </w:r>
          </w:p>
        </w:tc>
      </w:tr>
      <w:tr>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M5</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Phase 6 + I-2/I-4 evidence complete</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Statistics module; Wireshark capture; competitor doc scan</w:t>
            </w:r>
          </w:p>
        </w:tc>
        <w:tc>
          <w:tcPr>
            <w:tcW w:type="dxa" w:w="3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I-2 competitor scan confirmed; I-4 Wireshark confirmed; M-2 recall &gt;0.90</w:t>
            </w:r>
          </w:p>
        </w:tc>
      </w:tr>
      <w:tr>
        <w:tc>
          <w:tcPr>
            <w:tcW w:type="dxa" w:w="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M6</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Phase 7 — Evaluation complete</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Test report + single-command installer</w:t>
            </w:r>
          </w:p>
        </w:tc>
        <w:tc>
          <w:tcPr>
            <w:tcW w:type="dxa" w:w="39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All 8 metrics at or exceeding targets</w:t>
            </w:r>
          </w:p>
        </w:tc>
      </w:tr>
      <w:tr>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M7</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Pilot launch</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 paying pilot customers in Israel</w:t>
            </w:r>
          </w:p>
        </w:tc>
        <w:tc>
          <w:tcPr>
            <w:tcW w:type="dxa" w:w="3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 sites live; first testimonials; case study published</w:t>
            </w:r>
          </w:p>
        </w:tc>
      </w:tr>
      <w:tr>
        <w:tc>
          <w:tcPr>
            <w:tcW w:type="dxa" w:w="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M9</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BD hire + Community launch</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GitHub public; freemium tier live; BD hire onboarded</w:t>
            </w:r>
          </w:p>
        </w:tc>
        <w:tc>
          <w:tcPr>
            <w:tcW w:type="dxa" w:w="39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BD hire MUST have 3+ pre-existing BMC relationships (N-8); 25+ installs; 6+ paid</w:t>
            </w:r>
          </w:p>
        </w:tc>
      </w:tr>
      <w:tr>
        <w:tc>
          <w:tcPr>
            <w:tcW w:type="dxa" w:w="800"/>
            <w:tcBorders>
              <w:top w:val="single" w:color="BFBFBF" w:sz="4"/>
              <w:left w:val="single" w:color="BFBFBF" w:sz="4"/>
              <w:bottom w:val="single" w:color="BFBFBF" w:sz="4"/>
              <w:right w:val="single" w:color="BFBFBF" w:sz="4"/>
            </w:tcBorders>
            <w:shd w:fill="D6E4F0"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M12</w:t>
            </w:r>
          </w:p>
        </w:tc>
        <w:tc>
          <w:tcPr>
            <w:tcW w:type="dxa" w:w="2400"/>
            <w:tcBorders>
              <w:top w:val="single" w:color="BFBFBF" w:sz="4"/>
              <w:left w:val="single" w:color="BFBFBF" w:sz="4"/>
              <w:bottom w:val="single" w:color="BFBFBF" w:sz="4"/>
              <w:right w:val="single" w:color="BFBFBF" w:sz="4"/>
            </w:tcBorders>
            <w:shd w:fill="D6E4F0"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BMC pipeline established (NEW — N-8 fix)</w:t>
            </w:r>
          </w:p>
        </w:tc>
        <w:tc>
          <w:tcPr>
            <w:tcW w:type="dxa" w:w="2200"/>
            <w:tcBorders>
              <w:top w:val="single" w:color="BFBFBF" w:sz="4"/>
              <w:left w:val="single" w:color="BFBFBF" w:sz="4"/>
              <w:bottom w:val="single" w:color="BFBFBF" w:sz="4"/>
              <w:right w:val="single" w:color="BFBFBF" w:sz="4"/>
            </w:tcBorders>
            <w:shd w:fill="D6E4F0"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Sales pipeline document showing minimum 3 qualified BMC opportunities</w:t>
            </w:r>
          </w:p>
        </w:tc>
        <w:tc>
          <w:tcPr>
            <w:tcW w:type="dxa" w:w="3960"/>
            <w:tcBorders>
              <w:top w:val="single" w:color="BFBFBF" w:sz="4"/>
              <w:left w:val="single" w:color="BFBFBF" w:sz="4"/>
              <w:bottom w:val="single" w:color="BFBFBF" w:sz="4"/>
              <w:right w:val="single" w:color="BFBFBF" w:sz="4"/>
            </w:tcBorders>
            <w:shd w:fill="D6E4F0"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 BMC deals in active sales process. Gate for Month 19 signing. If &lt;3 opportunities at M12, delay BMC signing target to Month 22–24.</w:t>
            </w:r>
          </w:p>
        </w:tc>
      </w:tr>
      <w:tr>
        <w:tc>
          <w:tcPr>
            <w:tcW w:type="dxa" w:w="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M19</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BMC partnership signing</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First BMC contract (12–20 buildings)</w:t>
            </w:r>
          </w:p>
        </w:tc>
        <w:tc>
          <w:tcPr>
            <w:tcW w:type="dxa" w:w="39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Contract signed; installation programme begins; Y3 growth catalyst activated. Conditional on M12 pipeline milestone being met.</w:t>
            </w:r>
          </w:p>
        </w:tc>
      </w:tr>
      <w:tr>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M26+</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Break-even (optimistic case)</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Net-positive monthly operations</w:t>
            </w:r>
          </w:p>
        </w:tc>
        <w:tc>
          <w:tcPr>
            <w:tcW w:type="dxa" w:w="3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MRR &gt; monthly OpEx; first enterprise contract live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BFBF" w:sz="4"/>
              <w:left w:val="single" w:color="BFBFBF" w:sz="4"/>
              <w:bottom w:val="single" w:color="BFBFBF" w:sz="4"/>
              <w:right w:val="single" w:color="BFBFBF" w:sz="4"/>
            </w:tcBorders>
            <w:shd w:fill="E2EFDA" w:val="clear"/>
            <w:tcMar>
              <w:top w:type="dxa" w:w="120"/>
              <w:left w:type="dxa" w:w="160"/>
              <w:bottom w:type="dxa" w:w="120"/>
              <w:right w:type="dxa" w:w="160"/>
            </w:tcMar>
          </w:tcPr>
          <w:p>
            <w:pPr>
              <w:spacing w:after="0"/>
            </w:pPr>
            <w:r>
              <w:rPr>
                <w:rFonts w:ascii="Arial" w:cs="Arial" w:eastAsia="Arial" w:hAnsi="Arial"/>
                <w:b/>
                <w:bCs/>
                <w:color w:val="1E6B3C"/>
                <w:sz w:val="22"/>
                <w:szCs w:val="22"/>
              </w:rPr>
              <w:t xml:space="preserve">N-8 Resolution:  </w:t>
            </w:r>
            <w:r>
              <w:rPr>
                <w:rFonts w:ascii="Arial" w:cs="Arial" w:eastAsia="Arial" w:hAnsi="Arial"/>
                <w:sz w:val="22"/>
                <w:szCs w:val="22"/>
              </w:rPr>
              <w:t xml:space="preserve">The M12 pipeline milestone (3+ qualified BMC opportunities in active sales process) acts as the gate for the M19 BMC signing. If M12 is not met, the M19 target automatically extends to M22–24. This prevents the business plan from being invalidated by a single milestone slip.</w:t>
            </w:r>
          </w:p>
        </w:tc>
      </w:tr>
    </w:tbl>
    <w:p>
      <w:r>
        <w:br w:type="page"/>
      </w:r>
    </w:p>
    <w:p>
      <w:pPr>
        <w:pStyle w:val="Heading1"/>
        <w:spacing w:after="80" w:before="240"/>
      </w:pPr>
      <w:r>
        <w:rPr>
          <w:rFonts w:ascii="Arial" w:cs="Arial" w:eastAsia="Arial" w:hAnsi="Arial"/>
          <w:b/>
          <w:bCs/>
          <w:color w:val="1F4E79"/>
          <w:sz w:val="34"/>
          <w:szCs w:val="34"/>
        </w:rPr>
        <w:t xml:space="preserve">15  Academic Foundation</w:t>
      </w:r>
    </w:p>
    <w:p>
      <w:pPr>
        <w:pBdr>
          <w:bottom w:val="single" w:color="2E75B6" w:sz="8" w:space="1"/>
        </w:pBdr>
        <w:spacing w:after="160"/>
      </w:pPr>
    </w:p>
    <w:p>
      <w:pPr>
        <w:spacing w:after="120" w:line="276"/>
      </w:pPr>
      <w:r>
        <w:rPr>
          <w:rFonts w:ascii="Arial" w:cs="Arial" w:eastAsia="Arial" w:hAnsi="Arial"/>
          <w:sz w:val="22"/>
          <w:szCs w:val="22"/>
        </w:rPr>
        <w:t xml:space="preserve">No commercial competitor has published an equivalent academic foundation — a genuine differentiator in technically sophisticated due diligence processes (committee confirmed this placement throughout the document).</w:t>
      </w:r>
    </w:p>
    <w:p>
      <w:pPr>
        <w:spacing w:after="120" w:line="276"/>
      </w:pPr>
      <w:r>
        <w:rPr>
          <w:rFonts w:ascii="Arial" w:cs="Arial" w:eastAsia="Arial" w:hAnsi="Arial"/>
          <w:sz w:val="22"/>
          <w:szCs w:val="22"/>
        </w:rPr>
        <w:t xml:space="preserve">ParkGuard AI is grounded in 19 references across five research pillars, published 2023–2025. All Q1 and Q2 references are from Scimago/Scopus-ranked venues.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200"/>
        <w:gridCol w:w="1400"/>
        <w:gridCol w:w="1200"/>
        <w:gridCol w:w="2360"/>
      </w:tblGrid>
      <w:tr>
        <w:tc>
          <w:tcPr>
            <w:tcW w:type="dxa" w:w="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Ref</w:t>
            </w:r>
          </w:p>
        </w:tc>
        <w:tc>
          <w:tcPr>
            <w:tcW w:type="dxa" w:w="2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Authors / Title</w:t>
            </w:r>
          </w:p>
        </w:tc>
        <w:tc>
          <w:tcPr>
            <w:tcW w:type="dxa" w:w="1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Year</w:t>
            </w:r>
          </w:p>
        </w:tc>
        <w:tc>
          <w:tcPr>
            <w:tcW w:type="dxa" w:w="1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Venue</w:t>
            </w:r>
          </w:p>
        </w:tc>
        <w:tc>
          <w:tcPr>
            <w:tcW w:type="dxa" w:w="1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Rank</w:t>
            </w:r>
          </w:p>
        </w:tc>
        <w:tc>
          <w:tcPr>
            <w:tcW w:type="dxa" w:w="23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Relevance</w:t>
            </w:r>
          </w:p>
        </w:tc>
      </w:tr>
      <w:tr>
        <w:tc>
          <w:tcPr>
            <w:tcW w:type="dxa" w:w="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[1]</w:t>
            </w:r>
          </w:p>
        </w:tc>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Zanella et al. — LLM/VLM VAD Survey</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2024</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IEEE TPAMI</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Q1</w:t>
            </w:r>
          </w:p>
        </w:tc>
        <w:tc>
          <w:tcPr>
            <w:tcW w:type="dxa" w:w="2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Agent 1 design — zero-shot detection</w:t>
            </w:r>
          </w:p>
        </w:tc>
      </w:tr>
      <w:tr>
        <w:tc>
          <w:tcPr>
            <w:tcW w:type="dxa" w:w="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[2]</w:t>
            </w:r>
          </w:p>
        </w:tc>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Yao et al. — VLMs on Real CCTV (conservative bias)</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2025</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IEEE conf.</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Q1</w:t>
            </w:r>
          </w:p>
        </w:tc>
        <w:tc>
          <w:tcPr>
            <w:tcW w:type="dxa" w:w="2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Detection calibration — Gap G-6 justification</w:t>
            </w:r>
          </w:p>
        </w:tc>
      </w:tr>
      <w:tr>
        <w:tc>
          <w:tcPr>
            <w:tcW w:type="dxa" w:w="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[3]</w:t>
            </w:r>
          </w:p>
        </w:tc>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Bao et al. — VAD Systems Survey (ACM Computing Surveys)</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2024</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ACM Comp. Surveys</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Q1</w:t>
            </w:r>
          </w:p>
        </w:tc>
        <w:tc>
          <w:tcPr>
            <w:tcW w:type="dxa" w:w="2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System architecture — best single reference</w:t>
            </w:r>
          </w:p>
        </w:tc>
      </w:tr>
      <w:tr>
        <w:tc>
          <w:tcPr>
            <w:tcW w:type="dxa" w:w="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[4]</w:t>
            </w:r>
          </w:p>
        </w:tc>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Chen et al. — AI Techniques in Surveillance VAD Survey</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2023</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Applied Sciences</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Q2</w:t>
            </w:r>
          </w:p>
        </w:tc>
        <w:tc>
          <w:tcPr>
            <w:tcW w:type="dxa" w:w="2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Detection baseline — classical vs DL methods</w:t>
            </w:r>
          </w:p>
        </w:tc>
      </w:tr>
      <w:tr>
        <w:tc>
          <w:tcPr>
            <w:tcW w:type="dxa" w:w="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[5]</w:t>
            </w:r>
          </w:p>
        </w:tc>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Li et al. — Enhancing VTG with LLM Data Augmentation</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2025</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J. Supercomputing</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Q1</w:t>
            </w:r>
          </w:p>
        </w:tc>
        <w:tc>
          <w:tcPr>
            <w:tcW w:type="dxa" w:w="2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DVR segment search design</w:t>
            </w:r>
          </w:p>
        </w:tc>
      </w:tr>
      <w:tr>
        <w:tc>
          <w:tcPr>
            <w:tcW w:type="dxa" w:w="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[6]</w:t>
            </w:r>
          </w:p>
        </w:tc>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Zhang et al. — No-frills Temporal Video Grounding</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2023</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ICCV</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Q1</w:t>
            </w:r>
          </w:p>
        </w:tc>
        <w:tc>
          <w:tcPr>
            <w:tcW w:type="dxa" w:w="2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Lightweight TVG for DVR footage</w:t>
            </w:r>
          </w:p>
        </w:tc>
      </w:tr>
      <w:tr>
        <w:tc>
          <w:tcPr>
            <w:tcW w:type="dxa" w:w="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[7]</w:t>
            </w:r>
          </w:p>
        </w:tc>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Zheng et al. — Training-free Video Temporal Grounding</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2024</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CVPR track</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Q1</w:t>
            </w:r>
          </w:p>
        </w:tc>
        <w:tc>
          <w:tcPr>
            <w:tcW w:type="dxa" w:w="2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Zero-shot VTG — no pre-annotation needed</w:t>
            </w:r>
          </w:p>
        </w:tc>
      </w:tr>
      <w:tr>
        <w:tc>
          <w:tcPr>
            <w:tcW w:type="dxa" w:w="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[8]</w:t>
            </w:r>
          </w:p>
        </w:tc>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Zhang et al. — OmAgent: Multi-modal CCTV Agent Framework</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2024</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NeurIPS workshop</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Q1</w:t>
            </w:r>
          </w:p>
        </w:tc>
        <w:tc>
          <w:tcPr>
            <w:tcW w:type="dxa" w:w="2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Agent 1 architecture — CCTV agent loop</w:t>
            </w:r>
          </w:p>
        </w:tc>
      </w:tr>
      <w:tr>
        <w:tc>
          <w:tcPr>
            <w:tcW w:type="dxa" w:w="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[9]</w:t>
            </w:r>
          </w:p>
        </w:tc>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Huang et al. — VideoAgent2: Uncertainty-aware CoT</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2025</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ICLR/CVPR track</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Q1</w:t>
            </w:r>
          </w:p>
        </w:tc>
        <w:tc>
          <w:tcPr>
            <w:tcW w:type="dxa" w:w="2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Multi-turn clarification loop for Agent 1</w:t>
            </w:r>
          </w:p>
        </w:tc>
      </w:tr>
      <w:tr>
        <w:tc>
          <w:tcPr>
            <w:tcW w:type="dxa" w:w="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[10]</w:t>
            </w:r>
          </w:p>
        </w:tc>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Yue et al. — Progressive Video Condensation with MLLM</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2025</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IEEE TCSVT</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Q1</w:t>
            </w:r>
          </w:p>
        </w:tc>
        <w:tc>
          <w:tcPr>
            <w:tcW w:type="dxa" w:w="2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Scalability for long DVR recordings</w:t>
            </w:r>
          </w:p>
        </w:tc>
      </w:tr>
      <w:tr>
        <w:tc>
          <w:tcPr>
            <w:tcW w:type="dxa" w:w="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[11]</w:t>
            </w:r>
          </w:p>
        </w:tc>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Kim et al. — SPOT! Multi-CCTV Dynamic Object Tracking</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2025</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CVPR track</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Q1</w:t>
            </w:r>
          </w:p>
        </w:tc>
        <w:tc>
          <w:tcPr>
            <w:tcW w:type="dxa" w:w="2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Multi-camera future phase design</w:t>
            </w:r>
          </w:p>
        </w:tc>
      </w:tr>
      <w:tr>
        <w:tc>
          <w:tcPr>
            <w:tcW w:type="dxa" w:w="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[12]</w:t>
            </w:r>
          </w:p>
        </w:tc>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Chirumamilla — Multi-Agent AI for Real-Time Business Insights</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2025</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JRTCSE</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Q2</w:t>
            </w:r>
          </w:p>
        </w:tc>
        <w:tc>
          <w:tcPr>
            <w:tcW w:type="dxa" w:w="2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Agent 2 validation — 58% precision improvement</w:t>
            </w:r>
          </w:p>
        </w:tc>
      </w:tr>
      <w:tr>
        <w:tc>
          <w:tcPr>
            <w:tcW w:type="dxa" w:w="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[13]</w:t>
            </w:r>
          </w:p>
        </w:tc>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USPTO Patent US12367677B2 — Detect→Notify Architecture</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2024</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US Patent</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Technical</w:t>
            </w:r>
          </w:p>
        </w:tc>
        <w:tc>
          <w:tcPr>
            <w:tcW w:type="dxa" w:w="2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Agent 1/Agent 2 two-model architecture basis</w:t>
            </w:r>
          </w:p>
        </w:tc>
      </w:tr>
      <w:tr>
        <w:tc>
          <w:tcPr>
            <w:tcW w:type="dxa" w:w="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[14]</w:t>
            </w:r>
          </w:p>
        </w:tc>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UNC Charlotte — Real-Time Multi-agent VLM + Email/SMS Alert</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2025</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IEEE conf.</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Q1</w:t>
            </w:r>
          </w:p>
        </w:tc>
        <w:tc>
          <w:tcPr>
            <w:tcW w:type="dxa" w:w="2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Closest complete published system to full pipeline</w:t>
            </w:r>
          </w:p>
        </w:tc>
      </w:tr>
      <w:tr>
        <w:tc>
          <w:tcPr>
            <w:tcW w:type="dxa" w:w="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[15]</w:t>
            </w:r>
          </w:p>
        </w:tc>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Redmon et al. — YOLO Object Detection</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2016+</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CVPR</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Q1</w:t>
            </w:r>
          </w:p>
        </w:tc>
        <w:tc>
          <w:tcPr>
            <w:tcW w:type="dxa" w:w="2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Detection background — comparison with MediaPipe</w:t>
            </w:r>
          </w:p>
        </w:tc>
      </w:tr>
      <w:tr>
        <w:tc>
          <w:tcPr>
            <w:tcW w:type="dxa" w:w="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[16]</w:t>
            </w:r>
          </w:p>
        </w:tc>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Google LLC — MediaPipe Object Detection (EfficientDet-Lite)</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2023+</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Google Dev Docs</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Technical</w:t>
            </w:r>
          </w:p>
        </w:tc>
        <w:tc>
          <w:tcPr>
            <w:tcW w:type="dxa" w:w="2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Primary vehicle detection framework</w:t>
            </w:r>
          </w:p>
        </w:tc>
      </w:tr>
      <w:tr>
        <w:tc>
          <w:tcPr>
            <w:tcW w:type="dxa" w:w="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[17]</w:t>
            </w:r>
          </w:p>
        </w:tc>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Google LLC — Gmail API</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2023+</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Google Dev Docs</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Technical</w:t>
            </w:r>
          </w:p>
        </w:tc>
        <w:tc>
          <w:tcPr>
            <w:tcW w:type="dxa" w:w="2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Agent 2 email notification</w:t>
            </w:r>
          </w:p>
        </w:tc>
      </w:tr>
      <w:tr>
        <w:tc>
          <w:tcPr>
            <w:tcW w:type="dxa" w:w="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[18]</w:t>
            </w:r>
          </w:p>
        </w:tc>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Meta AI / Ollama — Llama 3.2 Multilingual Models</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2024+</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Meta AI / Ollama</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Technical</w:t>
            </w:r>
          </w:p>
        </w:tc>
        <w:tc>
          <w:tcPr>
            <w:tcW w:type="dxa" w:w="2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Agent 1 local LLM — zone selection, Hebrew</w:t>
            </w:r>
          </w:p>
        </w:tc>
      </w:tr>
      <w:tr>
        <w:tc>
          <w:tcPr>
            <w:tcW w:type="dxa" w:w="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[19]</w:t>
            </w:r>
          </w:p>
        </w:tc>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Telegram — Bot API</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2023+</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Telegram Dev Docs</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Technical</w:t>
            </w:r>
          </w:p>
        </w:tc>
        <w:tc>
          <w:tcPr>
            <w:tcW w:type="dxa" w:w="23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Agent 2 Telegram notification channel</w:t>
            </w:r>
          </w:p>
        </w:tc>
      </w:tr>
    </w:tbl>
    <w:p>
      <w:r>
        <w:br w:type="page"/>
      </w:r>
    </w:p>
    <w:p>
      <w:pPr>
        <w:pStyle w:val="Heading1"/>
        <w:spacing w:after="80" w:before="240"/>
      </w:pPr>
      <w:r>
        <w:rPr>
          <w:rFonts w:ascii="Arial" w:cs="Arial" w:eastAsia="Arial" w:hAnsi="Arial"/>
          <w:b/>
          <w:bCs/>
          <w:color w:val="1F4E79"/>
          <w:sz w:val="34"/>
          <w:szCs w:val="34"/>
        </w:rPr>
        <w:t xml:space="preserve">Appendix A  Token Cost Workbook</w:t>
      </w:r>
    </w:p>
    <w:p>
      <w:pPr>
        <w:pBdr>
          <w:bottom w:val="single" w:color="2E75B6" w:sz="8" w:space="1"/>
        </w:pBdr>
        <w:spacing w:after="160"/>
      </w:pPr>
    </w:p>
    <w:p>
      <w:pPr>
        <w:spacing w:after="120" w:line="276"/>
      </w:pPr>
      <w:r>
        <w:rPr>
          <w:rFonts w:ascii="Arial" w:cs="Arial" w:eastAsia="Arial" w:hAnsi="Arial"/>
          <w:sz w:val="22"/>
          <w:szCs w:val="22"/>
        </w:rPr>
        <w:t xml:space="preserve">Claude Sonnet 4.6 used as comparison (verify at anthropic.com/pricing at submission). Llama 3.2 3B row confirms $0.00 cost holds at larger model sizes.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60"/>
        <w:gridCol w:w="1160"/>
        <w:gridCol w:w="1200"/>
        <w:gridCol w:w="1200"/>
        <w:gridCol w:w="1200"/>
        <w:gridCol w:w="1240"/>
      </w:tblGrid>
      <w:tr>
        <w:tc>
          <w:tcPr>
            <w:tcW w:type="dxa" w:w="2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LLM</w:t>
            </w:r>
          </w:p>
        </w:tc>
        <w:tc>
          <w:tcPr>
            <w:tcW w:type="dxa" w:w="11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In $/1K</w:t>
            </w:r>
          </w:p>
        </w:tc>
        <w:tc>
          <w:tcPr>
            <w:tcW w:type="dxa" w:w="11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Out $/1K</w:t>
            </w:r>
          </w:p>
        </w:tc>
        <w:tc>
          <w:tcPr>
            <w:tcW w:type="dxa" w:w="1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100/d/mo</w:t>
            </w:r>
          </w:p>
        </w:tc>
        <w:tc>
          <w:tcPr>
            <w:tcW w:type="dxa" w:w="1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500/d/mo</w:t>
            </w:r>
          </w:p>
        </w:tc>
        <w:tc>
          <w:tcPr>
            <w:tcW w:type="dxa" w:w="1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1K/d/mo</w:t>
            </w:r>
          </w:p>
        </w:tc>
        <w:tc>
          <w:tcPr>
            <w:tcW w:type="dxa" w:w="124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Annual(500/d)</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GPT-4o</w:t>
            </w:r>
          </w:p>
        </w:tc>
        <w:tc>
          <w:tcPr>
            <w:tcW w:type="dxa" w:w="11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$0.0025</w:t>
            </w:r>
          </w:p>
        </w:tc>
        <w:tc>
          <w:tcPr>
            <w:tcW w:type="dxa" w:w="11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$0.0100</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$6.60</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$33.00</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$66.00</w:t>
            </w:r>
          </w:p>
        </w:tc>
        <w:tc>
          <w:tcPr>
            <w:tcW w:type="dxa" w:w="124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$396</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Claude Sonnet 4.6 (verify at submission)*</w:t>
            </w:r>
          </w:p>
        </w:tc>
        <w:tc>
          <w:tcPr>
            <w:tcW w:type="dxa" w:w="1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$0.0030*</w:t>
            </w:r>
          </w:p>
        </w:tc>
        <w:tc>
          <w:tcPr>
            <w:tcW w:type="dxa" w:w="1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$0.0150*</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$15.30*</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$76.50*</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$153.00*</w:t>
            </w:r>
          </w:p>
        </w:tc>
        <w:tc>
          <w:tcPr>
            <w:tcW w:type="dxa" w:w="124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$918*</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Gemini 1.5 Flash</w:t>
            </w:r>
          </w:p>
        </w:tc>
        <w:tc>
          <w:tcPr>
            <w:tcW w:type="dxa" w:w="11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$0.00015</w:t>
            </w:r>
          </w:p>
        </w:tc>
        <w:tc>
          <w:tcPr>
            <w:tcW w:type="dxa" w:w="11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$0.00060</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$1.50</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$7.50</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$15.00</w:t>
            </w:r>
          </w:p>
        </w:tc>
        <w:tc>
          <w:tcPr>
            <w:tcW w:type="dxa" w:w="124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$90</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Llama 3.2 3B via Ollama (NEW — larger model option)</w:t>
            </w:r>
          </w:p>
        </w:tc>
        <w:tc>
          <w:tcPr>
            <w:tcW w:type="dxa" w:w="1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$0.00</w:t>
            </w:r>
          </w:p>
        </w:tc>
        <w:tc>
          <w:tcPr>
            <w:tcW w:type="dxa" w:w="1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$0.00</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$0.00</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$0.00</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$0.00</w:t>
            </w:r>
          </w:p>
        </w:tc>
        <w:tc>
          <w:tcPr>
            <w:tcW w:type="dxa" w:w="124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Llama 3.2 1B via Ollama (SELECTED)</w:t>
            </w:r>
          </w:p>
        </w:tc>
        <w:tc>
          <w:tcPr>
            <w:tcW w:type="dxa" w:w="11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$0.00</w:t>
            </w:r>
          </w:p>
        </w:tc>
        <w:tc>
          <w:tcPr>
            <w:tcW w:type="dxa" w:w="11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$0.00</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$0.00</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$0.00</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$0.00</w:t>
            </w:r>
          </w:p>
        </w:tc>
        <w:tc>
          <w:tcPr>
            <w:tcW w:type="dxa" w:w="124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$0</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Hardware amortisation + electricity</w:t>
            </w:r>
          </w:p>
        </w:tc>
        <w:tc>
          <w:tcPr>
            <w:tcW w:type="dxa" w:w="1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N/A</w:t>
            </w:r>
          </w:p>
        </w:tc>
        <w:tc>
          <w:tcPr>
            <w:tcW w:type="dxa" w:w="1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N/A</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$7.50</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$8.50</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$9.50</w:t>
            </w:r>
          </w:p>
        </w:tc>
        <w:tc>
          <w:tcPr>
            <w:tcW w:type="dxa" w:w="124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$102</w:t>
            </w:r>
          </w:p>
        </w:tc>
      </w:tr>
      <w:tr>
        <w:tc>
          <w:tcPr>
            <w:tcW w:type="dxa" w:w="220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ParkGuard AI TOTAL (either local model)</w:t>
            </w:r>
          </w:p>
        </w:tc>
        <w:tc>
          <w:tcPr>
            <w:tcW w:type="dxa" w:w="116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w:t>
            </w:r>
          </w:p>
        </w:tc>
        <w:tc>
          <w:tcPr>
            <w:tcW w:type="dxa" w:w="116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w:t>
            </w:r>
          </w:p>
        </w:tc>
        <w:tc>
          <w:tcPr>
            <w:tcW w:type="dxa" w:w="120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$7.50</w:t>
            </w:r>
          </w:p>
        </w:tc>
        <w:tc>
          <w:tcPr>
            <w:tcW w:type="dxa" w:w="120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$8.50</w:t>
            </w:r>
          </w:p>
        </w:tc>
        <w:tc>
          <w:tcPr>
            <w:tcW w:type="dxa" w:w="120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$9.50</w:t>
            </w:r>
          </w:p>
        </w:tc>
        <w:tc>
          <w:tcPr>
            <w:tcW w:type="dxa" w:w="124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$102</w:t>
            </w:r>
          </w:p>
        </w:tc>
      </w:tr>
    </w:tbl>
    <w:p>
      <w:pPr>
        <w:spacing w:after="100"/>
      </w:pPr>
    </w:p>
    <w:p>
      <w:pPr>
        <w:spacing w:after="120" w:line="276"/>
      </w:pPr>
      <w:r>
        <w:rPr>
          <w:rFonts w:ascii="Arial" w:cs="Arial" w:eastAsia="Arial" w:hAnsi="Arial"/>
          <w:sz w:val="22"/>
          <w:szCs w:val="22"/>
        </w:rPr>
        <w:t xml:space="preserve">* Verify Claude Sonnet 4.6 pricing at anthropic.com/pricing at time of final submission.</w:t>
      </w:r>
    </w:p>
    <w:p>
      <w:pPr>
        <w:spacing w:after="200"/>
      </w:pPr>
    </w:p>
    <w:p>
      <w:pPr>
        <w:pStyle w:val="Heading1"/>
        <w:spacing w:after="80" w:before="240"/>
      </w:pPr>
      <w:r>
        <w:rPr>
          <w:rFonts w:ascii="Arial" w:cs="Arial" w:eastAsia="Arial" w:hAnsi="Arial"/>
          <w:b/>
          <w:bCs/>
          <w:color w:val="1F4E79"/>
          <w:sz w:val="34"/>
          <w:szCs w:val="34"/>
        </w:rPr>
        <w:t xml:space="preserve">Appendix B  Primary Research Plan — TO BE COMPLETED</w:t>
      </w:r>
    </w:p>
    <w:p>
      <w:pPr>
        <w:pBdr>
          <w:bottom w:val="single" w:color="2E75B6" w:sz="8" w:space="1"/>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BFBF" w:sz="4"/>
              <w:left w:val="single" w:color="BFBFBF" w:sz="4"/>
              <w:bottom w:val="single" w:color="BFBFBF" w:sz="4"/>
              <w:right w:val="single" w:color="BFBFBF" w:sz="4"/>
            </w:tcBorders>
            <w:shd w:fill="FFF2CC" w:val="clear"/>
            <w:tcMar>
              <w:top w:type="dxa" w:w="120"/>
              <w:left w:type="dxa" w:w="160"/>
              <w:bottom w:type="dxa" w:w="120"/>
              <w:right w:type="dxa" w:w="160"/>
            </w:tcMar>
          </w:tcPr>
          <w:p>
            <w:pPr>
              <w:spacing w:after="0"/>
            </w:pPr>
            <w:r>
              <w:rPr>
                <w:rFonts w:ascii="Arial" w:cs="Arial" w:eastAsia="Arial" w:hAnsi="Arial"/>
                <w:b/>
                <w:bCs/>
                <w:color w:val="C55A11"/>
                <w:sz w:val="22"/>
                <w:szCs w:val="22"/>
              </w:rPr>
              <w:t xml:space="preserve">Status:  </w:t>
            </w:r>
            <w:r>
              <w:rPr>
                <w:rFonts w:ascii="Arial" w:cs="Arial" w:eastAsia="Arial" w:hAnsi="Arial"/>
                <w:sz w:val="22"/>
                <w:szCs w:val="22"/>
              </w:rPr>
              <w:t xml:space="preserve">Research plan, not completed research. Must be completed before external submission. INPA/Israel Smart Cities Institute added per committee observation.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160"/>
        <w:gridCol w:w="4000"/>
      </w:tblGrid>
      <w:tr>
        <w:tc>
          <w:tcPr>
            <w:tcW w:type="dxa" w:w="2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Research Activity</w:t>
            </w:r>
          </w:p>
        </w:tc>
        <w:tc>
          <w:tcPr>
            <w:tcW w:type="dxa" w:w="1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Target Respondents</w:t>
            </w:r>
          </w:p>
        </w:tc>
        <w:tc>
          <w:tcPr>
            <w:tcW w:type="dxa" w:w="11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Min. n</w:t>
            </w:r>
          </w:p>
        </w:tc>
        <w:tc>
          <w:tcPr>
            <w:tcW w:type="dxa" w:w="4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Key Questions / Outputs</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Parking problem survey [confirms P-6 Telegram estimate — M-1]</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Property managers, building managers, security officers</w:t>
            </w:r>
          </w:p>
        </w:tc>
        <w:tc>
          <w:tcPr>
            <w:tcW w:type="dxa" w:w="11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n≥30</w:t>
            </w:r>
          </w:p>
        </w:tc>
        <w:tc>
          <w:tcPr>
            <w:tcW w:type="dxa" w:w="4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Telegram vs email preference. Required to verify preliminary P-6 claim.</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Willingness-to-pay survey</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Property managers + IT managers</w:t>
            </w:r>
          </w:p>
        </w:tc>
        <w:tc>
          <w:tcPr>
            <w:tcW w:type="dxa" w:w="1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n≥20</w:t>
            </w:r>
          </w:p>
        </w:tc>
        <w:tc>
          <w:tcPr>
            <w:tcW w:type="dxa" w:w="4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Max budget; $0 recurring cost impact; Hebrew interface importance; self-hosting preference.</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DVR installation survey [confirms 25,000 DVR estimate — S-2]</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IT managers at Provision ISR facilities + distributors</w:t>
            </w:r>
          </w:p>
        </w:tc>
        <w:tc>
          <w:tcPr>
            <w:tcW w:type="dxa" w:w="11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n≥15</w:t>
            </w:r>
          </w:p>
        </w:tc>
        <w:tc>
          <w:tcPr>
            <w:tcW w:type="dxa" w:w="4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Units installed; channel count; recorded footage retention; parking issues.</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Competitor usability test [supports I-3]</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Non-technical building managers</w:t>
            </w:r>
          </w:p>
        </w:tc>
        <w:tc>
          <w:tcPr>
            <w:tcW w:type="dxa" w:w="1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n=5/tool</w:t>
            </w:r>
          </w:p>
        </w:tc>
        <w:tc>
          <w:tcPr>
            <w:tcW w:type="dxa" w:w="4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GUI zone setup vs ParkGuard AI LLM dialogue: time, errors, satisfaction (NPS).</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Expert interviews</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Parking enforcement professionals, smart city consultants</w:t>
            </w:r>
          </w:p>
        </w:tc>
        <w:tc>
          <w:tcPr>
            <w:tcW w:type="dxa" w:w="11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n≥5</w:t>
            </w:r>
          </w:p>
        </w:tc>
        <w:tc>
          <w:tcPr>
            <w:tcW w:type="dxa" w:w="4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 unmet need in parking enforcement AI; switching criteria.</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SAM independent validation [INPA/Israel Smart Cities Institute — NEW]</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INPA, Israel Smart Cities Institute, local research firm</w:t>
            </w:r>
          </w:p>
        </w:tc>
        <w:tc>
          <w:tcPr>
            <w:tcW w:type="dxa" w:w="1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1 report</w:t>
            </w:r>
          </w:p>
        </w:tc>
        <w:tc>
          <w:tcPr>
            <w:tcW w:type="dxa" w:w="4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Localised Israeli market data for camera-based AI parking software. Replaces derived SAM assumptions.</w:t>
            </w:r>
          </w:p>
        </w:tc>
      </w:tr>
    </w:tbl>
    <w:p>
      <w:pPr>
        <w:spacing w:after="200"/>
      </w:pPr>
    </w:p>
    <w:p>
      <w:pPr>
        <w:pStyle w:val="Heading1"/>
        <w:spacing w:after="80" w:before="240"/>
      </w:pPr>
      <w:r>
        <w:rPr>
          <w:rFonts w:ascii="Arial" w:cs="Arial" w:eastAsia="Arial" w:hAnsi="Arial"/>
          <w:b/>
          <w:bCs/>
          <w:color w:val="1F4E79"/>
          <w:sz w:val="34"/>
          <w:szCs w:val="34"/>
        </w:rPr>
        <w:t xml:space="preserve">Appendix C  Competitor Pricing Evidence — TO BE COMPLETED</w:t>
      </w:r>
    </w:p>
    <w:p>
      <w:pPr>
        <w:pBdr>
          <w:bottom w:val="single" w:color="2E75B6" w:sz="8" w:space="1"/>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BFBF" w:sz="4"/>
              <w:left w:val="single" w:color="BFBFBF" w:sz="4"/>
              <w:bottom w:val="single" w:color="BFBFBF" w:sz="4"/>
              <w:right w:val="single" w:color="BFBFBF" w:sz="4"/>
            </w:tcBorders>
            <w:shd w:fill="FFF2CC" w:val="clear"/>
            <w:tcMar>
              <w:top w:type="dxa" w:w="120"/>
              <w:left w:type="dxa" w:w="160"/>
              <w:bottom w:type="dxa" w:w="120"/>
              <w:right w:type="dxa" w:w="160"/>
            </w:tcMar>
          </w:tcPr>
          <w:p>
            <w:pPr>
              <w:spacing w:after="0"/>
            </w:pPr>
            <w:r>
              <w:rPr>
                <w:rFonts w:ascii="Arial" w:cs="Arial" w:eastAsia="Arial" w:hAnsi="Arial"/>
                <w:b/>
                <w:bCs/>
                <w:color w:val="C55A11"/>
                <w:sz w:val="22"/>
                <w:szCs w:val="22"/>
              </w:rPr>
              <w:t xml:space="preserve">Status:  </w:t>
            </w:r>
            <w:r>
              <w:rPr>
                <w:rFonts w:ascii="Arial" w:cs="Arial" w:eastAsia="Arial" w:hAnsi="Arial"/>
                <w:sz w:val="22"/>
                <w:szCs w:val="22"/>
              </w:rPr>
              <w:t xml:space="preserve">All pricing in Ch.5 and Ch.6 is estimated. Required before investor presentations.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560"/>
        <w:gridCol w:w="1600"/>
      </w:tblGrid>
      <w:tr>
        <w:tc>
          <w:tcPr>
            <w:tcW w:type="dxa" w:w="1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Competitor</w:t>
            </w:r>
          </w:p>
        </w:tc>
        <w:tc>
          <w:tcPr>
            <w:tcW w:type="dxa" w:w="2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Source URL</w:t>
            </w:r>
          </w:p>
        </w:tc>
        <w:tc>
          <w:tcPr>
            <w:tcW w:type="dxa" w:w="2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Pricing Data Required</w:t>
            </w:r>
          </w:p>
        </w:tc>
        <w:tc>
          <w:tcPr>
            <w:tcW w:type="dxa" w:w="15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Evidence Type</w:t>
            </w:r>
          </w:p>
        </w:tc>
        <w:tc>
          <w:tcPr>
            <w:tcW w:type="dxa" w:w="16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Status</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Parquery</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parquery.com/pricing</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Per-camera monthly rate; 5-camera site annual cost</w:t>
            </w:r>
          </w:p>
        </w:tc>
        <w:tc>
          <w:tcPr>
            <w:tcW w:type="dxa" w:w="15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Screenshot + date stamp</w:t>
            </w:r>
          </w:p>
        </w:tc>
        <w:tc>
          <w:tcPr>
            <w:tcW w:type="dxa" w:w="1600"/>
            <w:tcBorders>
              <w:top w:val="single" w:color="BFBFBF" w:sz="4"/>
              <w:left w:val="single" w:color="BFBFBF" w:sz="4"/>
              <w:bottom w:val="single" w:color="BFBFBF" w:sz="4"/>
              <w:right w:val="single" w:color="BFBFBF" w:sz="4"/>
            </w:tcBorders>
            <w:shd w:fill="FFF2CC"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TO DO</w:t>
            </w:r>
          </w:p>
        </w:tc>
      </w:tr>
      <w:tr>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Parkinto</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parkinto.com/pricing</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Per-camera rate; certification details; contract terms</w:t>
            </w:r>
          </w:p>
        </w:tc>
        <w:tc>
          <w:tcPr>
            <w:tcW w:type="dxa" w:w="1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Screenshot + PDF</w:t>
            </w:r>
          </w:p>
        </w:tc>
        <w:tc>
          <w:tcPr>
            <w:tcW w:type="dxa" w:w="1600"/>
            <w:tcBorders>
              <w:top w:val="single" w:color="BFBFBF" w:sz="4"/>
              <w:left w:val="single" w:color="BFBFBF" w:sz="4"/>
              <w:bottom w:val="single" w:color="BFBFBF" w:sz="4"/>
              <w:right w:val="single" w:color="BFBFBF" w:sz="4"/>
            </w:tcBorders>
            <w:shd w:fill="FFF2CC"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TO DO</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SenSen AI</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sensen.ai — request quote</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Minimum deployment size; per-site pricing</w:t>
            </w:r>
          </w:p>
        </w:tc>
        <w:tc>
          <w:tcPr>
            <w:tcW w:type="dxa" w:w="15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Email quote (anonymised)</w:t>
            </w:r>
          </w:p>
        </w:tc>
        <w:tc>
          <w:tcPr>
            <w:tcW w:type="dxa" w:w="1600"/>
            <w:tcBorders>
              <w:top w:val="single" w:color="BFBFBF" w:sz="4"/>
              <w:left w:val="single" w:color="BFBFBF" w:sz="4"/>
              <w:bottom w:val="single" w:color="BFBFBF" w:sz="4"/>
              <w:right w:val="single" w:color="BFBFBF" w:sz="4"/>
            </w:tcBorders>
            <w:shd w:fill="FFF2CC"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TO DO</w:t>
            </w:r>
          </w:p>
        </w:tc>
      </w:tr>
      <w:tr>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Cleverciti</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cleverciti.com — request quote</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Hardware sensor cost; enterprise contract value</w:t>
            </w:r>
          </w:p>
        </w:tc>
        <w:tc>
          <w:tcPr>
            <w:tcW w:type="dxa" w:w="1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Email quote + product sheet</w:t>
            </w:r>
          </w:p>
        </w:tc>
        <w:tc>
          <w:tcPr>
            <w:tcW w:type="dxa" w:w="1600"/>
            <w:tcBorders>
              <w:top w:val="single" w:color="BFBFBF" w:sz="4"/>
              <w:left w:val="single" w:color="BFBFBF" w:sz="4"/>
              <w:bottom w:val="single" w:color="BFBFBF" w:sz="4"/>
              <w:right w:val="single" w:color="BFBFBF" w:sz="4"/>
            </w:tcBorders>
            <w:shd w:fill="FFF2CC"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TO DO</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Hikvision Parking AI</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hikvision.com — parking analytics</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Bundle pricing; per-channel AI analytics cost; Israel distributor price</w:t>
            </w:r>
          </w:p>
        </w:tc>
        <w:tc>
          <w:tcPr>
            <w:tcW w:type="dxa" w:w="15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Product page + distributor list</w:t>
            </w:r>
          </w:p>
        </w:tc>
        <w:tc>
          <w:tcPr>
            <w:tcW w:type="dxa" w:w="1600"/>
            <w:tcBorders>
              <w:top w:val="single" w:color="BFBFBF" w:sz="4"/>
              <w:left w:val="single" w:color="BFBFBF" w:sz="4"/>
              <w:bottom w:val="single" w:color="BFBFBF" w:sz="4"/>
              <w:right w:val="single" w:color="BFBFBF" w:sz="4"/>
            </w:tcBorders>
            <w:shd w:fill="FFF2CC"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TO DO</w:t>
            </w:r>
          </w:p>
        </w:tc>
      </w:tr>
    </w:tbl>
    <w:p>
      <w:pPr>
        <w:spacing w:after="200"/>
      </w:pPr>
    </w:p>
    <w:p>
      <w:pPr>
        <w:pStyle w:val="Heading1"/>
        <w:spacing w:after="80" w:before="240"/>
      </w:pPr>
      <w:r>
        <w:rPr>
          <w:rFonts w:ascii="Arial" w:cs="Arial" w:eastAsia="Arial" w:hAnsi="Arial"/>
          <w:b/>
          <w:bCs/>
          <w:color w:val="1F4E79"/>
          <w:sz w:val="34"/>
          <w:szCs w:val="34"/>
        </w:rPr>
        <w:t xml:space="preserve">Appendix D  Patent Landscape Search Plan</w:t>
      </w:r>
    </w:p>
    <w:p>
      <w:pPr>
        <w:pBdr>
          <w:bottom w:val="single" w:color="2E75B6" w:sz="8" w:space="1"/>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BFBF" w:sz="4"/>
              <w:left w:val="single" w:color="BFBFBF" w:sz="4"/>
              <w:bottom w:val="single" w:color="BFBFBF" w:sz="4"/>
              <w:right w:val="single" w:color="BFBFBF" w:sz="4"/>
            </w:tcBorders>
            <w:shd w:fill="FFF2CC" w:val="clear"/>
            <w:tcMar>
              <w:top w:type="dxa" w:w="120"/>
              <w:left w:type="dxa" w:w="160"/>
              <w:bottom w:type="dxa" w:w="120"/>
              <w:right w:type="dxa" w:w="160"/>
            </w:tcMar>
          </w:tcPr>
          <w:p>
            <w:pPr>
              <w:spacing w:after="0"/>
            </w:pPr>
            <w:r>
              <w:rPr>
                <w:rFonts w:ascii="Arial" w:cs="Arial" w:eastAsia="Arial" w:hAnsi="Arial"/>
                <w:b/>
                <w:bCs/>
                <w:color w:val="C55A11"/>
                <w:sz w:val="22"/>
                <w:szCs w:val="22"/>
              </w:rPr>
              <w:t xml:space="preserve">Status:  </w:t>
            </w:r>
            <w:r>
              <w:rPr>
                <w:rFonts w:ascii="Arial" w:cs="Arial" w:eastAsia="Arial" w:hAnsi="Arial"/>
                <w:sz w:val="22"/>
                <w:szCs w:val="22"/>
              </w:rPr>
              <w:t xml:space="preserve">Search not yet completed. All 'first in class' claims caveated 'believed novel — search in progress'.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800"/>
        <w:gridCol w:w="2400"/>
        <w:gridCol w:w="1360"/>
      </w:tblGrid>
      <w:tr>
        <w:tc>
          <w:tcPr>
            <w:tcW w:type="dxa" w:w="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w:t>
            </w:r>
          </w:p>
        </w:tc>
        <w:tc>
          <w:tcPr>
            <w:tcW w:type="dxa" w:w="2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Claim Area</w:t>
            </w:r>
          </w:p>
        </w:tc>
        <w:tc>
          <w:tcPr>
            <w:tcW w:type="dxa" w:w="2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Search Terms (USPTO/EPO)</w:t>
            </w:r>
          </w:p>
        </w:tc>
        <w:tc>
          <w:tcPr>
            <w:tcW w:type="dxa" w:w="2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Closest Known Patent</w:t>
            </w:r>
          </w:p>
        </w:tc>
        <w:tc>
          <w:tcPr>
            <w:tcW w:type="dxa" w:w="13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Status</w:t>
            </w:r>
          </w:p>
        </w:tc>
      </w:tr>
      <w:tr>
        <w:tc>
          <w:tcPr>
            <w:tcW w:type="dxa" w:w="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1</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DVR recorded-segment retrieval + AI vehicle detection</w:t>
            </w:r>
          </w:p>
        </w:tc>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'DVR RTSP recorded segment vehicle detection' / 'parking occupancy DVR playback AI'</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US12367677B2 — not specifically about DVR recorded-segment retrieval. Believed distinct.</w:t>
            </w:r>
          </w:p>
        </w:tc>
        <w:tc>
          <w:tcPr>
            <w:tcW w:type="dxa" w:w="1360"/>
            <w:tcBorders>
              <w:top w:val="single" w:color="BFBFBF" w:sz="4"/>
              <w:left w:val="single" w:color="BFBFBF" w:sz="4"/>
              <w:bottom w:val="single" w:color="BFBFBF" w:sz="4"/>
              <w:right w:val="single" w:color="BFBFBF" w:sz="4"/>
            </w:tcBorders>
            <w:shd w:fill="FFF2CC"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SEARCH REQUIRED</w:t>
            </w:r>
          </w:p>
        </w:tc>
      </w:tr>
      <w:tr>
        <w:tc>
          <w:tcPr>
            <w:tcW w:type="dxa" w:w="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2</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Conversational LLM zone selection via natural language for camera-based detection</w:t>
            </w:r>
          </w:p>
        </w:tc>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'natural language zone definition camera parking' / 'LLM conversational interface surveillance zone'</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No known prior art identified in literature review. May be most novel claim.</w:t>
            </w:r>
          </w:p>
        </w:tc>
        <w:tc>
          <w:tcPr>
            <w:tcW w:type="dxa" w:w="1360"/>
            <w:tcBorders>
              <w:top w:val="single" w:color="BFBFBF" w:sz="4"/>
              <w:left w:val="single" w:color="BFBFBF" w:sz="4"/>
              <w:bottom w:val="single" w:color="BFBFBF" w:sz="4"/>
              <w:right w:val="single" w:color="BFBFBF" w:sz="4"/>
            </w:tcBorders>
            <w:shd w:fill="FFF2CC"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SEARCH REQUIRED</w:t>
            </w:r>
          </w:p>
        </w:tc>
      </w:tr>
      <w:tr>
        <w:tc>
          <w:tcPr>
            <w:tcW w:type="dxa" w:w="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3</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Dual-channel alert dispatch with dwell-time gating for parking</w:t>
            </w:r>
          </w:p>
        </w:tc>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'dual channel parking alert email Telegram' / 'dwell time gatekeeper parking alert'</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sz w:val="20"/>
                <w:szCs w:val="20"/>
              </w:rPr>
              <w:t xml:space="preserve">US12367677B2 covers detect→notify generically. Telegram-specific dual-channel may be novel.</w:t>
            </w:r>
          </w:p>
        </w:tc>
        <w:tc>
          <w:tcPr>
            <w:tcW w:type="dxa" w:w="1360"/>
            <w:tcBorders>
              <w:top w:val="single" w:color="BFBFBF" w:sz="4"/>
              <w:left w:val="single" w:color="BFBFBF" w:sz="4"/>
              <w:bottom w:val="single" w:color="BFBFBF" w:sz="4"/>
              <w:right w:val="single" w:color="BFBFBF" w:sz="4"/>
            </w:tcBorders>
            <w:shd w:fill="FFF2CC"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SEARCH REQUIRED</w:t>
            </w:r>
          </w:p>
        </w:tc>
      </w:tr>
    </w:tbl>
    <w:p>
      <w:pPr>
        <w:spacing w:after="120"/>
      </w:pPr>
    </w:p>
    <w:p>
      <w:pPr>
        <w:spacing w:after="120" w:line="276"/>
      </w:pPr>
      <w:r>
        <w:rPr>
          <w:rFonts w:ascii="Arial" w:cs="Arial" w:eastAsia="Arial" w:hAnsi="Arial"/>
          <w:sz w:val="22"/>
          <w:szCs w:val="22"/>
        </w:rPr>
        <w:t xml:space="preserve">Recommended next steps: (1) FTO search on all three claim areas — $3,000–$8,000. (2) File provisional patent on Claim Area 2 (conversational LLM zone selection) if FTO is clear — $1,500–$3,000. Budget included in Ch.14 legal/compliance.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595959"/>
        <w:sz w:val="18"/>
        <w:szCs w:val="18"/>
      </w:rPr>
      <w:t xml:space="preserve">CONFIDENTIAL — v3.0 — Addresses all Expert Committee issues through Second Review</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color w:val="595959"/>
        <w:sz w:val="18"/>
        <w:szCs w:val="18"/>
      </w:rPr>
      <w:t xml:space="preserve">ParkGuard AI  |  Business Plan v3.0 — Final</w:t>
    </w:r>
    <w:r>
      <w:rPr>
        <w:rFonts w:ascii="Arial" w:cs="Arial" w:eastAsia="Arial" w:hAnsi="Arial"/>
        <w:color w:val="595959"/>
        <w:sz w:val="18"/>
        <w:szCs w:val="18"/>
      </w:rPr>
      <w:t xml:space="preserve">		Yair Levi  |  Segal Yoram, PhD  |  May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Arial" w:cs="Arial" w:eastAsia="Arial" w:hAnsi="Arial"/>
      <w:b/>
      <w:bCs/>
      <w:color w:val="1F4E79"/>
      <w:sz w:val="34"/>
      <w:szCs w:val="34"/>
    </w:rPr>
  </w:style>
  <w:style w:type="paragraph" w:styleId="Heading2">
    <w:name w:val="Heading 2"/>
    <w:basedOn w:val="Normal"/>
    <w:next w:val="Normal"/>
    <w:qFormat/>
    <w:pPr>
      <w:spacing w:after="80" w:before="1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4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66fd31ca17af9e0cbe091754e51612edbc68179.png"/><Relationship Id="rId10" Type="http://schemas.openxmlformats.org/officeDocument/2006/relationships/image" Target="media/5b312f92ec8c55d9bdaa1b51af187f8e54bfd01b.png"/><Relationship Id="rId11" Type="http://schemas.openxmlformats.org/officeDocument/2006/relationships/image" Target="media/3198b52b2183eb22f1d1e6a85d8373ffdab6708d.png"/><Relationship Id="rId12" Type="http://schemas.openxmlformats.org/officeDocument/2006/relationships/image" Target="media/49816e478056e2dcce00d6f1d6476897149465db.png"/><Relationship Id="rId13" Type="http://schemas.openxmlformats.org/officeDocument/2006/relationships/image" Target="media/956e1bed65554c1120f633b1e054c426955375ca.png"/><Relationship Id="rId14" Type="http://schemas.openxmlformats.org/officeDocument/2006/relationships/image" Target="media/a2b48f1eb697a0c26be26e3c0af657929b5afa6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2026-05-26T04:29:16.042Z</dcterms:created>
  <dcterms:modified xsi:type="dcterms:W3CDTF">2026-05-26T04:29:16.054Z</dcterms:modified>
</cp:coreProperties>
</file>

<file path=docProps/custom.xml><?xml version="1.0" encoding="utf-8"?>
<Properties xmlns="http://schemas.openxmlformats.org/officeDocument/2006/custom-properties" xmlns:vt="http://schemas.openxmlformats.org/officeDocument/2006/docPropsVTypes"/>
</file>