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1CAE" w14:textId="0A336FA9" w:rsidR="009E2A2A" w:rsidRPr="0003778E" w:rsidRDefault="00000000" w:rsidP="0003778E">
      <w:pPr>
        <w:spacing w:after="60" w:line="360" w:lineRule="auto"/>
        <w:jc w:val="center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b/>
          <w:bCs/>
        </w:rPr>
        <w:t>SCRUM 202</w:t>
      </w:r>
      <w:r w:rsidR="00F879BD" w:rsidRPr="0003778E">
        <w:rPr>
          <w:rFonts w:ascii="Times New Roman" w:hAnsi="Times New Roman" w:cs="Times New Roman"/>
          <w:b/>
          <w:bCs/>
        </w:rPr>
        <w:t>0</w:t>
      </w:r>
    </w:p>
    <w:p w14:paraId="671B190C" w14:textId="77777777" w:rsidR="009E2A2A" w:rsidRPr="0003778E" w:rsidRDefault="00000000" w:rsidP="0003778E">
      <w:pPr>
        <w:spacing w:after="60" w:line="360" w:lineRule="auto"/>
        <w:jc w:val="center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b/>
          <w:bCs/>
          <w:sz w:val="28"/>
          <w:szCs w:val="28"/>
        </w:rPr>
        <w:t>ESTRUCTURA DE DESGLOSE DEL TRABAJO (EDT)</w:t>
      </w:r>
    </w:p>
    <w:p w14:paraId="42ABF0F7" w14:textId="41B703AC" w:rsidR="00F879BD" w:rsidRPr="0003778E" w:rsidRDefault="00F879BD" w:rsidP="0003778E">
      <w:pPr>
        <w:spacing w:after="300" w:line="360" w:lineRule="auto"/>
        <w:jc w:val="center"/>
        <w:rPr>
          <w:rFonts w:ascii="Times New Roman" w:hAnsi="Times New Roman" w:cs="Times New Roman"/>
          <w:b/>
          <w:bCs/>
          <w:color w:val="1F3864"/>
          <w:sz w:val="30"/>
          <w:szCs w:val="30"/>
        </w:rPr>
      </w:pPr>
      <w:r w:rsidRPr="0003778E">
        <w:rPr>
          <w:rFonts w:ascii="Times New Roman" w:hAnsi="Times New Roman" w:cs="Times New Roman"/>
          <w:b/>
          <w:bCs/>
          <w:color w:val="1F3864"/>
          <w:sz w:val="30"/>
          <w:szCs w:val="30"/>
        </w:rPr>
        <w:t>NEXO</w:t>
      </w:r>
    </w:p>
    <w:p w14:paraId="3D4CD115" w14:textId="3552996F" w:rsidR="009E2A2A" w:rsidRPr="0003778E" w:rsidRDefault="00000000" w:rsidP="0003778E">
      <w:pPr>
        <w:spacing w:after="300" w:line="360" w:lineRule="auto"/>
        <w:jc w:val="center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i/>
          <w:iCs/>
        </w:rPr>
        <w:t>Documento de trabajo del Scrum Team · Versión 1.</w:t>
      </w:r>
      <w:r w:rsidR="00F879BD" w:rsidRPr="0003778E">
        <w:rPr>
          <w:rFonts w:ascii="Times New Roman" w:hAnsi="Times New Roman" w:cs="Times New Roman"/>
          <w:i/>
          <w:iCs/>
        </w:rPr>
        <w:t>0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0"/>
      </w:tblGrid>
      <w:tr w:rsidR="009E2A2A" w:rsidRPr="0003778E" w14:paraId="0BADB2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DE0D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Proyecto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7FD50" w14:textId="0F9DAC10" w:rsidR="009E2A2A" w:rsidRPr="0003778E" w:rsidRDefault="00F879BD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03778E">
              <w:rPr>
                <w:rFonts w:ascii="Times New Roman" w:hAnsi="Times New Roman" w:cs="Times New Roman"/>
                <w:b/>
                <w:bCs/>
              </w:rPr>
              <w:t>NEXO</w:t>
            </w:r>
            <w:r w:rsidRPr="0003778E"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  <w:r w:rsidRPr="0003778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3778E">
              <w:rPr>
                <w:rFonts w:ascii="Times New Roman" w:hAnsi="Times New Roman" w:cs="Times New Roman"/>
                <w:b/>
                <w:bCs/>
              </w:rPr>
              <w:t>Comunidad estudiantil digital</w:t>
            </w:r>
          </w:p>
        </w:tc>
      </w:tr>
      <w:tr w:rsidR="009E2A2A" w:rsidRPr="0003778E" w14:paraId="6BBD7D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40A8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Tipo de documento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43E79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Estructura de desglose del trabajo (EDT / WBS)</w:t>
            </w:r>
          </w:p>
        </w:tc>
      </w:tr>
      <w:tr w:rsidR="009E2A2A" w:rsidRPr="0003778E" w14:paraId="50C058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8480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Fecha de inicio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FE852" w14:textId="2B1BE04F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01 septiembre 2026</w:t>
            </w:r>
          </w:p>
        </w:tc>
      </w:tr>
      <w:tr w:rsidR="009E2A2A" w:rsidRPr="0003778E" w14:paraId="4A7E1B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2115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Fecha objetivo de demostración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0EC81" w14:textId="54EC5473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15 septiembre 2026</w:t>
            </w:r>
          </w:p>
        </w:tc>
      </w:tr>
      <w:tr w:rsidR="009E2A2A" w:rsidRPr="0003778E" w14:paraId="53CCDE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8795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Versión del documento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3A13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1.0 · EDT inicial del proyecto</w:t>
            </w:r>
          </w:p>
        </w:tc>
      </w:tr>
      <w:tr w:rsidR="00480D76" w:rsidRPr="0003778E" w14:paraId="314A92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BEB1C" w14:textId="15E5FFDF" w:rsidR="00480D76" w:rsidRPr="0003778E" w:rsidRDefault="00480D76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Fuentes de información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73D60" w14:textId="113AFE9D" w:rsidR="00480D76" w:rsidRPr="0003778E" w:rsidRDefault="00480D76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Definición del alcance; Encuesta de necesidades académicas y de comunidad estudiantil.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Propósito del documento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La presente Estructura de Desglose del Trabajo (EDT) descompone, de forma jerárquica y orientada a entregables, el trabajo necesario para desarrollar y demostrar el MVP del proyecto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NEXO:</w:t>
      </w:r>
      <w:r>
        <w:rPr>
          <w:rFonts w:ascii="Times New Roman" w:hAnsi="Times New Roman" w:cs="Times New Roman"/>
          <w:sz w:val="22"/>
          <w:szCs w:val="22"/>
        </w:rPr>
        <w:t xml:space="preserve"> Comunidad estudiantil digital. Su finalidad es que el Scrum Team y los interesados comprendan qué trabajo comprende el proyecto y que ninguna parte del alcance quede sin cubrir.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La EDT toma como base la Definición del Alcance, la Encuesta de necesidades académicas y de comunidad estudiantil y la Ficha de Inicio del Producto. Se revisará en cada Sprint Review.</w:t>
      </w:r>
    </w:p>
    <w:p>
      <w:pPr>
        <w:keepNext/>
        <w:spacing w:before="0" w:after="60" w:line="360" w:lineRule="auto"/>
        <w:jc w:val="left"/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Ilustración 1.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Logo de la empresa</w:t>
      </w:r>
    </w:p>
    <w:p>
      <w:pPr>
        <w:keepNext/>
        <w:spacing w:before="0" w:after="60" w:line="240" w:lineRule="auto"/>
        <w:jc w:val="center"/>
      </w:pPr>
      <w:r>
        <w:drawing>
          <wp:inline distT="0" distB="0" distL="0" distR="0">
            <wp:extent cx="2476500" cy="1209675"/>
            <wp:docPr id="9001" name="Logo NEXO TE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60" w:lineRule="auto"/>
        <w:jc w:val="center"/>
      </w:pP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Nota: Logo de la empresa: Entidad con el producto (2026).</w:t>
      </w: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Criterios de elaboración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Orientada a entregables.</w:t>
      </w:r>
      <w:r>
        <w:rPr>
          <w:rFonts w:ascii="Times New Roman" w:hAnsi="Times New Roman" w:cs="Times New Roman"/>
          <w:sz w:val="22"/>
          <w:szCs w:val="22"/>
        </w:rPr>
        <w:t xml:space="preserve"> Cada componente representa un producto, resultado o servicio, no una actividad aislada.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Regla del 100%.</w:t>
      </w:r>
      <w:r>
        <w:rPr>
          <w:rFonts w:ascii="Times New Roman" w:hAnsi="Times New Roman" w:cs="Times New Roman"/>
          <w:sz w:val="22"/>
          <w:szCs w:val="22"/>
        </w:rPr>
        <w:t xml:space="preserve"> La EDT incluye todo el trabajo definido en la Definición del Alcance y nada que quede fuera de él.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Tres niveles.</w:t>
      </w:r>
      <w:r>
        <w:rPr>
          <w:rFonts w:ascii="Times New Roman" w:hAnsi="Times New Roman" w:cs="Times New Roman"/>
          <w:sz w:val="22"/>
          <w:szCs w:val="22"/>
        </w:rPr>
        <w:t xml:space="preserve"> Nivel 1: componentes principales; nivel 2: entregables; nivel 3: paquetes de trabajo del desarrollo, uno por funcionalidad.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Codificación jerárquica.</w:t>
      </w:r>
      <w:r>
        <w:rPr>
          <w:rFonts w:ascii="Times New Roman" w:hAnsi="Times New Roman" w:cs="Times New Roman"/>
          <w:sz w:val="22"/>
          <w:szCs w:val="22"/>
        </w:rPr>
        <w:t xml:space="preserve"> Cada elemento tiene un código (1.x.y.z) que permite referenciarlo en el Product Backlog y en la Matriz de Trazabilidad.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Funcionalidades según el alcance.</w:t>
      </w:r>
      <w:r>
        <w:rPr>
          <w:rFonts w:ascii="Times New Roman" w:hAnsi="Times New Roman" w:cs="Times New Roman"/>
          <w:sz w:val="22"/>
          <w:szCs w:val="22"/>
        </w:rPr>
        <w:t xml:space="preserve"> Los paquetes del desarrollo se corresponden con los requisitos RC-01 a RC-14 de la Definición del Alcance.</w:t>
      </w:r>
    </w:p>
    <w:p>
      <w:pPr>
        <w:spacing w:before="0" w:after="160" w:line="360" w:lineRule="auto"/>
        <w:jc w:val="both"/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Nota: en Scrum, el Product Backlog es la fuente única del trabajo del producto. La EDT es una referencia complementaria de entregables; no asigna fechas ni esfuerzo. Los paquetes de trabajo se convierten en PBIs que el Product Owner ordena, y el Scrum Team planifica los Sprints a partir de ellos.</w:t>
      </w:r>
    </w:p>
    <w:p>
      <w:pPr>
        <w:keepNext/>
        <w:spacing w:before="0" w:after="6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Resumen de la estructura: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520"/>
      </w:tblGrid>
      <w:tr>
        <w:trPr>
          <w:cantSplit/>
          <w:tblHeader/>
        </w:trPr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Nivel</w:t>
            </w:r>
          </w:p>
        </w:tc>
        <w:tc>
          <w:tcPr>
            <w:tcW w:w="1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Elementos</w:t>
            </w:r>
          </w:p>
        </w:tc>
        <w:tc>
          <w:tcPr>
            <w:tcW w:w="45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Nivel 1: componentes principales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7</w:t>
            </w:r>
          </w:p>
        </w:tc>
        <w:tc>
          <w:tcPr>
            <w:tcW w:w="4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Gestión, investigación, diseño, desarrollo, pruebas, documentación y cierre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Nivel 2: entregables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29</w:t>
            </w:r>
          </w:p>
        </w:tc>
        <w:tc>
          <w:tcPr>
            <w:tcW w:w="4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Documentos, diseños, áreas funcionales, pruebas y demostración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Nivel 3: paquetes de desarrollo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16</w:t>
            </w:r>
          </w:p>
        </w:tc>
        <w:tc>
          <w:tcPr>
            <w:tcW w:w="4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14 funcionalidades (RC-01 a RC-14) y 2 paquetes transversales</w:t>
            </w:r>
          </w:p>
        </w:tc>
      </w:tr>
    </w:tbl>
    <w:p>
      <w:pPr>
        <w:spacing w:before="0" w:after="120"/>
      </w:pPr>
    </w:p>
    <w:p>
      <w:pPr>
        <w:sectPr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Diagrama de la EDT</w:t>
      </w:r>
    </w:p>
    <w:p>
      <w:pPr>
        <w:keepNext/>
        <w:spacing w:before="0" w:after="60" w:line="360" w:lineRule="auto"/>
        <w:jc w:val="both"/>
      </w:pPr>
      <w:r>
        <w:rPr>
          <w:rFonts w:ascii="Times New Roman" w:hAnsi="Times New Roman" w:cs="Times New Roman"/>
          <w:sz w:val="20"/>
          <w:szCs w:val="20"/>
        </w:rPr>
        <w:t xml:space="preserve">Estructura de los niveles 1 y 2. El detalle de los paquetes de desarrollo (nivel 3) se presenta en la sección 5.</w:t>
      </w:r>
    </w:p>
    <w:p>
      <w:pPr>
        <w:spacing w:before="0" w:after="60" w:line="240" w:lineRule="auto"/>
        <w:jc w:val="center"/>
      </w:pPr>
      <w:r>
        <w:drawing>
          <wp:inline distT="0" distB="0" distL="0" distR="0">
            <wp:extent cx="8778240" cy="4946237"/>
            <wp:docPr id="9002" name="Diagrama EDT" descr="Diagrama jerárquico de la EDT de NEX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bs.png"/>
                    <pic:cNvPicPr/>
                  </pic:nvPicPr>
                  <pic:blipFill>
                    <a:blip r:embed="rIdWbs1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94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Diccionario de la EDT</w:t>
      </w:r>
    </w:p>
    <w:p>
      <w:pPr>
        <w:keepNext/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Descripción de cada entregable del nivel 2. Los responsables son una propuesta inicial que el Product Owner debe validar.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2300"/>
        <w:gridCol w:w="4150"/>
        <w:gridCol w:w="2900"/>
        <w:gridCol w:w="1800"/>
        <w:gridCol w:w="1958"/>
      </w:tblGrid>
      <w:tr>
        <w:trPr>
          <w:cantSplit/>
          <w:tblHeader/>
        </w:trPr>
        <w:tc>
          <w:tcPr>
            <w:tcW w:w="8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Entregable</w:t>
            </w:r>
          </w:p>
        </w:tc>
        <w:tc>
          <w:tcPr>
            <w:tcW w:w="41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Descripción</w:t>
            </w:r>
          </w:p>
        </w:tc>
        <w:tc>
          <w:tcPr>
            <w:tcW w:w="2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Producto resultante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Responsable</w:t>
            </w:r>
          </w:p>
        </w:tc>
        <w:tc>
          <w:tcPr>
            <w:tcW w:w="195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1.1.1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Acta de constitución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Formaliza el proyecto y autoriza el inicio del desarrollo del MVP.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Acta de Constitución del Proyecto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Scrum Master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Aprobada por los participantes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1.1.2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Registro de interesados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Identifica y clasifica a los interesados y define su participación.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Registro de Interesados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Scrum Master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Revisado en cada Sprint Review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1.1.3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Definición del alcance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Establece qué incluye y qué no incluye el proyecto.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Definición del Alcance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Product Owner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Validada por el Product Owner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1.1.4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Matriz de trazabilidad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Relaciona requisitos con objetivos, interesados, entregables y pruebas.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Matriz de Trazabilidad de Requisitos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Scrum Master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Actualizada tras cada Sprint Review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1.1.5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EDT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Descompone el trabajo del proyecto en entregables.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Estructura de Desglose del Trabajo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Scrum Master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Cubre el 100% del alcance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1.1.6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Eventos Scrum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Sprint Planning, Daily Scrum, Sprint Review y Sprint Retrospective.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Eventos realizados y acuerdos registrados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Scrum Master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Eventos realizados en cada Sprint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1.1.7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Seguimiento y control de cambios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Gestión de solicitudes de cambio a través del Product Backlog.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Product Backlog y documentos actualizados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Product Owner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Cambios decididos y comunicados en la Sprint Review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1.2.1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Encuesta de necesidades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Instrumento exploratorio de 15 reactivos aplicado a estudiantes del TESH (13 participantes en preguntas cerradas y 7 en la abierta).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Encuesta aplicada y registrada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Scrum Team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Resultados documentados (realizada)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1.2.2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Análisis de resultados y requisitos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Hallazgos, necesidades y oportunidades de diseño; derivación de los requisitos RC-01 a RC-14.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Requisitos RC-01 a RC-14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Scrum Team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Cada requisito con su evidencia de la encuesta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1.2.3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Product Backlog inicial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PBIs derivados de los requisitos, ordenados por valor.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Product Backlog ordenado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Product Owner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Con criterio de aceptación y prioridad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1.3.1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Arquitectura y modelo de datos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Arquitectura de la plataforma y modelo de datos de usuarios, publicaciones y recursos.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Documento de arquitectura y modelo de datos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Developers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Revisado por el Scrum Team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1.3.2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Diseño de experiencia e interfaz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Flujos y pantallas principales, incluida la participación gradual.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Diseños de interfaz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Developers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Validado con estudiantes en Sprint Review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1.3.3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Taxonomía de contenidos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Materias, temas, categorías y etiquetas del plan de estudios.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Taxonomía de contenidos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Product Owner y Developers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Aprobada por el Product Owner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1.4.1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Cuentas y acceso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Autenticación y autorización de usuarios (requisito transversal).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Funcionalidad integrada en el Increment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Developers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Cumple la Definition of Done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1.4.2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Consulta y resolución de dudas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Tablero de preguntas, búsqueda ágil con respuestas indexadas y espacio de consulta.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Funcionalidades integradas en el Increment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Developers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Cumple la Definition of Done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1.4.3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Recursos y contenido académico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Editor de publicaciones, catálogo de recursos y contenido práctico.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Funcionalidades integradas en el Increment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Developers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Cumple la Definition of Done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1.4.4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Búsqueda y organización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Navegación temática, búsqueda interna, marcadores e historial.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Funcionalidades integradas en el Increment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Developers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Cumple la Definition of Done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1.4.5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Comunidad y colaboración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Perfiles, espacios temáticos y vinculación de equipos.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Funcionalidades integradas en el Increment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Developers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Cumple la Definition of Done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1.4.6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Confianza y participación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Participación escalonada, publicación resguardada, verificación y moderación.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Funcionalidades integradas en el Increment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Developers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Cumple la Definition of Done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1.5.1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Pruebas funcionales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Pruebas de los flujos incluidos en cada Increment.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Resultados de las pruebas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Developers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Sin defectos que impidan usar el flujo demostrado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1.5.2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Verificación de la DoD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Revisión del cumplimiento de la Definition of Done por Increment.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Increment que cumple la DoD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Scrum Team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Todos los criterios cumplidos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1.5.3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Corrección de defectos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Atención de los defectos detectados en pruebas y revisiones.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Defectos corregidos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Developers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Sin defectos conocidos que impidan el uso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1.5.4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Pruebas de usabilidad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Sesiones con estudiantes para validar los flujos y la participación escalonada.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Informe breve de usabilidad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Scrum Team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Retroalimentación incorporada al Product Backlog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1.6.1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Documentación técnica mínima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Descripción breve de la arquitectura y del funcionamiento de la plataforma.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Documento técnico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Developers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Actualizado para cada Increment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1.6.2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Guía breve de uso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Descripción breve del uso de la plataforma para estudiantes.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Guía de uso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Developers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Comprensible para un usuario nuevo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1.7.1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Preparación de la demostración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Guion, datos de prueba y ensayo de la demostración.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Guion y ensayo realizado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Scrum Team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Demostración reproducible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1.7.2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Demostración final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Presentación del MVP a los interesados el 15 de septiembre de 2026.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MVP demostrado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Scrum Team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Realizada en la fecha prevista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1.7.3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Retroalimentación de interesados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Registro de las observaciones recibidas en la demostración.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Registro de retroalimentación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Product Owner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Incorporada al Product Backlog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1.7.4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Cierre del proyecto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Retrospectiva final, lecciones aprendidas y Product Backlog actualizado.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Informe de cierre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Scrum Master</w:t>
            </w:r>
          </w:p>
        </w:tc>
        <w:tc>
          <w:tcPr>
            <w:tcW w:w="1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Aprobado por el Product Owner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Paquetes de trabajo del desarrollo (nivel 3)</w:t>
      </w:r>
    </w:p>
    <w:p>
      <w:pPr>
        <w:keepNext/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Cada paquete corresponde a una funcionalidad de la Definición del Alcance. El alcance sugerido sigue la prioridad de la sección 4.3 de ese documento: las de prioridad Alta conforman el núcleo sugerido del MVP y el resto lo decide el Product Owner. Las dependencias son propuestas.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200"/>
        <w:gridCol w:w="1000"/>
        <w:gridCol w:w="1900"/>
        <w:gridCol w:w="1900"/>
        <w:gridCol w:w="3958"/>
      </w:tblGrid>
      <w:tr>
        <w:trPr>
          <w:cantSplit/>
          <w:tblHeader/>
        </w:trPr>
        <w:tc>
          <w:tcPr>
            <w:tcW w:w="1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w="4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Paquete de trabajo</w:t>
            </w:r>
          </w:p>
        </w:tc>
        <w:tc>
          <w:tcPr>
            <w:tcW w:w="1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Requisito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Alcance sugerido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Depende de</w:t>
            </w:r>
          </w:p>
        </w:tc>
        <w:tc>
          <w:tcPr>
            <w:tcW w:w="395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Verificación</w:t>
            </w:r>
          </w:p>
        </w:tc>
      </w:tr>
      <w:tr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1.4.1.1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Autenticación de usuarios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Transversal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Núcleo sugerido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—</w:t>
            </w:r>
          </w:p>
        </w:tc>
        <w:tc>
          <w:tcPr>
            <w:tcW w:w="3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Prueba funcional de acceso</w:t>
            </w:r>
          </w:p>
        </w:tc>
      </w:tr>
      <w:tr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1.4.1.2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Autorización y permisos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Transversal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Núcleo sugerido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1.4.1.1</w:t>
            </w:r>
          </w:p>
        </w:tc>
        <w:tc>
          <w:tcPr>
            <w:tcW w:w="3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Prueba funcional de permisos</w:t>
            </w:r>
          </w:p>
        </w:tc>
      </w:tr>
      <w:tr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1.4.2.1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Tablero de preguntas categorizado por materia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RC-07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Por decidir (PO)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1.4.3.1</w:t>
            </w:r>
          </w:p>
        </w:tc>
        <w:tc>
          <w:tcPr>
            <w:tcW w:w="3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Prueba funcional de publicar y responder</w:t>
            </w:r>
          </w:p>
        </w:tc>
      </w:tr>
      <w:tr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1.4.2.2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Búsqueda ágil, respuestas indexadas y notificación de dudas resueltas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RC-13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Núcleo sugerido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1.4.4.2, 1.4.2.1</w:t>
            </w:r>
          </w:p>
        </w:tc>
        <w:tc>
          <w:tcPr>
            <w:tcW w:w="3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Prueba funcional; medir tiempo de consulta</w:t>
            </w:r>
          </w:p>
        </w:tc>
      </w:tr>
      <w:tr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1.4.2.3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Espacio unificado de consulta con asistencia técnica inteligente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RC-01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Por decidir (PO)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—</w:t>
            </w:r>
          </w:p>
        </w:tc>
        <w:tc>
          <w:tcPr>
            <w:tcW w:w="3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Validar con estudiantes en Sprint Review</w:t>
            </w:r>
          </w:p>
        </w:tc>
      </w:tr>
      <w:tr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1.4.3.1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Editor de publicaciones (título, imágenes, archivos y código)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RC-11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Núcleo sugerido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—</w:t>
            </w:r>
          </w:p>
        </w:tc>
        <w:tc>
          <w:tcPr>
            <w:tcW w:w="3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Prueba funcional del editor</w:t>
            </w:r>
          </w:p>
        </w:tc>
      </w:tr>
      <w:tr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1.4.3.2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Catálogo de recursos con filtros por materia y tipo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RC-09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Por decidir (PO)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1.4.4.1</w:t>
            </w:r>
          </w:p>
        </w:tc>
        <w:tc>
          <w:tcPr>
            <w:tcW w:w="3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Prueba funcional de filtros y descarga</w:t>
            </w:r>
          </w:p>
        </w:tc>
      </w:tr>
      <w:tr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1.4.3.3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Contenido práctico: ejercicios resueltos paso a paso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RC-14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Por definir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—</w:t>
            </w:r>
          </w:p>
        </w:tc>
        <w:tc>
          <w:tcPr>
            <w:tcW w:w="3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Contrastar con una muestra mayor</w:t>
            </w:r>
          </w:p>
        </w:tc>
      </w:tr>
      <w:tr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1.4.4.1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Navegación por árbol temático y etiquetas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RC-10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Por decidir (PO)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1.3.3</w:t>
            </w:r>
          </w:p>
        </w:tc>
        <w:tc>
          <w:tcPr>
            <w:tcW w:w="3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Prueba funcional de navegación</w:t>
            </w:r>
          </w:p>
        </w:tc>
      </w:tr>
      <w:tr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1.4.4.2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Búsqueda interna indexada y panel de recursos guardados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RC-04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Núcleo sugerido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—</w:t>
            </w:r>
          </w:p>
        </w:tc>
        <w:tc>
          <w:tcPr>
            <w:tcW w:w="3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Prueba funcional; reevaluar P04 con usuarios</w:t>
            </w:r>
          </w:p>
        </w:tc>
      </w:tr>
      <w:tr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1.4.4.3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Marcadores, historial de consulta y compartir recursos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RC-02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Por decidir (PO)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—</w:t>
            </w:r>
          </w:p>
        </w:tc>
        <w:tc>
          <w:tcPr>
            <w:tcW w:w="3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Prueba funcional de guardado y compartido</w:t>
            </w:r>
          </w:p>
        </w:tc>
      </w:tr>
      <w:tr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1.4.5.1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Perfiles por materias, habilidades e intereses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RC-05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Núcleo sugerido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1.4.1.1</w:t>
            </w:r>
          </w:p>
        </w:tc>
        <w:tc>
          <w:tcPr>
            <w:tcW w:w="3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Prueba funcional; reevaluar P05 con usuarios</w:t>
            </w:r>
          </w:p>
        </w:tc>
      </w:tr>
      <w:tr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1.4.5.2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Espacios temáticos y colaboración por proyectos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RC-06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Por decidir (PO)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—</w:t>
            </w:r>
          </w:p>
        </w:tc>
        <w:tc>
          <w:tcPr>
            <w:tcW w:w="3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Validar con estudiantes en Sprint Review</w:t>
            </w:r>
          </w:p>
        </w:tc>
      </w:tr>
      <w:tr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1.4.5.3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Vinculación de equipos de trabajo o de estudio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RC-12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Por decidir (PO)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1.4.5.1</w:t>
            </w:r>
          </w:p>
        </w:tc>
        <w:tc>
          <w:tcPr>
            <w:tcW w:w="3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Validar con estudiantes en Sprint Review</w:t>
            </w:r>
          </w:p>
        </w:tc>
      </w:tr>
      <w:tr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1.4.6.1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Participación escalonada y publicación resguardada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RC-08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Núcleo sugerido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—</w:t>
            </w:r>
          </w:p>
        </w:tc>
        <w:tc>
          <w:tcPr>
            <w:tcW w:w="3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Pruebas de usabilidad con estudiantes</w:t>
            </w:r>
          </w:p>
        </w:tc>
      </w:tr>
      <w:tr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1.4.6.2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Verificación comunitaria y moderación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RC-03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Por decidir (PO)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1.4.2.1, 1.4.3.2</w:t>
            </w:r>
          </w:p>
        </w:tc>
        <w:tc>
          <w:tcPr>
            <w:tcW w:w="3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Prueba funcional; revisión con docentes</w:t>
            </w:r>
          </w:p>
        </w:tc>
      </w:tr>
    </w:tbl>
    <w:p>
      <w:pPr>
        <w:spacing w:before="0" w:after="120"/>
      </w:pPr>
    </w:p>
    <w:p>
      <w:pPr>
        <w:spacing w:before="0" w:after="160" w:line="360" w:lineRule="auto"/>
        <w:jc w:val="both"/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Verificación de cobertura: los 14 requisitos RC-01 a RC-14 de la Definición del Alcance están representados por un paquete de trabajo; los dos paquetes de cuentas y acceso cubren el criterio transversal de autenticación y autorización de la Definition of Done.</w:t>
      </w: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Pendientes y consideraciones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Que el Product Owner valide la estructura, los responsables y el núcleo del MVP, y convierta los paquetes de trabajo en PBIs.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Planificar los Sprints a partir del Product Backlog ordenado; esta EDT no incluye fechas ni esfuerzo.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Designar a las personas que ocuparán los roles de Product Owner, Scrum Master y Developers.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Actualizar la EDT cuando el Product Owner modifique el alcance del MVP.</w:t>
      </w: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Aprobaciones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4000"/>
        <w:gridCol w:w="3758"/>
      </w:tblGrid>
      <w:tr>
        <w:trPr>
          <w:cantSplit/>
          <w:tblHeader/>
        </w:trPr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Participante</w:t>
            </w:r>
          </w:p>
        </w:tc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w="4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Firma</w:t>
            </w:r>
          </w:p>
        </w:tc>
        <w:tc>
          <w:tcPr>
            <w:tcW w:w="375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Fecha</w:t>
            </w:r>
          </w:p>
        </w:tc>
      </w:tr>
      <w:tr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Product Owner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37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Scrum Master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37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Representante / patrocinador institucional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37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</w:tbl>
    <w:p>
      <w:pPr>
        <w:spacing w:before="0" w:after="120"/>
      </w:pPr>
    </w:p>
    <w:p>
      <w:pPr>
        <w:spacing w:before="0" w:after="160" w:line="360" w:lineRule="auto"/>
        <w:jc w:val="both"/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Nota: Scrum no requiere firmas para que exista Scrum. Las firmas se conservan como mecanismo institucional de aceptación de la EDT.</w:t>
      </w: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Control de versiones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7358"/>
        <w:gridCol w:w="3200"/>
      </w:tblGrid>
      <w:tr>
        <w:trPr>
          <w:cantSplit/>
          <w:tblHeader/>
        </w:trPr>
        <w:tc>
          <w:tcPr>
            <w:tcW w:w="1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w="735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Descripción del cambio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Responsable</w:t>
            </w:r>
          </w:p>
        </w:tc>
      </w:tr>
      <w:tr>
        <w:trPr>
          <w:cantSplit/>
        </w:trP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73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EDT inicial a partir de la Definición del Alcance y la Encuesta de necesidades.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rPr>
          <w:cantSplit/>
        </w:trP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73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</w:tbl>
    <w:p>
      <w:pPr>
        <w:spacing w:before="0" w:after="120"/>
      </w:pPr>
    </w:p>
    <w:sectPr>
      <w:pgSz w:w="16838" w:h="11906" w:orient="landscape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4331A"/>
    <w:multiLevelType w:val="hybridMultilevel"/>
    <w:tmpl w:val="38CEC38E"/>
    <w:lvl w:ilvl="0" w:tplc="D24A213E">
      <w:start w:val="1"/>
      <w:numFmt w:val="bullet"/>
      <w:lvlText w:val="●"/>
      <w:lvlJc w:val="left"/>
      <w:pPr>
        <w:ind w:left="720" w:hanging="360"/>
      </w:pPr>
    </w:lvl>
    <w:lvl w:ilvl="1" w:tplc="C4A8E012">
      <w:start w:val="1"/>
      <w:numFmt w:val="bullet"/>
      <w:lvlText w:val="○"/>
      <w:lvlJc w:val="left"/>
      <w:pPr>
        <w:ind w:left="1440" w:hanging="360"/>
      </w:pPr>
    </w:lvl>
    <w:lvl w:ilvl="2" w:tplc="A66E5EDC">
      <w:start w:val="1"/>
      <w:numFmt w:val="bullet"/>
      <w:lvlText w:val="■"/>
      <w:lvlJc w:val="left"/>
      <w:pPr>
        <w:ind w:left="2160" w:hanging="360"/>
      </w:pPr>
    </w:lvl>
    <w:lvl w:ilvl="3" w:tplc="8668ED20">
      <w:start w:val="1"/>
      <w:numFmt w:val="bullet"/>
      <w:lvlText w:val="●"/>
      <w:lvlJc w:val="left"/>
      <w:pPr>
        <w:ind w:left="2880" w:hanging="360"/>
      </w:pPr>
    </w:lvl>
    <w:lvl w:ilvl="4" w:tplc="63BA4B18">
      <w:start w:val="1"/>
      <w:numFmt w:val="bullet"/>
      <w:lvlText w:val="○"/>
      <w:lvlJc w:val="left"/>
      <w:pPr>
        <w:ind w:left="3600" w:hanging="360"/>
      </w:pPr>
    </w:lvl>
    <w:lvl w:ilvl="5" w:tplc="64D0D870">
      <w:start w:val="1"/>
      <w:numFmt w:val="bullet"/>
      <w:lvlText w:val="■"/>
      <w:lvlJc w:val="left"/>
      <w:pPr>
        <w:ind w:left="4320" w:hanging="360"/>
      </w:pPr>
    </w:lvl>
    <w:lvl w:ilvl="6" w:tplc="C352DC10">
      <w:start w:val="1"/>
      <w:numFmt w:val="bullet"/>
      <w:lvlText w:val="●"/>
      <w:lvlJc w:val="left"/>
      <w:pPr>
        <w:ind w:left="5040" w:hanging="360"/>
      </w:pPr>
    </w:lvl>
    <w:lvl w:ilvl="7" w:tplc="05E0BC00">
      <w:start w:val="1"/>
      <w:numFmt w:val="bullet"/>
      <w:lvlText w:val="●"/>
      <w:lvlJc w:val="left"/>
      <w:pPr>
        <w:ind w:left="5760" w:hanging="360"/>
      </w:pPr>
    </w:lvl>
    <w:lvl w:ilvl="8" w:tplc="DF7294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E76151"/>
    <w:multiLevelType w:val="hybridMultilevel"/>
    <w:tmpl w:val="5A48CD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109912">
    <w:abstractNumId w:val="0"/>
    <w:lvlOverride w:ilvl="0">
      <w:startOverride w:val="1"/>
    </w:lvlOverride>
  </w:num>
  <w:num w:numId="2" w16cid:durableId="493495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A2A"/>
    <w:rsid w:val="0003778E"/>
    <w:rsid w:val="00480D76"/>
    <w:rsid w:val="009E2A2A"/>
    <w:rsid w:val="00E95714"/>
    <w:rsid w:val="00F8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35F7B"/>
  <w15:docId w15:val="{E089A95D-7EC9-4C14-8093-23327330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77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Relationship Id="rIdWbs1" Type="http://schemas.openxmlformats.org/officeDocument/2006/relationships/image" Target="media/wbs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78ed07b-e02c-4847-9eb0-822a2adb07a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118532786BB934D8F5EFD81C20C2F21" ma:contentTypeVersion="4" ma:contentTypeDescription="Crear nuevo documento." ma:contentTypeScope="" ma:versionID="f76e568e8b7639b3587ac0ee15c1f630">
  <xsd:schema xmlns:xsd="http://www.w3.org/2001/XMLSchema" xmlns:xs="http://www.w3.org/2001/XMLSchema" xmlns:p="http://schemas.microsoft.com/office/2006/metadata/properties" xmlns:ns2="878ed07b-e02c-4847-9eb0-822a2adb07ad" targetNamespace="http://schemas.microsoft.com/office/2006/metadata/properties" ma:root="true" ma:fieldsID="9de286af708ebfae4f114b85232d296d" ns2:_="">
    <xsd:import namespace="878ed07b-e02c-4847-9eb0-822a2adb07a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8ed07b-e02c-4847-9eb0-822a2adb07a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5F3296-1BFA-4D8E-8926-11DD910A5188}">
  <ds:schemaRefs>
    <ds:schemaRef ds:uri="http://schemas.microsoft.com/office/2006/metadata/properties"/>
    <ds:schemaRef ds:uri="http://schemas.microsoft.com/office/infopath/2007/PartnerControls"/>
    <ds:schemaRef ds:uri="878ed07b-e02c-4847-9eb0-822a2adb07ad"/>
  </ds:schemaRefs>
</ds:datastoreItem>
</file>

<file path=customXml/itemProps2.xml><?xml version="1.0" encoding="utf-8"?>
<ds:datastoreItem xmlns:ds="http://schemas.openxmlformats.org/officeDocument/2006/customXml" ds:itemID="{CB8294E4-87E4-438A-AAA4-4A5444C022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27FDAB-7C43-435E-83A9-70F4A17BF3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8ed07b-e02c-4847-9eb0-822a2adb07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3207</Words>
  <Characters>17644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PEREZ MEDINA YAIR</cp:lastModifiedBy>
  <cp:revision>2</cp:revision>
  <dcterms:created xsi:type="dcterms:W3CDTF">2026-09-02T21:33:00Z</dcterms:created>
  <dcterms:modified xsi:type="dcterms:W3CDTF">2026-10-14T15:32:00Z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0x010100B118532786BB934D8F5EFD81C20C2F21</vt:lpwstr>
  </property>
</Properties>
</file>