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160"/>
        <w:jc w:val="center"/>
      </w:pPr>
      <w:r>
        <w:rPr>
          <w:rFonts w:ascii="Times New Roman" w:cs="Times New Roman" w:eastAsia="Times New Roman" w:hAnsi="Times New Roman"/>
          <w:b/>
          <w:bCs/>
          <w:color w:val="1F4E79"/>
          <w:sz w:val="64"/>
          <w:szCs w:val="64"/>
        </w:rPr>
        <w:t xml:space="preserve">Rethink</w:t>
      </w:r>
    </w:p>
    <w:p>
      <w:pPr>
        <w:spacing w:after="120" w:before="0"/>
        <w:jc w:val="center"/>
      </w:pPr>
      <w:r>
        <w:rPr>
          <w:rFonts w:ascii="Times New Roman" w:cs="Times New Roman" w:eastAsia="Times New Roman" w:hAnsi="Times New Roman"/>
          <w:b/>
          <w:bCs/>
          <w:color w:val="2E75B6"/>
          <w:sz w:val="40"/>
          <w:szCs w:val="40"/>
        </w:rPr>
        <w:t xml:space="preserve">AI-Powered Payment Friction</w:t>
      </w:r>
    </w:p>
    <w:p>
      <w:pPr>
        <w:spacing w:after="80" w:before="80"/>
      </w:pPr>
      <w:r>
        <w:t xml:space="preserve"/>
      </w:r>
    </w:p>
    <w:p>
      <w:pPr>
        <w:spacing w:after="80" w:before="160"/>
        <w:jc w:val="center"/>
      </w:pPr>
      <w:r>
        <w:rPr>
          <w:rFonts w:ascii="Times New Roman" w:cs="Times New Roman" w:eastAsia="Times New Roman" w:hAnsi="Times New Roman"/>
          <w:sz w:val="28"/>
          <w:szCs w:val="28"/>
        </w:rPr>
        <w:t xml:space="preserve">Product Requirements Document</w:t>
      </w:r>
    </w:p>
    <w:p>
      <w:pPr>
        <w:spacing w:after="80" w:before="80"/>
      </w:pPr>
      <w:r>
        <w:t xml:space="preserve"/>
      </w:r>
    </w:p>
    <w:p>
      <w:pPr>
        <w:spacing w:after="80" w:before="80"/>
      </w:pPr>
      <w:r>
        <w:t xml:space="preserve"/>
      </w:r>
    </w:p>
    <w:p>
      <w:pPr>
        <w:spacing w:after="80" w:before="160"/>
        <w:jc w:val="center"/>
      </w:pPr>
      <w:r>
        <w:rPr>
          <w:rFonts w:ascii="Times New Roman" w:cs="Times New Roman" w:eastAsia="Times New Roman" w:hAnsi="Times New Roman"/>
          <w:sz w:val="24"/>
          <w:szCs w:val="24"/>
        </w:rPr>
        <w:t xml:space="preserve">Course: Behavioral Economics From Theory to Practice</w:t>
      </w:r>
    </w:p>
    <w:p>
      <w:pPr>
        <w:spacing w:after="80" w:before="0"/>
        <w:jc w:val="center"/>
      </w:pPr>
      <w:r>
        <w:rPr>
          <w:rFonts w:ascii="Times New Roman" w:cs="Times New Roman" w:eastAsia="Times New Roman" w:hAnsi="Times New Roman"/>
          <w:sz w:val="24"/>
          <w:szCs w:val="24"/>
        </w:rPr>
        <w:t xml:space="preserve">Instructors: Dr. Yossi Hasson &amp; Mr. Tomer Toueg</w:t>
      </w:r>
    </w:p>
    <w:p>
      <w:pPr>
        <w:spacing w:after="80" w:before="0"/>
        <w:jc w:val="center"/>
      </w:pPr>
      <w:r>
        <w:rPr>
          <w:rFonts w:ascii="Times New Roman" w:cs="Times New Roman" w:eastAsia="Times New Roman" w:hAnsi="Times New Roman"/>
          <w:sz w:val="24"/>
          <w:szCs w:val="24"/>
        </w:rPr>
        <w:t xml:space="preserve">Reichman University, Tiomkin School of Economics</w:t>
      </w:r>
    </w:p>
    <w:p>
      <w:pPr>
        <w:spacing w:after="80" w:before="0"/>
        <w:jc w:val="center"/>
      </w:pPr>
      <w:r>
        <w:rPr>
          <w:rFonts w:ascii="Times New Roman" w:cs="Times New Roman" w:eastAsia="Times New Roman" w:hAnsi="Times New Roman"/>
          <w:sz w:val="24"/>
          <w:szCs w:val="24"/>
        </w:rPr>
        <w:t xml:space="preserve">Baruch Ivcher School of Psychology</w:t>
      </w:r>
    </w:p>
    <w:p>
      <w:pPr>
        <w:spacing w:after="80" w:before="80"/>
      </w:pPr>
      <w:r>
        <w:t xml:space="preserve"/>
      </w:r>
    </w:p>
    <w:p>
      <w:pPr>
        <w:spacing w:after="80" w:before="80"/>
      </w:pPr>
      <w:r>
        <w:t xml:space="preserve"/>
      </w:r>
    </w:p>
    <w:p>
      <w:pPr>
        <w:spacing w:after="80" w:before="160"/>
        <w:jc w:val="center"/>
      </w:pPr>
      <w:r>
        <w:rPr>
          <w:rFonts w:ascii="Times New Roman" w:cs="Times New Roman" w:eastAsia="Times New Roman" w:hAnsi="Times New Roman"/>
          <w:b/>
          <w:bCs/>
          <w:sz w:val="24"/>
          <w:szCs w:val="24"/>
        </w:rPr>
        <w:t xml:space="preserve">Students:</w:t>
      </w:r>
    </w:p>
    <w:p>
      <w:pPr>
        <w:spacing w:after="80" w:before="0"/>
        <w:jc w:val="center"/>
      </w:pPr>
      <w:r>
        <w:rPr>
          <w:rFonts w:ascii="Times New Roman" w:cs="Times New Roman" w:eastAsia="Times New Roman" w:hAnsi="Times New Roman"/>
          <w:sz w:val="24"/>
          <w:szCs w:val="24"/>
        </w:rPr>
        <w:t xml:space="preserve">Yoav Aviram  |  ID: 316522721</w:t>
      </w:r>
    </w:p>
    <w:p>
      <w:pPr>
        <w:spacing w:after="80" w:before="0"/>
        <w:jc w:val="center"/>
      </w:pPr>
      <w:r>
        <w:rPr>
          <w:rFonts w:ascii="Times New Roman" w:cs="Times New Roman" w:eastAsia="Times New Roman" w:hAnsi="Times New Roman"/>
          <w:sz w:val="24"/>
          <w:szCs w:val="24"/>
        </w:rPr>
        <w:t xml:space="preserve">Yair Katan  |  ID: 313559692</w:t>
      </w:r>
    </w:p>
    <w:p>
      <w:pPr>
        <w:spacing w:after="80" w:before="0"/>
        <w:jc w:val="center"/>
      </w:pPr>
      <w:r>
        <w:rPr>
          <w:rFonts w:ascii="Times New Roman" w:cs="Times New Roman" w:eastAsia="Times New Roman" w:hAnsi="Times New Roman"/>
          <w:sz w:val="24"/>
          <w:szCs w:val="24"/>
        </w:rPr>
        <w:t xml:space="preserve">Meital Segev  |  ID: 318545282</w:t>
      </w:r>
    </w:p>
    <w:p>
      <w:pPr>
        <w:spacing w:after="80" w:before="80"/>
      </w:pPr>
      <w:r>
        <w:t xml:space="preserve"/>
      </w:r>
    </w:p>
    <w:p>
      <w:pPr>
        <w:spacing w:after="0" w:before="160"/>
        <w:jc w:val="center"/>
      </w:pPr>
      <w:r>
        <w:rPr>
          <w:rFonts w:ascii="Times New Roman" w:cs="Times New Roman" w:eastAsia="Times New Roman" w:hAnsi="Times New Roman"/>
          <w:sz w:val="24"/>
          <w:szCs w:val="24"/>
        </w:rPr>
        <w:t xml:space="preserve">May 2026</w:t>
      </w:r>
    </w:p>
    <w:p>
      <w:r>
        <w:br w:type="page"/>
      </w:r>
    </w:p>
    <w:p>
      <w:pPr>
        <w:sectPr>
          <w:pgSz w:w="12240" w:h="15840" w:orient="portrait"/>
          <w:pgMar w:top="1440" w:right="1440" w:bottom="1440" w:left="1440" w:header="708" w:footer="708" w:gutter="0"/>
          <w:pgNumType/>
          <w:docGrid w:linePitch="360"/>
        </w:sectPr>
      </w:pPr>
    </w:p>
    <w:p>
      <w:pPr>
        <w:spacing w:after="120" w:before="240" w:line="360" w:lineRule="auto"/>
      </w:pPr>
      <w:r>
        <w:rPr>
          <w:rFonts w:ascii="Times New Roman" w:cs="Times New Roman" w:eastAsia="Times New Roman" w:hAnsi="Times New Roman"/>
          <w:b/>
          <w:bCs/>
          <w:color w:val="1F4E79"/>
          <w:sz w:val="28"/>
          <w:szCs w:val="28"/>
        </w:rPr>
        <w:t xml:space="preserve">Problem Definition</w:t>
      </w:r>
    </w:p>
    <w:p>
      <w:pPr>
        <w:spacing w:after="120" w:before="0"/>
      </w:pPr>
      <w:r>
        <w:rPr>
          <w:rFonts w:ascii="Times New Roman" w:cs="Times New Roman" w:eastAsia="Times New Roman" w:hAnsi="Times New Roman"/>
          <w:b/>
          <w:bCs/>
          <w:sz w:val="24"/>
          <w:szCs w:val="24"/>
        </w:rPr>
        <w:t xml:space="preserve">Domain: </w:t>
      </w:r>
      <w:r>
        <w:rPr>
          <w:rFonts w:ascii="Times New Roman" w:cs="Times New Roman" w:eastAsia="Times New Roman" w:hAnsi="Times New Roman"/>
          <w:i/>
          <w:iCs/>
          <w:sz w:val="24"/>
          <w:szCs w:val="24"/>
        </w:rPr>
        <w:t xml:space="preserve">Financial Behavior</w:t>
      </w:r>
    </w:p>
    <w:p>
      <w:pPr>
        <w:spacing w:after="120" w:before="0" w:line="360" w:lineRule="auto"/>
        <w:jc w:val="both"/>
      </w:pPr>
      <w:r>
        <w:rPr>
          <w:rFonts w:ascii="Times New Roman" w:cs="Times New Roman" w:eastAsia="Times New Roman" w:hAnsi="Times New Roman"/>
          <w:sz w:val="24"/>
          <w:szCs w:val="24"/>
        </w:rPr>
        <w:t xml:space="preserve">Digital payments have largely eliminated the "pain of paying" - the psychological discomfort that cash once provided as a natural spending brake. One-tap checkout and stored credentials mean there is no pause between impulse and purchase. Consumers spend more when paying digitally than with cash (Prelec &amp; Loewenstein, 1998), and impulse purchases account for the majority of e-commerce volume. The problem is structural: digital commerce is built to minimize hesitation. Present bias means users discount future regret in favor of immediate reward, and the removal of physical payment friction leaves nothing to interrupt that pattern. Rethink re-introduces a deliberate pause before payment completion, with AI-generated context drawn from the user's own spending data.</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Target Users</w:t>
      </w:r>
    </w:p>
    <w:p>
      <w:pPr>
        <w:spacing w:after="120" w:before="0" w:line="360" w:lineRule="auto"/>
        <w:jc w:val="both"/>
      </w:pPr>
      <w:r>
        <w:rPr>
          <w:rFonts w:ascii="Times New Roman" w:cs="Times New Roman" w:eastAsia="Times New Roman" w:hAnsi="Times New Roman"/>
          <w:sz w:val="24"/>
          <w:szCs w:val="24"/>
        </w:rPr>
        <w:t xml:space="preserve">The primary audience is adults aged 18-40 who regularly pay via mobile wallet, app checkout, or online shopping. This group faces the highest exposure to UX designed to reduce purchase hesitation. The approach is not category-specific: the AI adapts its intervention to the user's own behavioral history, regardless of what they are buying.</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Behavioral Diagnosis (COM-B)</w:t>
      </w:r>
    </w:p>
    <w:p>
      <w:pPr>
        <w:spacing w:after="120" w:before="0" w:line="360" w:lineRule="auto"/>
        <w:jc w:val="both"/>
      </w:pPr>
      <w:r>
        <w:rPr>
          <w:rFonts w:ascii="Times New Roman" w:cs="Times New Roman" w:eastAsia="Times New Roman" w:hAnsi="Times New Roman"/>
          <w:sz w:val="24"/>
          <w:szCs w:val="24"/>
        </w:rPr>
        <w:t xml:space="preserve">Using the COM-B model (Michie et al., 2011), three behavioral barriers explain why impulsive digital spending persists:</w:t>
      </w:r>
    </w:p>
    <w:p>
      <w:pPr>
        <w:spacing w:after="80" w:before="80"/>
      </w:pPr>
      <w:r>
        <w:t xml:space="preserve"/>
      </w:r>
    </w:p>
    <w:tbl>
      <w:tblPr>
        <w:tblW w:type="dxa" w:w="12614"/>
        <w:tblBorders>
          <w:top w:val="single" w:color="auto" w:sz="4"/>
          <w:left w:val="single" w:color="auto" w:sz="4"/>
          <w:bottom w:val="single" w:color="auto" w:sz="4"/>
          <w:right w:val="single" w:color="auto" w:sz="4"/>
          <w:insideH w:val="single" w:color="auto" w:sz="4"/>
          <w:insideV w:val="single" w:color="auto" w:sz="4"/>
        </w:tblBorders>
      </w:tblPr>
      <w:tblGrid>
        <w:gridCol w:w="4032"/>
        <w:gridCol w:w="8582"/>
      </w:tblGrid>
      <w:tr>
        <w:tc>
          <w:tcPr>
            <w:tcW w:type="dxa" w:w="40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COM-B Component</w:t>
            </w:r>
          </w:p>
        </w:tc>
        <w:tc>
          <w:tcPr>
            <w:tcW w:type="dxa" w:w="40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sz w:val="22"/>
                <w:szCs w:val="22"/>
              </w:rPr>
              <w:t xml:space="preserve">Behavioral Barrier</w:t>
            </w:r>
          </w:p>
        </w:tc>
      </w:tr>
      <w:tr>
        <w:tc>
          <w:tcPr>
            <w:tcW w:type="dxa" w:w="403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Capability (Psychological)</w:t>
            </w:r>
          </w:p>
        </w:tc>
        <w:tc>
          <w:tcPr>
            <w:tcW w:type="dxa" w:w="85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Users lack real-time awareness of spending patterns relative to their baseline. Individual transactions feel inconsequential, making it hard to connect them to aggregate financial outcomes.</w:t>
            </w:r>
          </w:p>
        </w:tc>
      </w:tr>
      <w:tr>
        <w:tc>
          <w:tcPr>
            <w:tcW w:type="dxa" w:w="403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Opportunity (Physical)</w:t>
            </w:r>
          </w:p>
        </w:tc>
        <w:tc>
          <w:tcPr>
            <w:tcW w:type="dxa" w:w="85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Frictionless UX removes natural decision points. One-tap checkout, saved credentials, and 24/7 availability eliminate the pauses that cash or card-swipe once provided.</w:t>
            </w:r>
          </w:p>
        </w:tc>
      </w:tr>
      <w:tr>
        <w:tc>
          <w:tcPr>
            <w:tcW w:type="dxa" w:w="403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Motivation (Automatic)</w:t>
            </w:r>
          </w:p>
        </w:tc>
        <w:tc>
          <w:tcPr>
            <w:tcW w:type="dxa" w:w="85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Present bias causes users to overweight immediate rewards over future wellbeing. Dopamine responses to desired items override rational deliberation.</w:t>
            </w:r>
          </w:p>
        </w:tc>
      </w:tr>
    </w:tbl>
    <w:p>
      <w:pPr>
        <w:spacing w:after="80" w:before="80"/>
      </w:pPr>
      <w:r>
        <w:t xml:space="preserve"/>
      </w:r>
    </w:p>
    <w:p>
      <w:pPr>
        <w:spacing w:after="120" w:before="0" w:line="360" w:lineRule="auto"/>
        <w:jc w:val="both"/>
      </w:pPr>
      <w:r>
        <w:rPr>
          <w:rFonts w:ascii="Times New Roman" w:cs="Times New Roman" w:eastAsia="Times New Roman" w:hAnsi="Times New Roman"/>
          <w:sz w:val="24"/>
          <w:szCs w:val="24"/>
        </w:rPr>
        <w:t xml:space="preserve">Capability - Psychological: Users typically lack real-time awareness of how a given purchase fits their spending pattern. Each transaction feels small in isolation; the cumulative effect is rarely visible until after the fact.</w:t>
      </w:r>
    </w:p>
    <w:p>
      <w:pPr>
        <w:spacing w:after="120" w:before="0" w:line="360" w:lineRule="auto"/>
        <w:jc w:val="both"/>
      </w:pPr>
      <w:r>
        <w:rPr>
          <w:rFonts w:ascii="Times New Roman" w:cs="Times New Roman" w:eastAsia="Times New Roman" w:hAnsi="Times New Roman"/>
          <w:sz w:val="24"/>
          <w:szCs w:val="24"/>
        </w:rPr>
        <w:t xml:space="preserve">Opportunity - Physical: The payment environment is built to eliminate hesitation. One-tap checkout and saved credentials remove the natural pause that physically handing over cash once imposed. Purchases are available at any hour, with no cooling-off period built into the experience.</w:t>
      </w:r>
    </w:p>
    <w:p>
      <w:pPr>
        <w:spacing w:after="120" w:before="0" w:line="360" w:lineRule="auto"/>
        <w:jc w:val="both"/>
      </w:pPr>
      <w:r>
        <w:rPr>
          <w:rFonts w:ascii="Times New Roman" w:cs="Times New Roman" w:eastAsia="Times New Roman" w:hAnsi="Times New Roman"/>
          <w:sz w:val="24"/>
          <w:szCs w:val="24"/>
        </w:rPr>
        <w:t xml:space="preserve">Motivation - Automatic: Present bias (Laibson, 1997) causes the immediate appeal of a purchase to outweigh its future cost. The dopamine response to a desired item tends to override slower, deliberate reasoning. Emotional states such as stress or boredom reinforce this by increasing impulsivity at the moment of purchase.</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Intervention Design (BCW)</w:t>
      </w:r>
    </w:p>
    <w:p>
      <w:pPr>
        <w:spacing w:after="120" w:before="0" w:line="360" w:lineRule="auto"/>
        <w:jc w:val="left"/>
      </w:pPr>
      <w:r>
        <w:rPr>
          <w:rFonts w:ascii="Times New Roman" w:cs="Times New Roman" w:eastAsia="Times New Roman" w:hAnsi="Times New Roman"/>
          <w:sz w:val="24"/>
          <w:szCs w:val="24"/>
        </w:rPr>
        <w:t xml:space="preserve">Drawing on the Behaviour Change Wheel (Michie et al., 2011), we considered three intervention approaches:</w:t>
      </w:r>
    </w:p>
    <w:p>
      <w:pPr>
        <w:spacing w:after="80" w:before="80"/>
      </w:pPr>
      <w:r>
        <w:t xml:space="preserve"/>
      </w:r>
    </w:p>
    <w:p>
      <w:pPr>
        <w:spacing w:after="80" w:before="80" w:line="360" w:lineRule="auto"/>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Environmental Restructuring:</w:t>
      </w:r>
      <w:r>
        <w:rPr>
          <w:rFonts w:ascii="Times New Roman" w:cs="Times New Roman" w:eastAsia="Times New Roman" w:hAnsi="Times New Roman"/>
          <w:sz w:val="24"/>
          <w:szCs w:val="24"/>
        </w:rPr>
        <w:t xml:space="preserve"> A mandatory pause before payment completes. This adds friction to a frictionless environment, creating a decision window where none existed before.</w:t>
      </w:r>
    </w:p>
    <w:p>
      <w:pPr>
        <w:spacing w:after="80" w:before="80" w:line="360" w:lineRule="auto"/>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Education / Enablement:</w:t>
      </w:r>
      <w:r>
        <w:rPr>
          <w:rFonts w:ascii="Times New Roman" w:cs="Times New Roman" w:eastAsia="Times New Roman" w:hAnsi="Times New Roman"/>
          <w:sz w:val="24"/>
          <w:szCs w:val="24"/>
        </w:rPr>
        <w:t xml:space="preserve"> Show the user relevant spending data during the pause - how this purchase fits against their weekly average, remaining category budget, and running total. The information already exists in their transaction history; the problem is that it is not visible at the moment of purchase.</w:t>
      </w:r>
    </w:p>
    <w:p>
      <w:pPr>
        <w:spacing w:after="80" w:before="80" w:line="360" w:lineRule="auto"/>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Persuasion:</w:t>
      </w:r>
      <w:r>
        <w:rPr>
          <w:rFonts w:ascii="Times New Roman" w:cs="Times New Roman" w:eastAsia="Times New Roman" w:hAnsi="Times New Roman"/>
          <w:sz w:val="24"/>
          <w:szCs w:val="24"/>
        </w:rPr>
        <w:t xml:space="preserve"> Rather than a generic warning, the AI generates a message tied to the user's own history - for example, 'You returned a similar item last month' or 'At your salary, this is about 3 hours of work.' Personal data is more likely to shift a decision than an abstract caution.</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Decision Rationale (APEASE)</w:t>
      </w:r>
    </w:p>
    <w:p>
      <w:pPr>
        <w:spacing w:after="120" w:before="0" w:line="360" w:lineRule="auto"/>
        <w:jc w:val="left"/>
      </w:pPr>
      <w:r>
        <w:rPr>
          <w:rFonts w:ascii="Times New Roman" w:cs="Times New Roman" w:eastAsia="Times New Roman" w:hAnsi="Times New Roman"/>
          <w:sz w:val="24"/>
          <w:szCs w:val="24"/>
        </w:rPr>
        <w:t xml:space="preserve">The selected intervention combines Environmental Restructuring (temporal friction) with AI-driven Education and Persuasion. Evaluated using the APEASE framework:</w:t>
      </w:r>
    </w:p>
    <w:p>
      <w:pPr>
        <w:spacing w:after="80" w:before="80"/>
      </w:pPr>
      <w:r>
        <w:t xml:space="preserve"/>
      </w:r>
    </w:p>
    <w:tbl>
      <w:tblPr>
        <w:tblW w:type="dxa" w:w="12614"/>
        <w:tblBorders>
          <w:top w:val="single" w:color="auto" w:sz="4"/>
          <w:left w:val="single" w:color="auto" w:sz="4"/>
          <w:bottom w:val="single" w:color="auto" w:sz="4"/>
          <w:right w:val="single" w:color="auto" w:sz="4"/>
          <w:insideH w:val="single" w:color="auto" w:sz="4"/>
          <w:insideV w:val="single" w:color="auto" w:sz="4"/>
        </w:tblBorders>
      </w:tblPr>
      <w:tblGrid>
        <w:gridCol w:w="2102"/>
        <w:gridCol w:w="1152"/>
        <w:gridCol w:w="9360"/>
      </w:tblGrid>
      <w:tr>
        <w:tc>
          <w:tcPr>
            <w:tcW w:type="dxa" w:w="210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Criterion</w:t>
            </w:r>
          </w:p>
        </w:tc>
        <w:tc>
          <w:tcPr>
            <w:tcW w:type="dxa" w:w="210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Score</w:t>
            </w:r>
          </w:p>
        </w:tc>
        <w:tc>
          <w:tcPr>
            <w:tcW w:type="dxa" w:w="210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Rationale</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Affordability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Software-only; no physical infrastructure required.</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Practicability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Implementable as mobile overlay via iOS/Android payment SDKs.</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Effectiveness</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Temporal friction reduces impulsive choice; supported by experimental evidence (Frederick et al., 2002).</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Acceptability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Opt-in; user retains full control and may override at any point.</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Side-effects</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Low</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 coercion; friction applies only to discretionary purchases.</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Equity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Applicable across all income levels; requires only a smartphone.</w:t>
            </w:r>
          </w:p>
        </w:tc>
      </w:tr>
    </w:tbl>
    <w:p>
      <w:pPr>
        <w:spacing w:after="80" w:before="80"/>
      </w:pPr>
      <w:r>
        <w:t xml:space="preserve"/>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AI Functionality</w:t>
      </w:r>
    </w:p>
    <w:p>
      <w:pPr>
        <w:spacing w:after="120" w:before="0" w:line="360" w:lineRule="auto"/>
        <w:jc w:val="left"/>
      </w:pPr>
      <w:r>
        <w:rPr>
          <w:rFonts w:ascii="Times New Roman" w:cs="Times New Roman" w:eastAsia="Times New Roman" w:hAnsi="Times New Roman"/>
          <w:sz w:val="24"/>
          <w:szCs w:val="24"/>
        </w:rPr>
        <w:t xml:space="preserve">The AI layer is what separates Rethink from a simple timer. It does two things:</w:t>
      </w:r>
    </w:p>
    <w:p>
      <w:pPr>
        <w:spacing w:after="80" w:before="80"/>
      </w:pPr>
      <w:r>
        <w:t xml:space="preserve"/>
      </w:r>
    </w:p>
    <w:p>
      <w:pPr>
        <w:spacing w:after="80" w:before="80" w:line="360" w:lineRule="auto"/>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Dynamic Delay Calibration:</w:t>
      </w:r>
      <w:r>
        <w:rPr>
          <w:rFonts w:ascii="Times New Roman" w:cs="Times New Roman" w:eastAsia="Times New Roman" w:hAnsi="Times New Roman"/>
          <w:sz w:val="24"/>
          <w:szCs w:val="24"/>
        </w:rPr>
        <w:t xml:space="preserve"> The AI determines how long to pause based on purchase amount, spending category, velocity, deviation from the user's baseline, and time of day. A routine grocery purchase might get a 10-second pause. An out-of-pattern discretionary purchase gets a 24-hour hold. The delay is scaled to the situation, not applied uniformly across all transactions.</w:t>
      </w:r>
    </w:p>
    <w:p>
      <w:pPr>
        <w:spacing w:after="80" w:before="80" w:line="360" w:lineRule="auto"/>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Personalized Insight Generation:</w:t>
      </w:r>
      <w:r>
        <w:rPr>
          <w:rFonts w:ascii="Times New Roman" w:cs="Times New Roman" w:eastAsia="Times New Roman" w:hAnsi="Times New Roman"/>
          <w:sz w:val="24"/>
          <w:szCs w:val="24"/>
        </w:rPr>
        <w:t xml:space="preserve"> During the pause, the AI displays 1-2 pieces of context from the user's own transaction history - for example: 'You have used 85% of your shopping budget this month,' '4th delivery order this week,' or 'At your salary, this is about 2.5 hours of work.' The model tracks which message types are associated with a change in decision, and adjusts its framing over time.</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User Flow / Experience</w:t>
      </w:r>
    </w:p>
    <w:p>
      <w:pPr>
        <w:spacing w:after="120" w:before="0" w:line="360" w:lineRule="auto"/>
        <w:jc w:val="left"/>
      </w:pPr>
      <w:r>
        <w:rPr>
          <w:rFonts w:ascii="Times New Roman" w:cs="Times New Roman" w:eastAsia="Times New Roman" w:hAnsi="Times New Roman"/>
          <w:sz w:val="24"/>
          <w:szCs w:val="24"/>
        </w:rPr>
        <w:t xml:space="preserve">The intervention activates at the point of payment:</w:t>
      </w:r>
    </w:p>
    <w:p>
      <w:pPr>
        <w:spacing w:after="80" w:before="80"/>
      </w:pPr>
      <w:r>
        <w:t xml:space="preserve"/>
      </w:r>
    </w:p>
    <w:p>
      <w:pPr>
        <w:spacing w:after="60" w:before="6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user initiates a digital payment (in-app, mobile wallet, or browser checkout).</w:t>
      </w:r>
    </w:p>
    <w:p>
      <w:pPr>
        <w:spacing w:after="60" w:before="6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Rethink overlay appears immediately, before payment confirmation.</w:t>
      </w:r>
    </w:p>
    <w:p>
      <w:pPr>
        <w:spacing w:after="60" w:before="6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countdown timer shows the AI-determined delay, alongside a personalized insight card.</w:t>
      </w:r>
    </w:p>
    <w:p>
      <w:pPr>
        <w:spacing w:after="60" w:before="6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user sees three options: Complete Payment (available after the delay), Save to 24-Hour Wishlist, or Cancel.</w:t>
      </w:r>
    </w:p>
    <w:p>
      <w:pPr>
        <w:spacing w:after="60" w:before="6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If saved to the wishlist, a re-evaluation prompt arrives after 24 hours - by which point the immediate impulse has usually passed.</w:t>
      </w:r>
    </w:p>
    <w:p>
      <w:pPr>
        <w:spacing w:after="60" w:before="6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decision is logged and fed back into the AI model, improving calibration for that user's future interactions.</w:t>
      </w:r>
    </w:p>
    <w:p>
      <w:pPr>
        <w:spacing w:after="80" w:before="80"/>
      </w:pPr>
      <w:r>
        <w:t xml:space="preserve"/>
      </w:r>
    </w:p>
    <w:p>
      <w:pPr>
        <w:spacing w:after="120" w:before="0" w:line="360" w:lineRule="auto"/>
        <w:jc w:val="both"/>
      </w:pPr>
      <w:r>
        <w:rPr>
          <w:rFonts w:ascii="Times New Roman" w:cs="Times New Roman" w:eastAsia="Times New Roman" w:hAnsi="Times New Roman"/>
          <w:sz w:val="24"/>
          <w:szCs w:val="24"/>
        </w:rPr>
        <w:t xml:space="preserve">The design preserves user choice throughout: payment is never blocked, only delayed. The goal is to give the reflective system time to catch up with the impulse, not to prevent the purchase.</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Success Metrics</w:t>
      </w:r>
    </w:p>
    <w:p>
      <w:pPr>
        <w:spacing w:after="120" w:before="0" w:line="360" w:lineRule="auto"/>
        <w:jc w:val="left"/>
      </w:pPr>
      <w:r>
        <w:rPr>
          <w:rFonts w:ascii="Times New Roman" w:cs="Times New Roman" w:eastAsia="Times New Roman" w:hAnsi="Times New Roman"/>
          <w:sz w:val="24"/>
          <w:szCs w:val="24"/>
        </w:rPr>
        <w:t xml:space="preserve">Following the Test, Learn, Adapt framework, Rethink's effectiveness will be evaluated through:</w:t>
      </w:r>
    </w:p>
    <w:p>
      <w:pPr>
        <w:spacing w:after="80" w:before="80"/>
      </w:pPr>
      <w:r>
        <w:t xml:space="preserve"/>
      </w:r>
    </w:p>
    <w:p>
      <w:pPr>
        <w:spacing w:after="80" w:before="80" w:line="360" w:lineRule="auto"/>
      </w:pPr>
      <w:r>
        <w:rPr>
          <w:rFonts w:ascii="Times New Roman" w:cs="Times New Roman" w:eastAsia="Times New Roman" w:hAnsi="Times New Roman"/>
          <w:b/>
          <w:bCs/>
          <w:sz w:val="24"/>
          <w:szCs w:val="24"/>
        </w:rPr>
        <w:t xml:space="preserve">Primary Metric - Reconsideration Rate: </w:t>
      </w:r>
      <w:r>
        <w:rPr>
          <w:rFonts w:ascii="Times New Roman" w:cs="Times New Roman" w:eastAsia="Times New Roman" w:hAnsi="Times New Roman"/>
          <w:sz w:val="24"/>
          <w:szCs w:val="24"/>
        </w:rPr>
        <w:t xml:space="preserve">The percentage of triggered delay sessions where the user defers or cancels rather than completes the payment immediately. Target: &gt;=20% reconsideration rate within 60 days of onboarding.</w:t>
      </w:r>
    </w:p>
    <w:p>
      <w:pPr>
        <w:spacing w:after="80" w:before="80" w:line="360" w:lineRule="auto"/>
      </w:pPr>
      <w:r>
        <w:rPr>
          <w:rFonts w:ascii="Times New Roman" w:cs="Times New Roman" w:eastAsia="Times New Roman" w:hAnsi="Times New Roman"/>
          <w:b/>
          <w:bCs/>
          <w:sz w:val="24"/>
          <w:szCs w:val="24"/>
        </w:rPr>
        <w:t xml:space="preserve">Secondary Metric - Financial Wellbeing Score: </w:t>
      </w:r>
      <w:r>
        <w:rPr>
          <w:rFonts w:ascii="Times New Roman" w:cs="Times New Roman" w:eastAsia="Times New Roman" w:hAnsi="Times New Roman"/>
          <w:sz w:val="24"/>
          <w:szCs w:val="24"/>
        </w:rPr>
        <w:t xml:space="preserve">Monthly user-reported satisfaction with spending behavior (1-10 scale). Target: statistically significant improvement at 90 days.</w:t>
      </w:r>
    </w:p>
    <w:p>
      <w:pPr>
        <w:spacing w:after="80" w:before="80" w:line="360" w:lineRule="auto"/>
      </w:pPr>
      <w:r>
        <w:rPr>
          <w:rFonts w:ascii="Times New Roman" w:cs="Times New Roman" w:eastAsia="Times New Roman" w:hAnsi="Times New Roman"/>
          <w:b/>
          <w:bCs/>
          <w:sz w:val="24"/>
          <w:szCs w:val="24"/>
        </w:rPr>
        <w:t xml:space="preserve">Behavioral Metric - Spending Trend: </w:t>
      </w:r>
      <w:r>
        <w:rPr>
          <w:rFonts w:ascii="Times New Roman" w:cs="Times New Roman" w:eastAsia="Times New Roman" w:hAnsi="Times New Roman"/>
          <w:sz w:val="24"/>
          <w:szCs w:val="24"/>
        </w:rPr>
        <w:t xml:space="preserve">Aggregate discretionary spending change in connected accounts over a 90-day intervention period versus a matched control group.</w:t>
      </w:r>
    </w:p>
    <w:p>
      <w:pPr>
        <w:spacing w:after="80" w:before="80" w:line="360" w:lineRule="auto"/>
      </w:pPr>
      <w:r>
        <w:rPr>
          <w:rFonts w:ascii="Times New Roman" w:cs="Times New Roman" w:eastAsia="Times New Roman" w:hAnsi="Times New Roman"/>
          <w:b/>
          <w:bCs/>
          <w:sz w:val="24"/>
          <w:szCs w:val="24"/>
        </w:rPr>
        <w:t xml:space="preserve">Experimental Design - A/B Test: </w:t>
      </w:r>
      <w:r>
        <w:rPr>
          <w:rFonts w:ascii="Times New Roman" w:cs="Times New Roman" w:eastAsia="Times New Roman" w:hAnsi="Times New Roman"/>
          <w:sz w:val="24"/>
          <w:szCs w:val="24"/>
        </w:rPr>
        <w:t xml:space="preserve">8-week randomized trial comparing the full Rethink intervention (delay + AI insight) against: a control condition (no friction) and a partial condition (delay only, no AI personalization). This design isolates the contribution of the AI layer.</w:t>
      </w:r>
    </w:p>
    <w:p>
      <w:pPr>
        <w:spacing w:after="80" w:before="80" w:line="360" w:lineRule="auto"/>
      </w:pPr>
      <w:r>
        <w:rPr>
          <w:rFonts w:ascii="Times New Roman" w:cs="Times New Roman" w:eastAsia="Times New Roman" w:hAnsi="Times New Roman"/>
          <w:b/>
          <w:bCs/>
          <w:sz w:val="24"/>
          <w:szCs w:val="24"/>
        </w:rPr>
        <w:t xml:space="preserve">Adaptation: </w:t>
      </w:r>
      <w:r>
        <w:rPr>
          <w:rFonts w:ascii="Times New Roman" w:cs="Times New Roman" w:eastAsia="Times New Roman" w:hAnsi="Times New Roman"/>
          <w:sz w:val="24"/>
          <w:szCs w:val="24"/>
        </w:rPr>
        <w:t xml:space="preserve">A/B results will feed into monthly model updates, primarily threshold adjustments and message framing changes based on what actually shifted decisions.</w:t>
      </w:r>
    </w:p>
    <w:p>
      <w:pPr>
        <w:spacing w:after="80" w:before="80"/>
      </w:pPr>
      <w:r>
        <w:t xml:space="preserve"/>
      </w:r>
    </w:p>
    <w:p>
      <w:r>
        <w:br w:type="page"/>
      </w:r>
    </w:p>
    <w:p>
      <w:pPr>
        <w:spacing w:after="240" w:before="0"/>
      </w:pPr>
      <w:r>
        <w:rPr>
          <w:rFonts w:ascii="Times New Roman" w:cs="Times New Roman" w:eastAsia="Times New Roman" w:hAnsi="Times New Roman"/>
          <w:b/>
          <w:bCs/>
          <w:sz w:val="28"/>
          <w:szCs w:val="28"/>
        </w:rPr>
        <w:t xml:space="preserve">References</w:t>
      </w:r>
    </w:p>
    <w:p>
      <w:pPr>
        <w:spacing w:after="60" w:before="60" w:line="360" w:lineRule="auto"/>
        <w:ind w:left="720" w:hanging="720"/>
      </w:pPr>
      <w:r>
        <w:rPr>
          <w:rFonts w:ascii="Times New Roman" w:cs="Times New Roman" w:eastAsia="Times New Roman" w:hAnsi="Times New Roman"/>
          <w:sz w:val="24"/>
          <w:szCs w:val="24"/>
        </w:rPr>
        <w:t xml:space="preserve">Frederick, S., Loewenstein, G., &amp; O'Donoghue, T. (2002). Time discounting and time preference: A critical review. Journal of Economic Literature, 40(2), 351-401.</w:t>
      </w:r>
    </w:p>
    <w:p>
      <w:pPr>
        <w:spacing w:after="60" w:before="60" w:line="360" w:lineRule="auto"/>
        <w:ind w:left="720" w:hanging="720"/>
      </w:pPr>
      <w:r>
        <w:rPr>
          <w:rFonts w:ascii="Times New Roman" w:cs="Times New Roman" w:eastAsia="Times New Roman" w:hAnsi="Times New Roman"/>
          <w:sz w:val="24"/>
          <w:szCs w:val="24"/>
        </w:rPr>
        <w:t xml:space="preserve">Laibson, D. (1997). Golden eggs and hyperbolic discounting. Quarterly Journal of Economics, 112(2), 443-478.</w:t>
      </w:r>
    </w:p>
    <w:p>
      <w:pPr>
        <w:spacing w:after="60" w:before="60" w:line="360" w:lineRule="auto"/>
        <w:ind w:left="720" w:hanging="720"/>
      </w:pPr>
      <w:r>
        <w:rPr>
          <w:rFonts w:ascii="Times New Roman" w:cs="Times New Roman" w:eastAsia="Times New Roman" w:hAnsi="Times New Roman"/>
          <w:sz w:val="24"/>
          <w:szCs w:val="24"/>
        </w:rPr>
        <w:t xml:space="preserve">Michie, S., van Stralen, M. M., &amp; West, R. (2011). The behaviour change wheel: A new method for characterising and designing behaviour change interventions. Implementation Science, 6(1), 42.</w:t>
      </w:r>
    </w:p>
    <w:p>
      <w:pPr>
        <w:spacing w:after="60" w:before="60" w:line="360" w:lineRule="auto"/>
        <w:ind w:left="720" w:hanging="720"/>
      </w:pPr>
      <w:r>
        <w:rPr>
          <w:rFonts w:ascii="Times New Roman" w:cs="Times New Roman" w:eastAsia="Times New Roman" w:hAnsi="Times New Roman"/>
          <w:sz w:val="24"/>
          <w:szCs w:val="24"/>
        </w:rPr>
        <w:t xml:space="preserve">Prelec, D., &amp; Loewenstein, G. (1998). The red and the black: Mental accounting of savings and debt. Marketing Science, 17(1), 4-28.</w:t>
      </w:r>
    </w:p>
    <w:p>
      <w:r>
        <w:br w:type="page"/>
      </w:r>
    </w:p>
    <w:p>
      <w:pPr>
        <w:spacing w:after="240" w:before="0"/>
      </w:pPr>
      <w:r>
        <w:rPr>
          <w:rFonts w:ascii="Times New Roman" w:cs="Times New Roman" w:eastAsia="Times New Roman" w:hAnsi="Times New Roman"/>
          <w:b/>
          <w:bCs/>
          <w:sz w:val="28"/>
          <w:szCs w:val="28"/>
        </w:rPr>
        <w:t xml:space="preserve">Appendix A - Prototype Links</w:t>
      </w:r>
    </w:p>
    <w:p>
      <w:pPr>
        <w:spacing w:after="80" w:before="0" w:line="360" w:lineRule="auto"/>
      </w:pPr>
      <w:r>
        <w:rPr>
          <w:rFonts w:ascii="Times New Roman" w:cs="Times New Roman" w:eastAsia="Times New Roman" w:hAnsi="Times New Roman"/>
          <w:b/>
          <w:bCs/>
          <w:sz w:val="24"/>
          <w:szCs w:val="24"/>
        </w:rPr>
        <w:t xml:space="preserve">Deliverable 1 - Interactive AI Prototype (Gemini Gem):</w:t>
      </w:r>
    </w:p>
    <w:p>
      <w:pPr>
        <w:spacing w:after="160" w:before="0" w:line="360" w:lineRule="auto"/>
      </w:pPr>
      <w:hyperlink w:history="1" r:id="rIdi4hhilh_u1mhg4msntthd">
        <w:r>
          <w:rPr>
            <w:rStyle w:val="Hyperlink"/>
            <w:rFonts w:ascii="Times New Roman" w:cs="Times New Roman" w:eastAsia="Times New Roman" w:hAnsi="Times New Roman"/>
            <w:sz w:val="24"/>
            <w:szCs w:val="24"/>
          </w:rPr>
          <w:t xml:space="preserve">https://gemini.google.com/gem/1WwqGORaWVksUwKFTtLhQpZyno7uWGF_K?usp=sharing</w:t>
        </w:r>
      </w:hyperlink>
    </w:p>
    <w:p>
      <w:pPr>
        <w:spacing w:after="120" w:before="0" w:line="360" w:lineRule="auto"/>
        <w:jc w:val="left"/>
      </w:pPr>
      <w:r>
        <w:rPr>
          <w:rFonts w:ascii="Times New Roman" w:cs="Times New Roman" w:eastAsia="Times New Roman" w:hAnsi="Times New Roman"/>
          <w:sz w:val="24"/>
          <w:szCs w:val="24"/>
        </w:rPr>
        <w:t xml:space="preserve">The Rethink AI Gem is a working behavioral-economics AI built on Google Gemini. It receives a purchase description, identifies the behavioral archetype (Impulsive / Emotional / Cumulative / Aligned), applies the appropriate intervention logic (Future-Self Bridge, Trigger Nudge, Loss Frame, or Affirmation), and returns a personalised delay recommendation with an AI-generated insight, exactly as the real app would. No account required; accessible via the link above.</w:t>
      </w:r>
    </w:p>
    <w:p>
      <w:pPr>
        <w:spacing w:after="80" w:before="80"/>
      </w:pPr>
      <w:r>
        <w:t xml:space="preserve"/>
      </w:r>
    </w:p>
    <w:p>
      <w:pPr>
        <w:spacing w:after="80" w:before="0" w:line="360" w:lineRule="auto"/>
      </w:pPr>
      <w:r>
        <w:rPr>
          <w:rFonts w:ascii="Times New Roman" w:cs="Times New Roman" w:eastAsia="Times New Roman" w:hAnsi="Times New Roman"/>
          <w:b/>
          <w:bCs/>
          <w:sz w:val="24"/>
          <w:szCs w:val="24"/>
        </w:rPr>
        <w:t xml:space="preserve">Deliverable 2 - Interactive Mockup Website:</w:t>
      </w:r>
    </w:p>
    <w:p>
      <w:pPr>
        <w:spacing w:after="160" w:before="0" w:line="360" w:lineRule="auto"/>
      </w:pPr>
      <w:hyperlink w:history="1" r:id="rIdmanoimo8mcn0cz-3u4u1v">
        <w:r>
          <w:rPr>
            <w:rStyle w:val="Hyperlink"/>
            <w:rFonts w:ascii="Times New Roman" w:cs="Times New Roman" w:eastAsia="Times New Roman" w:hAnsi="Times New Roman"/>
            <w:sz w:val="24"/>
            <w:szCs w:val="24"/>
          </w:rPr>
          <w:t xml:space="preserve">https://yairkatan5-lgtm.github.io/rethink-app/</w:t>
        </w:r>
      </w:hyperlink>
    </w:p>
    <w:p>
      <w:pPr>
        <w:spacing w:after="120" w:before="0" w:line="360" w:lineRule="auto"/>
        <w:jc w:val="left"/>
      </w:pPr>
      <w:r>
        <w:rPr>
          <w:rFonts w:ascii="Times New Roman" w:cs="Times New Roman" w:eastAsia="Times New Roman" w:hAnsi="Times New Roman"/>
          <w:sz w:val="24"/>
          <w:szCs w:val="24"/>
        </w:rPr>
        <w:t xml:space="preserve">A fully animated product mockup website demonstrating all sections of the Rethink app: animated phone mockup with live countdown timer, four behavioral archetype scenarios (Impulsive / Emotional / Cumulative / Aligned) with personalised AI insights, the four-pillar behavioral science framework (Loss Aversion, Mental Accounting, Future-Self Continuity, Present Bias), COM-B diagnosis, user flow, and the full product narrative.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4hhilh_u1mhg4msntthd" Type="http://schemas.openxmlformats.org/officeDocument/2006/relationships/hyperlink" Target="https://gemini.google.com/gem/1WwqGORaWVksUwKFTtLhQpZyno7uWGF_K?usp=sharing" TargetMode="External"/><Relationship Id="rIdmanoimo8mcn0cz-3u4u1v" Type="http://schemas.openxmlformats.org/officeDocument/2006/relationships/hyperlink" Target="https://yairkatan5-lgtm.github.io/rethink-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2026-05-14T15:23:41.840Z</dcterms:created>
  <dcterms:modified xsi:type="dcterms:W3CDTF">2026-05-14T15:23:41.852Z</dcterms:modified>
</cp:coreProperties>
</file>

<file path=docProps/custom.xml><?xml version="1.0" encoding="utf-8"?>
<Properties xmlns="http://schemas.openxmlformats.org/officeDocument/2006/custom-properties" xmlns:vt="http://schemas.openxmlformats.org/officeDocument/2006/docPropsVTypes"/>
</file>