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D27F1" w14:textId="07D2C240" w:rsidR="00DC741A" w:rsidRPr="00B324DF" w:rsidRDefault="00540609" w:rsidP="00903FF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  <w:bookmarkStart w:id="0" w:name="_Hlk144220046"/>
      <w:r w:rsidRPr="00B324DF">
        <w:rPr>
          <w:rFonts w:ascii="Arial" w:hAnsi="Arial" w:cs="Arial"/>
          <w:b/>
          <w:bCs/>
          <w:szCs w:val="22"/>
        </w:rPr>
        <w:t>Sub: Evaluation report for Envelope-II (Price) Bids</w:t>
      </w:r>
      <w:r w:rsidR="00AD149A">
        <w:rPr>
          <w:rFonts w:ascii="Arial" w:hAnsi="Arial" w:cs="Arial"/>
          <w:b/>
          <w:bCs/>
          <w:szCs w:val="22"/>
        </w:rPr>
        <w:t xml:space="preserve"> and Award Recommendation</w:t>
      </w:r>
    </w:p>
    <w:p w14:paraId="7D7FF29F" w14:textId="77777777" w:rsidR="00014FA3" w:rsidRDefault="00014FA3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</w:p>
    <w:p w14:paraId="6A704A43" w14:textId="491E592B" w:rsidR="00302E15" w:rsidRPr="00286A3A" w:rsidRDefault="00286A3A" w:rsidP="00286A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  <w:r w:rsidRPr="00286A3A">
        <w:rPr>
          <w:rFonts w:ascii="Arial" w:hAnsi="Arial" w:cs="Arial"/>
          <w:b/>
          <w:bCs/>
          <w:szCs w:val="22"/>
        </w:rPr>
        <w:t>Background</w:t>
      </w:r>
    </w:p>
    <w:p w14:paraId="07D673EF" w14:textId="77777777" w:rsidR="00286A3A" w:rsidRPr="00286A3A" w:rsidRDefault="00286A3A" w:rsidP="00286A3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Cs w:val="22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547"/>
        <w:gridCol w:w="7342"/>
      </w:tblGrid>
      <w:tr w:rsidR="00302E15" w:rsidRPr="00A85940" w14:paraId="492E6CAF" w14:textId="77777777" w:rsidTr="00163E9F">
        <w:tc>
          <w:tcPr>
            <w:tcW w:w="2547" w:type="dxa"/>
          </w:tcPr>
          <w:p w14:paraId="0C60EA05" w14:textId="77777777" w:rsidR="00302E15" w:rsidRPr="00A85940" w:rsidRDefault="00302E15" w:rsidP="00276A14">
            <w:pPr>
              <w:rPr>
                <w:rFonts w:ascii="Arial" w:hAnsi="Arial" w:cs="Arial"/>
              </w:rPr>
            </w:pPr>
            <w:bookmarkStart w:id="1" w:name="_Hlk45369476"/>
            <w:r w:rsidRPr="00A85940">
              <w:rPr>
                <w:rFonts w:ascii="Arial" w:hAnsi="Arial" w:cs="Arial"/>
              </w:rPr>
              <w:t>Package Name</w:t>
            </w:r>
          </w:p>
        </w:tc>
        <w:tc>
          <w:tcPr>
            <w:tcW w:w="7342" w:type="dxa"/>
          </w:tcPr>
          <w:p w14:paraId="7CFE7729" w14:textId="610815F4" w:rsidR="00302E15" w:rsidRPr="00A85940" w:rsidRDefault="00BF0C78" w:rsidP="00276A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{Package_Name}</w:t>
            </w:r>
          </w:p>
        </w:tc>
      </w:tr>
      <w:bookmarkEnd w:id="1"/>
      <w:tr w:rsidR="00302E15" w:rsidRPr="00391138" w14:paraId="781EB00A" w14:textId="77777777" w:rsidTr="00163E9F">
        <w:tc>
          <w:tcPr>
            <w:tcW w:w="2547" w:type="dxa"/>
          </w:tcPr>
          <w:p w14:paraId="150C5B1B" w14:textId="77777777" w:rsidR="00302E15" w:rsidRPr="0073030D" w:rsidRDefault="00302E15" w:rsidP="00276A14">
            <w:pPr>
              <w:rPr>
                <w:rFonts w:ascii="Arial" w:hAnsi="Arial" w:cs="Arial"/>
              </w:rPr>
            </w:pPr>
            <w:r w:rsidRPr="0073030D">
              <w:rPr>
                <w:rFonts w:ascii="Arial" w:hAnsi="Arial" w:cs="Arial"/>
              </w:rPr>
              <w:t>PR No.</w:t>
            </w:r>
          </w:p>
        </w:tc>
        <w:tc>
          <w:tcPr>
            <w:tcW w:w="7342" w:type="dxa"/>
          </w:tcPr>
          <w:p w14:paraId="160FD302" w14:textId="1CCE0218" w:rsidR="00302E15" w:rsidRPr="0073030D" w:rsidRDefault="00163E9F" w:rsidP="00163E9F">
            <w:pPr>
              <w:autoSpaceDE w:val="0"/>
              <w:autoSpaceDN w:val="0"/>
              <w:adjustRightInd w:val="0"/>
              <w:ind w:left="900" w:hanging="900"/>
              <w:jc w:val="both"/>
              <w:rPr>
                <w:rFonts w:ascii="Arial" w:hAnsi="Arial" w:cs="Arial"/>
              </w:rPr>
            </w:pPr>
            <w:r w:rsidRPr="00CF00F7">
              <w:rPr>
                <w:rFonts w:ascii="Arial" w:hAnsi="Arial" w:cs="Arial"/>
                <w:b/>
                <w:bCs/>
              </w:rPr>
              <w:t>400049447</w:t>
            </w:r>
          </w:p>
        </w:tc>
      </w:tr>
      <w:tr w:rsidR="00302E15" w:rsidRPr="00391138" w14:paraId="6670178A" w14:textId="77777777" w:rsidTr="00163E9F">
        <w:tc>
          <w:tcPr>
            <w:tcW w:w="2547" w:type="dxa"/>
          </w:tcPr>
          <w:p w14:paraId="4C54784D" w14:textId="77777777" w:rsidR="00302E15" w:rsidRPr="0073030D" w:rsidRDefault="00302E15" w:rsidP="00276A14">
            <w:pPr>
              <w:rPr>
                <w:rFonts w:ascii="Arial" w:hAnsi="Arial" w:cs="Arial"/>
              </w:rPr>
            </w:pPr>
            <w:proofErr w:type="spellStart"/>
            <w:r w:rsidRPr="0073030D">
              <w:rPr>
                <w:rFonts w:ascii="Arial" w:hAnsi="Arial" w:cs="Arial"/>
              </w:rPr>
              <w:t>GeM</w:t>
            </w:r>
            <w:proofErr w:type="spellEnd"/>
            <w:r w:rsidRPr="0073030D">
              <w:rPr>
                <w:rFonts w:ascii="Arial" w:hAnsi="Arial" w:cs="Arial"/>
              </w:rPr>
              <w:t xml:space="preserve"> Bid Ref. No.</w:t>
            </w:r>
          </w:p>
        </w:tc>
        <w:tc>
          <w:tcPr>
            <w:tcW w:w="7342" w:type="dxa"/>
          </w:tcPr>
          <w:p w14:paraId="5F9807CC" w14:textId="55EC5BBC" w:rsidR="00302E15" w:rsidRPr="0073030D" w:rsidRDefault="00163E9F" w:rsidP="00276A14">
            <w:pPr>
              <w:rPr>
                <w:rFonts w:ascii="Arial" w:hAnsi="Arial" w:cs="Arial"/>
              </w:rPr>
            </w:pPr>
            <w:r w:rsidRPr="00985318">
              <w:rPr>
                <w:rFonts w:ascii="Arial" w:hAnsi="Arial" w:cs="Arial"/>
              </w:rPr>
              <w:t>GEM/2023/B/4006100</w:t>
            </w:r>
          </w:p>
        </w:tc>
      </w:tr>
      <w:tr w:rsidR="00302E15" w:rsidRPr="00391138" w14:paraId="3146A599" w14:textId="77777777" w:rsidTr="00163E9F">
        <w:tc>
          <w:tcPr>
            <w:tcW w:w="2547" w:type="dxa"/>
          </w:tcPr>
          <w:p w14:paraId="754401B1" w14:textId="77777777" w:rsidR="00302E15" w:rsidRPr="0073030D" w:rsidRDefault="00302E15" w:rsidP="00276A14">
            <w:pPr>
              <w:rPr>
                <w:rFonts w:ascii="Arial" w:hAnsi="Arial" w:cs="Arial"/>
              </w:rPr>
            </w:pPr>
            <w:r w:rsidRPr="0073030D">
              <w:rPr>
                <w:rFonts w:ascii="Arial" w:hAnsi="Arial" w:cs="Arial"/>
              </w:rPr>
              <w:t>Cost Estimate</w:t>
            </w:r>
          </w:p>
        </w:tc>
        <w:tc>
          <w:tcPr>
            <w:tcW w:w="7342" w:type="dxa"/>
          </w:tcPr>
          <w:p w14:paraId="58402E8C" w14:textId="66D25507" w:rsidR="00302E15" w:rsidRPr="0073030D" w:rsidRDefault="00163E9F" w:rsidP="00A529EB">
            <w:pPr>
              <w:autoSpaceDE w:val="0"/>
              <w:autoSpaceDN w:val="0"/>
              <w:adjustRightInd w:val="0"/>
              <w:ind w:left="3" w:hanging="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INR 1,76,34,955 (Excl GST)</w:t>
            </w:r>
          </w:p>
        </w:tc>
      </w:tr>
      <w:tr w:rsidR="00302E15" w:rsidRPr="00391138" w14:paraId="3E7741E4" w14:textId="77777777" w:rsidTr="00163E9F">
        <w:tc>
          <w:tcPr>
            <w:tcW w:w="2547" w:type="dxa"/>
          </w:tcPr>
          <w:p w14:paraId="7E4BB845" w14:textId="77777777" w:rsidR="00302E15" w:rsidRPr="0073030D" w:rsidRDefault="00302E15" w:rsidP="00276A14">
            <w:pPr>
              <w:rPr>
                <w:rFonts w:ascii="Arial" w:hAnsi="Arial" w:cs="Arial"/>
              </w:rPr>
            </w:pPr>
            <w:r w:rsidRPr="0073030D">
              <w:rPr>
                <w:rFonts w:ascii="Arial" w:hAnsi="Arial" w:cs="Arial"/>
              </w:rPr>
              <w:t>Mode of Tendering</w:t>
            </w:r>
          </w:p>
        </w:tc>
        <w:tc>
          <w:tcPr>
            <w:tcW w:w="7342" w:type="dxa"/>
          </w:tcPr>
          <w:p w14:paraId="39E9192A" w14:textId="7A514B9A" w:rsidR="00302E15" w:rsidRPr="006A62E5" w:rsidRDefault="00AD149A" w:rsidP="00900A92">
            <w:pPr>
              <w:rPr>
                <w:rFonts w:ascii="Arial" w:hAnsi="Arial" w:cs="Arial"/>
                <w:color w:val="000000" w:themeColor="text1"/>
              </w:rPr>
            </w:pPr>
            <w:r w:rsidRPr="00870469">
              <w:rPr>
                <w:rFonts w:ascii="Arial" w:hAnsi="Arial" w:cs="Arial"/>
              </w:rPr>
              <w:t>Open Tender on DCB basis</w:t>
            </w:r>
          </w:p>
        </w:tc>
      </w:tr>
      <w:tr w:rsidR="00302E15" w:rsidRPr="00391138" w14:paraId="19807B2E" w14:textId="77777777" w:rsidTr="00163E9F">
        <w:tc>
          <w:tcPr>
            <w:tcW w:w="2547" w:type="dxa"/>
          </w:tcPr>
          <w:p w14:paraId="0027954F" w14:textId="77777777" w:rsidR="00302E15" w:rsidRPr="0073030D" w:rsidRDefault="00302E15" w:rsidP="00276A14">
            <w:pPr>
              <w:rPr>
                <w:rFonts w:ascii="Arial" w:hAnsi="Arial" w:cs="Arial"/>
              </w:rPr>
            </w:pPr>
            <w:r w:rsidRPr="0073030D">
              <w:rPr>
                <w:rFonts w:ascii="Arial" w:hAnsi="Arial" w:cs="Arial"/>
              </w:rPr>
              <w:t>Type of Bidding</w:t>
            </w:r>
          </w:p>
        </w:tc>
        <w:tc>
          <w:tcPr>
            <w:tcW w:w="7342" w:type="dxa"/>
          </w:tcPr>
          <w:p w14:paraId="0997A423" w14:textId="77777777" w:rsidR="00302E15" w:rsidRPr="0073030D" w:rsidRDefault="00302E15" w:rsidP="00276A14">
            <w:pPr>
              <w:rPr>
                <w:rFonts w:ascii="Arial" w:hAnsi="Arial" w:cs="Arial"/>
              </w:rPr>
            </w:pPr>
            <w:r w:rsidRPr="0073030D">
              <w:rPr>
                <w:rFonts w:ascii="Arial" w:hAnsi="Arial" w:cs="Arial"/>
              </w:rPr>
              <w:t>Single Stage Two Envelope</w:t>
            </w:r>
          </w:p>
        </w:tc>
      </w:tr>
      <w:tr w:rsidR="00302E15" w:rsidRPr="00391138" w14:paraId="7D563901" w14:textId="77777777" w:rsidTr="00163E9F">
        <w:tc>
          <w:tcPr>
            <w:tcW w:w="2547" w:type="dxa"/>
          </w:tcPr>
          <w:p w14:paraId="2820196C" w14:textId="38182FF9" w:rsidR="00302E15" w:rsidRPr="003B1B0E" w:rsidRDefault="00302E15" w:rsidP="00276A14">
            <w:pPr>
              <w:rPr>
                <w:rFonts w:ascii="Arial" w:hAnsi="Arial" w:cs="Arial"/>
              </w:rPr>
            </w:pPr>
            <w:r w:rsidRPr="003B1B0E">
              <w:rPr>
                <w:rFonts w:ascii="Arial" w:hAnsi="Arial" w:cs="Arial"/>
              </w:rPr>
              <w:t xml:space="preserve">TC Members </w:t>
            </w:r>
          </w:p>
        </w:tc>
        <w:tc>
          <w:tcPr>
            <w:tcW w:w="7342" w:type="dxa"/>
          </w:tcPr>
          <w:p w14:paraId="787BB521" w14:textId="77777777" w:rsidR="00163E9F" w:rsidRDefault="00163E9F" w:rsidP="00163E9F">
            <w:pPr>
              <w:rPr>
                <w:rFonts w:ascii="Arial" w:hAnsi="Arial" w:cs="Arial"/>
              </w:rPr>
            </w:pPr>
            <w:r w:rsidRPr="00870469">
              <w:rPr>
                <w:rFonts w:ascii="Arial" w:hAnsi="Arial" w:cs="Arial"/>
              </w:rPr>
              <w:t>(</w:t>
            </w:r>
            <w:proofErr w:type="spellStart"/>
            <w:r w:rsidRPr="00870469">
              <w:rPr>
                <w:rFonts w:ascii="Arial" w:hAnsi="Arial" w:cs="Arial"/>
              </w:rPr>
              <w:t>i</w:t>
            </w:r>
            <w:proofErr w:type="spellEnd"/>
            <w:r w:rsidRPr="00870469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Abhay Anand</w:t>
            </w:r>
            <w:r w:rsidRPr="00870469">
              <w:rPr>
                <w:rFonts w:ascii="Arial" w:hAnsi="Arial" w:cs="Arial"/>
              </w:rPr>
              <w:t>, Sr.</w:t>
            </w:r>
            <w:r>
              <w:rPr>
                <w:rFonts w:ascii="Arial" w:hAnsi="Arial" w:cs="Arial"/>
              </w:rPr>
              <w:t xml:space="preserve"> </w:t>
            </w:r>
            <w:r w:rsidRPr="00870469">
              <w:rPr>
                <w:rFonts w:ascii="Arial" w:hAnsi="Arial" w:cs="Arial"/>
              </w:rPr>
              <w:t>Manager (C&amp;M)</w:t>
            </w:r>
          </w:p>
          <w:p w14:paraId="3CE0AED8" w14:textId="77777777" w:rsidR="00163E9F" w:rsidRDefault="00163E9F" w:rsidP="00163E9F">
            <w:pPr>
              <w:rPr>
                <w:rFonts w:ascii="Arial" w:hAnsi="Arial" w:cs="Arial"/>
              </w:rPr>
            </w:pPr>
            <w:r w:rsidRPr="00870469">
              <w:rPr>
                <w:rFonts w:ascii="Arial" w:hAnsi="Arial" w:cs="Arial"/>
              </w:rPr>
              <w:t xml:space="preserve">(ii) </w:t>
            </w:r>
            <w:r>
              <w:rPr>
                <w:rFonts w:ascii="Arial" w:hAnsi="Arial" w:cs="Arial"/>
              </w:rPr>
              <w:t>Abhishek Markam, Sr. Manager (</w:t>
            </w:r>
            <w:proofErr w:type="spellStart"/>
            <w:r w:rsidRPr="00FC307F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nvt</w:t>
            </w:r>
            <w:proofErr w:type="spellEnd"/>
            <w:r>
              <w:rPr>
                <w:rFonts w:ascii="Arial" w:hAnsi="Arial" w:cs="Arial"/>
              </w:rPr>
              <w:t>. Mgt)</w:t>
            </w:r>
          </w:p>
          <w:p w14:paraId="1ECB6E61" w14:textId="12A0780D" w:rsidR="00302E15" w:rsidRPr="003B1B0E" w:rsidRDefault="00163E9F" w:rsidP="00163E9F">
            <w:pPr>
              <w:rPr>
                <w:rFonts w:ascii="Arial" w:hAnsi="Arial" w:cs="Arial"/>
              </w:rPr>
            </w:pPr>
            <w:r w:rsidRPr="00870469">
              <w:rPr>
                <w:rFonts w:ascii="Arial" w:hAnsi="Arial" w:cs="Arial"/>
              </w:rPr>
              <w:t xml:space="preserve">(iii) </w:t>
            </w:r>
            <w:proofErr w:type="spellStart"/>
            <w:r w:rsidRPr="00870469">
              <w:rPr>
                <w:rFonts w:ascii="Arial" w:hAnsi="Arial" w:cs="Arial"/>
              </w:rPr>
              <w:t>U.</w:t>
            </w:r>
            <w:proofErr w:type="gramStart"/>
            <w:r w:rsidRPr="00870469">
              <w:rPr>
                <w:rFonts w:ascii="Arial" w:hAnsi="Arial" w:cs="Arial"/>
              </w:rPr>
              <w:t>S.Naskar</w:t>
            </w:r>
            <w:proofErr w:type="spellEnd"/>
            <w:proofErr w:type="gramEnd"/>
            <w:r w:rsidRPr="00870469">
              <w:rPr>
                <w:rFonts w:ascii="Arial" w:hAnsi="Arial" w:cs="Arial"/>
              </w:rPr>
              <w:t xml:space="preserve">, Sr. </w:t>
            </w:r>
            <w:proofErr w:type="spellStart"/>
            <w:r w:rsidRPr="00870469">
              <w:rPr>
                <w:rFonts w:ascii="Arial" w:hAnsi="Arial" w:cs="Arial"/>
              </w:rPr>
              <w:t>Mgr</w:t>
            </w:r>
            <w:proofErr w:type="spellEnd"/>
            <w:r w:rsidRPr="00870469">
              <w:rPr>
                <w:rFonts w:ascii="Arial" w:hAnsi="Arial" w:cs="Arial"/>
              </w:rPr>
              <w:t xml:space="preserve"> (Fin)</w:t>
            </w:r>
          </w:p>
        </w:tc>
      </w:tr>
    </w:tbl>
    <w:p w14:paraId="0830B711" w14:textId="77777777" w:rsidR="00302E15" w:rsidRDefault="00302E15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20F72F42" w14:textId="65B165CC" w:rsidR="00302E15" w:rsidRDefault="00286A3A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286A3A">
        <w:rPr>
          <w:rFonts w:ascii="Arial" w:hAnsi="Arial" w:cs="Arial"/>
          <w:b/>
          <w:bCs/>
          <w:szCs w:val="22"/>
        </w:rPr>
        <w:t>2</w:t>
      </w:r>
      <w:r w:rsidR="006B4FCA" w:rsidRPr="00286A3A">
        <w:rPr>
          <w:rFonts w:ascii="Arial" w:hAnsi="Arial" w:cs="Arial"/>
          <w:b/>
          <w:bCs/>
          <w:szCs w:val="22"/>
        </w:rPr>
        <w:t>.0</w:t>
      </w:r>
      <w:r w:rsidR="006B4FCA">
        <w:rPr>
          <w:rFonts w:ascii="Arial" w:hAnsi="Arial" w:cs="Arial"/>
          <w:szCs w:val="22"/>
        </w:rPr>
        <w:t xml:space="preserve"> Competent</w:t>
      </w:r>
      <w:r w:rsidR="00663992" w:rsidRPr="00663992">
        <w:rPr>
          <w:rFonts w:ascii="Arial" w:hAnsi="Arial" w:cs="Arial"/>
          <w:szCs w:val="22"/>
        </w:rPr>
        <w:t xml:space="preserve"> Authority has accorded approval for following TC recommendations based on Techno-Commercial evaluation:</w:t>
      </w:r>
    </w:p>
    <w:p w14:paraId="639D97C9" w14:textId="77777777" w:rsidR="0079306F" w:rsidRDefault="0079306F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15A1F023" w14:textId="541C1BAF" w:rsidR="0079306F" w:rsidRPr="0079306F" w:rsidRDefault="0079306F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  <w:r w:rsidRPr="0079306F">
        <w:rPr>
          <w:rFonts w:ascii="Arial" w:hAnsi="Arial" w:cs="Arial"/>
          <w:b/>
          <w:bCs/>
          <w:szCs w:val="22"/>
        </w:rPr>
        <w:t>QUOTE</w:t>
      </w:r>
    </w:p>
    <w:p w14:paraId="5652DDE1" w14:textId="4416F69A" w:rsidR="00F21998" w:rsidRDefault="00F21998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057ACFF6" w14:textId="77777777" w:rsidR="00163E9F" w:rsidRPr="00870469" w:rsidRDefault="00163E9F" w:rsidP="00163E9F">
      <w:pPr>
        <w:tabs>
          <w:tab w:val="left" w:pos="-540"/>
        </w:tabs>
        <w:ind w:left="1260" w:right="-613" w:hanging="360"/>
        <w:jc w:val="both"/>
        <w:rPr>
          <w:rFonts w:ascii="Arial" w:hAnsi="Arial" w:cs="Arial"/>
        </w:rPr>
      </w:pPr>
      <w:r w:rsidRPr="00870469">
        <w:rPr>
          <w:rFonts w:ascii="Arial" w:hAnsi="Arial" w:cs="Arial"/>
        </w:rPr>
        <w:t>(</w:t>
      </w:r>
      <w:proofErr w:type="spellStart"/>
      <w:r w:rsidRPr="00870469">
        <w:rPr>
          <w:rFonts w:ascii="Arial" w:hAnsi="Arial" w:cs="Arial"/>
        </w:rPr>
        <w:t>i</w:t>
      </w:r>
      <w:proofErr w:type="spellEnd"/>
      <w:r w:rsidRPr="00870469">
        <w:rPr>
          <w:rFonts w:ascii="Arial" w:hAnsi="Arial" w:cs="Arial"/>
        </w:rPr>
        <w:t xml:space="preserve">) </w:t>
      </w:r>
      <w:r w:rsidRPr="00870469">
        <w:rPr>
          <w:rFonts w:ascii="Arial" w:hAnsi="Arial" w:cs="Arial"/>
        </w:rPr>
        <w:tab/>
        <w:t>Acceptance of Envelope-I (Techno-Commercial) Bids and Opening of Envelope-II (Price) Bids of the following bidders:</w:t>
      </w:r>
    </w:p>
    <w:tbl>
      <w:tblPr>
        <w:tblW w:w="7893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7371"/>
      </w:tblGrid>
      <w:tr w:rsidR="00163E9F" w:rsidRPr="00870469" w14:paraId="6BB83222" w14:textId="77777777" w:rsidTr="004316FD"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8D693" w14:textId="77777777" w:rsidR="00163E9F" w:rsidRPr="00870469" w:rsidRDefault="00163E9F" w:rsidP="004316FD">
            <w:pPr>
              <w:ind w:right="-128"/>
              <w:jc w:val="both"/>
              <w:rPr>
                <w:rFonts w:ascii="Arial" w:hAnsi="Arial" w:cs="Arial"/>
                <w:lang w:eastAsia="en-IN"/>
              </w:rPr>
            </w:pPr>
            <w:r w:rsidRPr="00870469">
              <w:rPr>
                <w:rFonts w:ascii="Arial" w:hAnsi="Arial" w:cs="Arial"/>
                <w:lang w:eastAsia="en-IN"/>
              </w:rPr>
              <w:t>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A6CF" w14:textId="77777777" w:rsidR="00163E9F" w:rsidRPr="00870469" w:rsidRDefault="00163E9F" w:rsidP="004316FD">
            <w:pPr>
              <w:ind w:right="325"/>
              <w:jc w:val="both"/>
              <w:rPr>
                <w:rFonts w:ascii="Arial" w:hAnsi="Arial" w:cs="Arial"/>
              </w:rPr>
            </w:pPr>
            <w:r w:rsidRPr="008A2600">
              <w:rPr>
                <w:rFonts w:ascii="Arial" w:hAnsi="Arial" w:cs="Arial"/>
              </w:rPr>
              <w:t xml:space="preserve">ENVEA INDIA PRIVATE </w:t>
            </w:r>
            <w:proofErr w:type="gramStart"/>
            <w:r w:rsidRPr="008A2600">
              <w:rPr>
                <w:rFonts w:ascii="Arial" w:hAnsi="Arial" w:cs="Arial"/>
              </w:rPr>
              <w:t>LIMITED</w:t>
            </w:r>
            <w:r>
              <w:rPr>
                <w:rFonts w:ascii="Arial" w:hAnsi="Arial" w:cs="Arial"/>
              </w:rPr>
              <w:t>( formerly</w:t>
            </w:r>
            <w:proofErr w:type="gramEnd"/>
            <w:r>
              <w:rPr>
                <w:rFonts w:ascii="Arial" w:hAnsi="Arial" w:cs="Arial"/>
              </w:rPr>
              <w:t xml:space="preserve"> Environment SA India Pvt. Ltd.) (ENVEA)</w:t>
            </w:r>
          </w:p>
        </w:tc>
      </w:tr>
      <w:tr w:rsidR="00163E9F" w:rsidRPr="00870469" w14:paraId="4B7EFA53" w14:textId="77777777" w:rsidTr="004316FD"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82183" w14:textId="77777777" w:rsidR="00163E9F" w:rsidRPr="00870469" w:rsidRDefault="00163E9F" w:rsidP="004316FD">
            <w:pPr>
              <w:ind w:right="-128"/>
              <w:jc w:val="both"/>
              <w:rPr>
                <w:rFonts w:ascii="Arial" w:hAnsi="Arial" w:cs="Arial"/>
                <w:lang w:eastAsia="en-IN"/>
              </w:rPr>
            </w:pPr>
            <w:r w:rsidRPr="00870469">
              <w:rPr>
                <w:rFonts w:ascii="Arial" w:hAnsi="Arial" w:cs="Arial"/>
                <w:lang w:eastAsia="en-IN"/>
              </w:rPr>
              <w:t>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A6C70" w14:textId="77777777" w:rsidR="00163E9F" w:rsidRPr="00870469" w:rsidRDefault="00163E9F" w:rsidP="004316FD">
            <w:pPr>
              <w:ind w:right="325"/>
              <w:jc w:val="both"/>
              <w:rPr>
                <w:rFonts w:ascii="Arial" w:hAnsi="Arial" w:cs="Arial"/>
              </w:rPr>
            </w:pPr>
            <w:r w:rsidRPr="008A2600">
              <w:rPr>
                <w:rFonts w:ascii="Arial" w:hAnsi="Arial" w:cs="Arial"/>
              </w:rPr>
              <w:t>SWAN TECHNICAL SERVICES PRIVATE LIMITED</w:t>
            </w:r>
            <w:r>
              <w:rPr>
                <w:rFonts w:ascii="Arial" w:hAnsi="Arial" w:cs="Arial"/>
              </w:rPr>
              <w:t xml:space="preserve"> (SWAN)</w:t>
            </w:r>
          </w:p>
        </w:tc>
      </w:tr>
      <w:tr w:rsidR="00163E9F" w:rsidRPr="00870469" w14:paraId="4EEB1B3E" w14:textId="77777777" w:rsidTr="004316FD"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622E2" w14:textId="77777777" w:rsidR="00163E9F" w:rsidRPr="00870469" w:rsidRDefault="00163E9F" w:rsidP="004316FD">
            <w:pPr>
              <w:ind w:right="-128"/>
              <w:jc w:val="both"/>
              <w:rPr>
                <w:rFonts w:ascii="Arial" w:hAnsi="Arial" w:cs="Arial"/>
                <w:lang w:eastAsia="en-IN"/>
              </w:rPr>
            </w:pPr>
            <w:r>
              <w:rPr>
                <w:rFonts w:ascii="Arial" w:hAnsi="Arial" w:cs="Arial"/>
                <w:lang w:eastAsia="en-IN"/>
              </w:rPr>
              <w:t>3.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5250C" w14:textId="77777777" w:rsidR="00163E9F" w:rsidRPr="00D17DD8" w:rsidRDefault="00163E9F" w:rsidP="004316FD">
            <w:pPr>
              <w:ind w:right="325"/>
              <w:jc w:val="both"/>
              <w:rPr>
                <w:rFonts w:ascii="Arial" w:hAnsi="Arial" w:cs="Arial"/>
              </w:rPr>
            </w:pPr>
            <w:r w:rsidRPr="008A2600">
              <w:rPr>
                <w:rFonts w:ascii="Arial" w:hAnsi="Arial" w:cs="Arial"/>
              </w:rPr>
              <w:t>THERMO FISHER SCIENTIFIC INDIA PRIVATE LIMITED</w:t>
            </w:r>
            <w:r>
              <w:rPr>
                <w:rFonts w:ascii="Arial" w:hAnsi="Arial" w:cs="Arial"/>
              </w:rPr>
              <w:t xml:space="preserve"> (TFSI)</w:t>
            </w:r>
          </w:p>
        </w:tc>
      </w:tr>
    </w:tbl>
    <w:p w14:paraId="2C810A38" w14:textId="77777777" w:rsidR="00163E9F" w:rsidRDefault="00163E9F" w:rsidP="00163E9F">
      <w:pPr>
        <w:tabs>
          <w:tab w:val="left" w:pos="-540"/>
        </w:tabs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D71C103" w14:textId="77777777" w:rsidR="00163E9F" w:rsidRPr="001D5D47" w:rsidRDefault="00163E9F" w:rsidP="00163E9F">
      <w:pPr>
        <w:pStyle w:val="ListParagraph"/>
        <w:numPr>
          <w:ilvl w:val="0"/>
          <w:numId w:val="6"/>
        </w:numPr>
        <w:tabs>
          <w:tab w:val="left" w:pos="-540"/>
        </w:tabs>
        <w:spacing w:after="160" w:line="259" w:lineRule="auto"/>
        <w:ind w:left="1418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1D5D47">
        <w:rPr>
          <w:rFonts w:ascii="Arial" w:hAnsi="Arial" w:cs="Arial"/>
        </w:rPr>
        <w:t xml:space="preserve">ll the QR meeting bidders are </w:t>
      </w:r>
      <w:r>
        <w:rPr>
          <w:rFonts w:ascii="Arial" w:hAnsi="Arial" w:cs="Arial"/>
        </w:rPr>
        <w:t xml:space="preserve">Class I local supplier and SWAN being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MSE, Price preference would be given to them as per the provisions of the Bidding Document/ NIT.</w:t>
      </w:r>
    </w:p>
    <w:p w14:paraId="4006728C" w14:textId="77777777" w:rsidR="00163E9F" w:rsidRPr="00870469" w:rsidRDefault="00163E9F" w:rsidP="00163E9F">
      <w:pPr>
        <w:tabs>
          <w:tab w:val="left" w:pos="-540"/>
        </w:tabs>
        <w:ind w:left="720" w:firstLine="273"/>
        <w:jc w:val="both"/>
        <w:rPr>
          <w:rFonts w:ascii="Arial" w:hAnsi="Arial" w:cs="Arial"/>
        </w:rPr>
      </w:pPr>
      <w:r w:rsidRPr="00870469">
        <w:rPr>
          <w:rFonts w:ascii="Arial" w:hAnsi="Arial" w:cs="Arial"/>
        </w:rPr>
        <w:t>(ii</w:t>
      </w:r>
      <w:r>
        <w:rPr>
          <w:rFonts w:ascii="Arial" w:hAnsi="Arial" w:cs="Arial"/>
        </w:rPr>
        <w:t>i</w:t>
      </w:r>
      <w:r w:rsidRPr="00870469">
        <w:rPr>
          <w:rFonts w:ascii="Arial" w:hAnsi="Arial" w:cs="Arial"/>
        </w:rPr>
        <w:t>) Rejection of Envelope-I (Techno-Commercial) Bids of following bidders:</w:t>
      </w:r>
    </w:p>
    <w:tbl>
      <w:tblPr>
        <w:tblW w:w="7893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0"/>
        <w:gridCol w:w="7513"/>
      </w:tblGrid>
      <w:tr w:rsidR="00163E9F" w:rsidRPr="00870469" w14:paraId="680E1859" w14:textId="77777777" w:rsidTr="004316F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53269" w14:textId="77777777" w:rsidR="00163E9F" w:rsidRPr="00870469" w:rsidRDefault="00163E9F" w:rsidP="004316FD">
            <w:pPr>
              <w:ind w:right="-128"/>
              <w:jc w:val="both"/>
              <w:rPr>
                <w:rFonts w:ascii="Arial" w:hAnsi="Arial" w:cs="Arial"/>
                <w:lang w:eastAsia="en-IN"/>
              </w:rPr>
            </w:pPr>
            <w:r w:rsidRPr="00870469">
              <w:rPr>
                <w:rFonts w:ascii="Arial" w:hAnsi="Arial" w:cs="Arial"/>
                <w:lang w:eastAsia="en-IN"/>
              </w:rPr>
              <w:t>1</w:t>
            </w:r>
            <w:r>
              <w:rPr>
                <w:rFonts w:ascii="Arial" w:hAnsi="Arial" w:cs="Arial"/>
                <w:lang w:eastAsia="en-IN"/>
              </w:rPr>
              <w:t>.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BFE9" w14:textId="77777777" w:rsidR="00163E9F" w:rsidRPr="00870469" w:rsidRDefault="00163E9F" w:rsidP="004316FD">
            <w:pPr>
              <w:ind w:right="-325"/>
              <w:jc w:val="both"/>
              <w:rPr>
                <w:rFonts w:ascii="Arial" w:hAnsi="Arial" w:cs="Arial"/>
              </w:rPr>
            </w:pPr>
            <w:r w:rsidRPr="008A2600">
              <w:rPr>
                <w:rFonts w:ascii="Arial" w:hAnsi="Arial" w:cs="Arial"/>
              </w:rPr>
              <w:t>ANALYSER INSTRUMENT COMPANY PRIVATE LIMITED</w:t>
            </w:r>
          </w:p>
        </w:tc>
      </w:tr>
      <w:tr w:rsidR="00163E9F" w:rsidRPr="00870469" w14:paraId="2E499824" w14:textId="77777777" w:rsidTr="004316FD"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8EBD7" w14:textId="77777777" w:rsidR="00163E9F" w:rsidRPr="00870469" w:rsidRDefault="00163E9F" w:rsidP="004316FD">
            <w:pPr>
              <w:ind w:right="-128"/>
              <w:jc w:val="both"/>
              <w:rPr>
                <w:rFonts w:ascii="Arial" w:hAnsi="Arial" w:cs="Arial"/>
                <w:lang w:eastAsia="en-IN"/>
              </w:rPr>
            </w:pPr>
            <w:r>
              <w:rPr>
                <w:rFonts w:ascii="Arial" w:hAnsi="Arial" w:cs="Arial"/>
                <w:lang w:eastAsia="en-IN"/>
              </w:rPr>
              <w:t>2.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C8B51" w14:textId="77777777" w:rsidR="00163E9F" w:rsidRPr="00D17DD8" w:rsidRDefault="00163E9F" w:rsidP="004316FD">
            <w:pPr>
              <w:ind w:right="-325"/>
              <w:jc w:val="both"/>
              <w:rPr>
                <w:rFonts w:ascii="Arial" w:eastAsia="Times New Roman" w:hAnsi="Arial" w:cs="Arial"/>
                <w:lang w:eastAsia="en-IN"/>
              </w:rPr>
            </w:pPr>
            <w:r w:rsidRPr="008A2600">
              <w:rPr>
                <w:rFonts w:ascii="Arial" w:eastAsia="Times New Roman" w:hAnsi="Arial" w:cs="Arial"/>
                <w:lang w:eastAsia="en-IN"/>
              </w:rPr>
              <w:t>ENGINEERING AND ENVIRONMENTAL SOLUTIONS PRIVATE LIMITED</w:t>
            </w:r>
          </w:p>
        </w:tc>
      </w:tr>
    </w:tbl>
    <w:p w14:paraId="6B32B832" w14:textId="77777777" w:rsidR="004D70AE" w:rsidRDefault="004D70AE" w:rsidP="00E17ECA">
      <w:pPr>
        <w:pStyle w:val="ListParagraph"/>
        <w:autoSpaceDE w:val="0"/>
        <w:autoSpaceDN w:val="0"/>
        <w:adjustRightInd w:val="0"/>
        <w:spacing w:after="0" w:line="240" w:lineRule="auto"/>
        <w:ind w:left="1155"/>
        <w:jc w:val="right"/>
        <w:rPr>
          <w:rFonts w:ascii="Arial" w:hAnsi="Arial" w:cs="Arial"/>
          <w:b/>
          <w:bCs/>
          <w:szCs w:val="22"/>
        </w:rPr>
      </w:pPr>
    </w:p>
    <w:p w14:paraId="70426F66" w14:textId="596AA46C" w:rsidR="00E17ECA" w:rsidRPr="00E17ECA" w:rsidRDefault="00E17ECA" w:rsidP="004D70A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szCs w:val="22"/>
        </w:rPr>
      </w:pPr>
      <w:r w:rsidRPr="00E17ECA">
        <w:rPr>
          <w:rFonts w:ascii="Arial" w:hAnsi="Arial" w:cs="Arial"/>
          <w:b/>
          <w:bCs/>
          <w:szCs w:val="22"/>
        </w:rPr>
        <w:t>UNQUOTE</w:t>
      </w:r>
    </w:p>
    <w:p w14:paraId="7F77E959" w14:textId="1F9BD66D" w:rsidR="006A62E5" w:rsidRDefault="006A62E5" w:rsidP="006A62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</w:t>
      </w:r>
    </w:p>
    <w:p w14:paraId="352C6F06" w14:textId="77777777" w:rsidR="004D70AE" w:rsidRDefault="004D70AE" w:rsidP="006A62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128AA64D" w14:textId="1972A844" w:rsidR="007B206C" w:rsidRDefault="00286A3A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3</w:t>
      </w:r>
      <w:r w:rsidR="007B206C" w:rsidRPr="007B206C">
        <w:rPr>
          <w:rFonts w:ascii="Arial" w:hAnsi="Arial" w:cs="Arial"/>
          <w:b/>
          <w:bCs/>
          <w:szCs w:val="22"/>
        </w:rPr>
        <w:t>.0</w:t>
      </w:r>
      <w:r w:rsidR="007B206C" w:rsidRPr="007B206C">
        <w:rPr>
          <w:rFonts w:ascii="Arial" w:hAnsi="Arial" w:cs="Arial"/>
          <w:b/>
          <w:bCs/>
          <w:szCs w:val="22"/>
        </w:rPr>
        <w:tab/>
        <w:t>Price Bid Opening</w:t>
      </w:r>
      <w:r w:rsidR="00D74926">
        <w:rPr>
          <w:rFonts w:ascii="Arial" w:hAnsi="Arial" w:cs="Arial"/>
          <w:b/>
          <w:bCs/>
          <w:szCs w:val="22"/>
        </w:rPr>
        <w:t>:</w:t>
      </w:r>
    </w:p>
    <w:p w14:paraId="02018C28" w14:textId="106A80D3" w:rsidR="00D74926" w:rsidRDefault="00D74926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</w:p>
    <w:p w14:paraId="48F46052" w14:textId="1CC05149" w:rsidR="006550B6" w:rsidRDefault="006550B6" w:rsidP="004650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6550B6">
        <w:rPr>
          <w:rFonts w:ascii="Arial" w:hAnsi="Arial" w:cs="Arial"/>
          <w:szCs w:val="22"/>
        </w:rPr>
        <w:t xml:space="preserve">Based on the </w:t>
      </w:r>
      <w:r w:rsidR="00C42967" w:rsidRPr="006550B6">
        <w:rPr>
          <w:rFonts w:ascii="Arial" w:hAnsi="Arial" w:cs="Arial"/>
          <w:szCs w:val="22"/>
        </w:rPr>
        <w:t xml:space="preserve">approval </w:t>
      </w:r>
      <w:r w:rsidR="00C42967">
        <w:rPr>
          <w:rFonts w:ascii="Arial" w:hAnsi="Arial" w:cs="Arial"/>
          <w:szCs w:val="22"/>
        </w:rPr>
        <w:t xml:space="preserve">of </w:t>
      </w:r>
      <w:r w:rsidRPr="006550B6">
        <w:rPr>
          <w:rFonts w:ascii="Arial" w:hAnsi="Arial" w:cs="Arial"/>
          <w:szCs w:val="22"/>
        </w:rPr>
        <w:t>Techno-Commercial evaluation, t</w:t>
      </w:r>
      <w:r w:rsidR="00D74926" w:rsidRPr="006550B6">
        <w:rPr>
          <w:rFonts w:ascii="Arial" w:hAnsi="Arial" w:cs="Arial"/>
          <w:szCs w:val="22"/>
        </w:rPr>
        <w:t xml:space="preserve">echnical evaluation </w:t>
      </w:r>
      <w:r w:rsidR="00C42967">
        <w:rPr>
          <w:rFonts w:ascii="Arial" w:hAnsi="Arial" w:cs="Arial"/>
          <w:szCs w:val="22"/>
        </w:rPr>
        <w:t>was</w:t>
      </w:r>
      <w:r w:rsidR="00D74926" w:rsidRPr="006550B6">
        <w:rPr>
          <w:rFonts w:ascii="Arial" w:hAnsi="Arial" w:cs="Arial"/>
          <w:szCs w:val="22"/>
        </w:rPr>
        <w:t xml:space="preserve"> completed </w:t>
      </w:r>
      <w:r>
        <w:rPr>
          <w:rFonts w:ascii="Arial" w:hAnsi="Arial" w:cs="Arial"/>
          <w:szCs w:val="22"/>
        </w:rPr>
        <w:t>in GEM portal</w:t>
      </w:r>
      <w:r w:rsidR="005022F5">
        <w:rPr>
          <w:rFonts w:ascii="Arial" w:hAnsi="Arial" w:cs="Arial"/>
          <w:szCs w:val="22"/>
        </w:rPr>
        <w:t xml:space="preserve"> on </w:t>
      </w:r>
      <w:r w:rsidR="00236BAD">
        <w:rPr>
          <w:rFonts w:ascii="Arial" w:hAnsi="Arial" w:cs="Arial"/>
          <w:szCs w:val="22"/>
        </w:rPr>
        <w:t>30.11</w:t>
      </w:r>
      <w:r w:rsidR="005022F5">
        <w:rPr>
          <w:rFonts w:ascii="Arial" w:hAnsi="Arial" w:cs="Arial"/>
          <w:szCs w:val="22"/>
        </w:rPr>
        <w:t>.2023</w:t>
      </w:r>
      <w:r>
        <w:rPr>
          <w:rFonts w:ascii="Arial" w:hAnsi="Arial" w:cs="Arial"/>
          <w:szCs w:val="22"/>
        </w:rPr>
        <w:t xml:space="preserve"> </w:t>
      </w:r>
      <w:r w:rsidR="00465065">
        <w:rPr>
          <w:rFonts w:ascii="Arial" w:hAnsi="Arial" w:cs="Arial"/>
          <w:szCs w:val="22"/>
        </w:rPr>
        <w:t xml:space="preserve">and </w:t>
      </w:r>
      <w:r w:rsidR="00886B0C">
        <w:rPr>
          <w:rFonts w:ascii="Arial" w:hAnsi="Arial" w:cs="Arial"/>
          <w:szCs w:val="22"/>
        </w:rPr>
        <w:t xml:space="preserve">bids of </w:t>
      </w:r>
      <w:r w:rsidR="00236BAD">
        <w:rPr>
          <w:rFonts w:ascii="Arial" w:hAnsi="Arial" w:cs="Arial"/>
          <w:szCs w:val="22"/>
        </w:rPr>
        <w:t xml:space="preserve">above two Bidders </w:t>
      </w:r>
      <w:r w:rsidR="00465065" w:rsidRPr="00465065">
        <w:rPr>
          <w:rFonts w:ascii="Arial" w:hAnsi="Arial" w:cs="Arial"/>
          <w:szCs w:val="22"/>
        </w:rPr>
        <w:t>ha</w:t>
      </w:r>
      <w:r w:rsidR="00886B0C">
        <w:rPr>
          <w:rFonts w:ascii="Arial" w:hAnsi="Arial" w:cs="Arial"/>
          <w:szCs w:val="22"/>
        </w:rPr>
        <w:t>d been</w:t>
      </w:r>
      <w:r w:rsidR="00465065" w:rsidRPr="00465065">
        <w:rPr>
          <w:rFonts w:ascii="Arial" w:hAnsi="Arial" w:cs="Arial"/>
          <w:szCs w:val="22"/>
        </w:rPr>
        <w:t xml:space="preserve"> rejected</w:t>
      </w:r>
      <w:r w:rsidR="00CD6C59">
        <w:rPr>
          <w:rFonts w:ascii="Arial" w:hAnsi="Arial" w:cs="Arial"/>
          <w:szCs w:val="22"/>
        </w:rPr>
        <w:t>.</w:t>
      </w:r>
    </w:p>
    <w:p w14:paraId="33CA9BFC" w14:textId="03079038" w:rsidR="00D84091" w:rsidRDefault="00D84091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17871116" w14:textId="2658F5F9" w:rsidR="00540609" w:rsidRDefault="00286A3A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>Further</w:t>
      </w:r>
      <w:r w:rsidR="00033636" w:rsidRPr="00033636">
        <w:rPr>
          <w:rFonts w:ascii="Arial" w:hAnsi="Arial" w:cs="Arial"/>
          <w:szCs w:val="22"/>
        </w:rPr>
        <w:t xml:space="preserve">, Price bid of the above-mentioned qualified bidders </w:t>
      </w:r>
      <w:proofErr w:type="gramStart"/>
      <w:r w:rsidR="00033636" w:rsidRPr="00033636">
        <w:rPr>
          <w:rFonts w:ascii="Arial" w:hAnsi="Arial" w:cs="Arial"/>
          <w:szCs w:val="22"/>
        </w:rPr>
        <w:t>were</w:t>
      </w:r>
      <w:proofErr w:type="gramEnd"/>
      <w:r w:rsidR="00033636" w:rsidRPr="00033636">
        <w:rPr>
          <w:rFonts w:ascii="Arial" w:hAnsi="Arial" w:cs="Arial"/>
          <w:szCs w:val="22"/>
        </w:rPr>
        <w:t xml:space="preserve"> opened on </w:t>
      </w:r>
      <w:r w:rsidR="00236BAD">
        <w:rPr>
          <w:rFonts w:ascii="Arial" w:hAnsi="Arial" w:cs="Arial"/>
          <w:szCs w:val="22"/>
        </w:rPr>
        <w:t>04</w:t>
      </w:r>
      <w:r w:rsidR="00465065">
        <w:rPr>
          <w:rFonts w:ascii="Arial" w:hAnsi="Arial" w:cs="Arial"/>
          <w:szCs w:val="22"/>
        </w:rPr>
        <w:t>.</w:t>
      </w:r>
      <w:r w:rsidR="00236BAD">
        <w:rPr>
          <w:rFonts w:ascii="Arial" w:hAnsi="Arial" w:cs="Arial"/>
          <w:szCs w:val="22"/>
        </w:rPr>
        <w:t>12</w:t>
      </w:r>
      <w:r w:rsidR="009B294B">
        <w:rPr>
          <w:rFonts w:ascii="Arial" w:hAnsi="Arial" w:cs="Arial"/>
          <w:szCs w:val="22"/>
        </w:rPr>
        <w:t>.2023</w:t>
      </w:r>
      <w:r w:rsidR="00033636" w:rsidRPr="00033636">
        <w:rPr>
          <w:rFonts w:ascii="Arial" w:hAnsi="Arial" w:cs="Arial"/>
          <w:szCs w:val="22"/>
        </w:rPr>
        <w:t xml:space="preserve">. Screenshot of the quoted prices is attached at </w:t>
      </w:r>
      <w:r w:rsidR="00855040">
        <w:rPr>
          <w:rFonts w:ascii="Arial" w:hAnsi="Arial" w:cs="Arial"/>
          <w:szCs w:val="22"/>
        </w:rPr>
        <w:t>“</w:t>
      </w:r>
      <w:r w:rsidR="00855040" w:rsidRPr="00855040">
        <w:rPr>
          <w:rFonts w:ascii="Arial" w:hAnsi="Arial" w:cs="Arial"/>
          <w:szCs w:val="22"/>
        </w:rPr>
        <w:t>Price Bid</w:t>
      </w:r>
      <w:r w:rsidR="00855040">
        <w:rPr>
          <w:rFonts w:ascii="Arial" w:hAnsi="Arial" w:cs="Arial"/>
          <w:szCs w:val="22"/>
        </w:rPr>
        <w:t>”</w:t>
      </w:r>
      <w:r w:rsidR="00033636" w:rsidRPr="00033636">
        <w:rPr>
          <w:rFonts w:ascii="Arial" w:hAnsi="Arial" w:cs="Arial"/>
          <w:szCs w:val="22"/>
        </w:rPr>
        <w:t>. Price details are mentioned hereunder:</w:t>
      </w:r>
    </w:p>
    <w:p w14:paraId="054D5E3B" w14:textId="77777777" w:rsidR="009B294B" w:rsidRDefault="009B294B" w:rsidP="009D34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173DE4B6" w14:textId="77777777" w:rsidR="00540609" w:rsidRPr="00B324DF" w:rsidRDefault="00540609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Cs w:val="22"/>
        </w:rPr>
      </w:pP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846"/>
        <w:gridCol w:w="4214"/>
        <w:gridCol w:w="2023"/>
        <w:gridCol w:w="992"/>
        <w:gridCol w:w="992"/>
      </w:tblGrid>
      <w:tr w:rsidR="005C6B67" w:rsidRPr="00A178FD" w14:paraId="57930D06" w14:textId="65A736C3" w:rsidTr="005C6B67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14:paraId="3C7BEB57" w14:textId="77777777" w:rsidR="007E5FE6" w:rsidRPr="00A178FD" w:rsidRDefault="007E5FE6" w:rsidP="00A178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val="en-IN" w:eastAsia="en-IN" w:bidi="ar-SA"/>
              </w:rPr>
            </w:pPr>
            <w:proofErr w:type="spellStart"/>
            <w:r w:rsidRPr="00A178FD">
              <w:rPr>
                <w:rFonts w:ascii="Arial" w:eastAsia="Times New Roman" w:hAnsi="Arial" w:cs="Arial"/>
                <w:b/>
                <w:bCs/>
                <w:szCs w:val="22"/>
                <w:lang w:val="en-IN" w:eastAsia="en-IN" w:bidi="ar-SA"/>
              </w:rPr>
              <w:t>Sl.No</w:t>
            </w:r>
            <w:proofErr w:type="spellEnd"/>
          </w:p>
        </w:tc>
        <w:tc>
          <w:tcPr>
            <w:tcW w:w="4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14:paraId="79003E8C" w14:textId="77777777" w:rsidR="007E5FE6" w:rsidRPr="00A178FD" w:rsidRDefault="007E5FE6" w:rsidP="00A178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val="en-IN" w:eastAsia="en-IN" w:bidi="ar-SA"/>
              </w:rPr>
            </w:pPr>
            <w:r w:rsidRPr="00A178FD">
              <w:rPr>
                <w:rFonts w:ascii="Arial" w:eastAsia="Times New Roman" w:hAnsi="Arial" w:cs="Arial"/>
                <w:b/>
                <w:bCs/>
                <w:szCs w:val="22"/>
                <w:lang w:val="en-IN" w:eastAsia="en-IN" w:bidi="ar-SA"/>
              </w:rPr>
              <w:t>Bidder Name</w:t>
            </w:r>
            <w:r w:rsidRPr="00B324DF">
              <w:rPr>
                <w:rFonts w:ascii="Arial" w:eastAsia="Times New Roman" w:hAnsi="Arial" w:cs="Arial"/>
                <w:b/>
                <w:bCs/>
                <w:szCs w:val="22"/>
                <w:lang w:val="en-IN" w:eastAsia="en-IN" w:bidi="ar-SA"/>
              </w:rPr>
              <w:t xml:space="preserve"> (M/s)</w:t>
            </w:r>
          </w:p>
        </w:tc>
        <w:tc>
          <w:tcPr>
            <w:tcW w:w="20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14:paraId="196C67D0" w14:textId="5652EB50" w:rsidR="007E5FE6" w:rsidRPr="00A178FD" w:rsidRDefault="007E5FE6" w:rsidP="00A178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val="en-IN" w:eastAsia="en-IN" w:bidi="ar-SA"/>
              </w:rPr>
            </w:pPr>
            <w:r w:rsidRPr="00A178FD">
              <w:rPr>
                <w:rFonts w:ascii="Arial" w:eastAsia="Times New Roman" w:hAnsi="Arial" w:cs="Arial"/>
                <w:b/>
                <w:bCs/>
                <w:szCs w:val="22"/>
                <w:lang w:val="en-IN" w:eastAsia="en-IN" w:bidi="ar-SA"/>
              </w:rPr>
              <w:t>Amount</w:t>
            </w:r>
            <w:r>
              <w:rPr>
                <w:rFonts w:ascii="Arial" w:eastAsia="Times New Roman" w:hAnsi="Arial" w:cs="Arial"/>
                <w:b/>
                <w:bCs/>
                <w:szCs w:val="22"/>
                <w:lang w:val="en-IN" w:eastAsia="en-IN" w:bidi="ar-SA"/>
              </w:rPr>
              <w:t xml:space="preserve"> </w:t>
            </w:r>
            <w:r w:rsidR="00002172">
              <w:rPr>
                <w:rFonts w:ascii="Arial" w:eastAsia="Times New Roman" w:hAnsi="Arial" w:cs="Arial"/>
                <w:b/>
                <w:bCs/>
                <w:szCs w:val="22"/>
                <w:lang w:val="en-IN" w:eastAsia="en-IN" w:bidi="ar-SA"/>
              </w:rPr>
              <w:t xml:space="preserve">in INR </w:t>
            </w:r>
            <w:r>
              <w:rPr>
                <w:rFonts w:ascii="Arial" w:eastAsia="Times New Roman" w:hAnsi="Arial" w:cs="Arial"/>
                <w:b/>
                <w:bCs/>
                <w:szCs w:val="22"/>
                <w:lang w:val="en-IN" w:eastAsia="en-IN" w:bidi="ar-SA"/>
              </w:rPr>
              <w:t>(Including GST)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14:paraId="6ED76037" w14:textId="77777777" w:rsidR="007E5FE6" w:rsidRPr="00A178FD" w:rsidRDefault="007E5FE6" w:rsidP="00A178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val="en-IN" w:eastAsia="en-IN" w:bidi="ar-SA"/>
              </w:rPr>
            </w:pPr>
            <w:r w:rsidRPr="00A178FD">
              <w:rPr>
                <w:rFonts w:ascii="Arial" w:eastAsia="Times New Roman" w:hAnsi="Arial" w:cs="Arial"/>
                <w:b/>
                <w:bCs/>
                <w:szCs w:val="22"/>
                <w:lang w:val="en-IN" w:eastAsia="en-IN" w:bidi="ar-SA"/>
              </w:rPr>
              <w:t>Bid Rank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</w:tcPr>
          <w:p w14:paraId="5AECCBBA" w14:textId="53D873B2" w:rsidR="007E5FE6" w:rsidRPr="00A178FD" w:rsidRDefault="007E5FE6" w:rsidP="00A178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bCs/>
                <w:szCs w:val="22"/>
                <w:lang w:val="en-IN" w:eastAsia="en-IN" w:bidi="ar-SA"/>
              </w:rPr>
              <w:t>MSE</w:t>
            </w:r>
          </w:p>
        </w:tc>
      </w:tr>
      <w:tr w:rsidR="005C6B67" w:rsidRPr="00A178FD" w14:paraId="37734B38" w14:textId="74DBB832" w:rsidTr="005C6B6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78083" w14:textId="77777777" w:rsidR="00AD149A" w:rsidRPr="00A178FD" w:rsidRDefault="00AD149A" w:rsidP="00AD149A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 w:rsidRPr="00A178FD">
              <w:rPr>
                <w:rFonts w:ascii="Arial" w:eastAsia="Times New Roman" w:hAnsi="Arial" w:cs="Arial"/>
                <w:szCs w:val="22"/>
                <w:lang w:val="en-IN" w:eastAsia="en-IN" w:bidi="ar-SA"/>
              </w:rPr>
              <w:t>1</w:t>
            </w:r>
          </w:p>
        </w:tc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9F98F" w14:textId="13AD349A" w:rsidR="00AD149A" w:rsidRPr="00A178FD" w:rsidRDefault="00236BAD" w:rsidP="00AD149A">
            <w:pPr>
              <w:spacing w:after="0" w:line="240" w:lineRule="auto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 w:rsidRPr="008A2600">
              <w:rPr>
                <w:rFonts w:ascii="Arial" w:hAnsi="Arial" w:cs="Arial"/>
              </w:rPr>
              <w:t>THERMO FISHER SCIENTIFIC INDIA PRIVATE LIMITED</w:t>
            </w:r>
            <w:r>
              <w:rPr>
                <w:rFonts w:ascii="Arial" w:hAnsi="Arial" w:cs="Arial"/>
              </w:rPr>
              <w:t xml:space="preserve"> (TFSI)</w:t>
            </w:r>
          </w:p>
        </w:tc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A79FDD" w14:textId="39B7CCAA" w:rsidR="00AD149A" w:rsidRPr="00A178FD" w:rsidRDefault="00236BAD" w:rsidP="00AD149A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szCs w:val="22"/>
                <w:lang w:val="en-IN" w:eastAsia="en-IN" w:bidi="ar-SA"/>
              </w:rPr>
              <w:t>1,29,16,000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ACD4FA" w14:textId="77777777" w:rsidR="00AD149A" w:rsidRPr="00A178FD" w:rsidRDefault="00AD149A" w:rsidP="00AD149A">
            <w:pPr>
              <w:spacing w:after="0" w:line="240" w:lineRule="auto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 w:rsidRPr="00A178FD">
              <w:rPr>
                <w:rFonts w:ascii="Arial" w:eastAsia="Times New Roman" w:hAnsi="Arial" w:cs="Arial"/>
                <w:szCs w:val="22"/>
                <w:lang w:val="en-IN" w:eastAsia="en-IN" w:bidi="ar-SA"/>
              </w:rPr>
              <w:t>L1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3642F6" w14:textId="70C73D8E" w:rsidR="00AD149A" w:rsidRPr="00A178FD" w:rsidRDefault="00236BAD" w:rsidP="00AD149A">
            <w:pPr>
              <w:spacing w:after="0" w:line="240" w:lineRule="auto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szCs w:val="22"/>
                <w:lang w:val="en-IN" w:eastAsia="en-IN" w:bidi="ar-SA"/>
              </w:rPr>
              <w:t>NO</w:t>
            </w:r>
          </w:p>
        </w:tc>
      </w:tr>
      <w:tr w:rsidR="00236BAD" w:rsidRPr="00A178FD" w14:paraId="36EF5BB7" w14:textId="77777777" w:rsidTr="005C6B67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B81CE" w14:textId="179E5AA4" w:rsidR="00236BAD" w:rsidRPr="00A178FD" w:rsidRDefault="00236BAD" w:rsidP="00AD149A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szCs w:val="22"/>
                <w:lang w:val="en-IN" w:eastAsia="en-IN" w:bidi="ar-SA"/>
              </w:rPr>
              <w:t>2</w:t>
            </w:r>
          </w:p>
        </w:tc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F796D" w14:textId="5B6A79E2" w:rsidR="00236BAD" w:rsidRDefault="00236BAD" w:rsidP="00AD149A">
            <w:pPr>
              <w:spacing w:after="0" w:line="240" w:lineRule="auto"/>
              <w:rPr>
                <w:rFonts w:ascii="Arial" w:hAnsi="Arial" w:cs="Arial"/>
              </w:rPr>
            </w:pPr>
            <w:r w:rsidRPr="008A2600">
              <w:rPr>
                <w:rFonts w:ascii="Arial" w:hAnsi="Arial" w:cs="Arial"/>
              </w:rPr>
              <w:t>SWAN TECHNICAL SERVICES PRIVATE LIMITED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23047" w14:textId="14842B8B" w:rsidR="00236BAD" w:rsidRDefault="00236BAD" w:rsidP="00AD149A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szCs w:val="22"/>
                <w:lang w:val="en-IN" w:eastAsia="en-IN" w:bidi="ar-SA"/>
              </w:rPr>
              <w:t>1,60,00,000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2DA00" w14:textId="50F17B0C" w:rsidR="00236BAD" w:rsidRPr="00A178FD" w:rsidRDefault="00236BAD" w:rsidP="00AD149A">
            <w:pPr>
              <w:spacing w:after="0" w:line="240" w:lineRule="auto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szCs w:val="22"/>
                <w:lang w:val="en-IN" w:eastAsia="en-IN" w:bidi="ar-SA"/>
              </w:rPr>
              <w:t>L2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421368" w14:textId="5C0391B8" w:rsidR="00236BAD" w:rsidRDefault="00236BAD" w:rsidP="00AD149A">
            <w:pPr>
              <w:spacing w:after="0" w:line="240" w:lineRule="auto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szCs w:val="22"/>
                <w:lang w:val="en-IN" w:eastAsia="en-IN" w:bidi="ar-SA"/>
              </w:rPr>
              <w:t>YES</w:t>
            </w:r>
          </w:p>
        </w:tc>
      </w:tr>
      <w:tr w:rsidR="005C6B67" w:rsidRPr="00A178FD" w14:paraId="16BB63F5" w14:textId="67FB36EB" w:rsidTr="00236BAD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1430AED8" w14:textId="75F9C6B5" w:rsidR="00AD149A" w:rsidRPr="00A178FD" w:rsidRDefault="00AD149A" w:rsidP="00AD149A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szCs w:val="22"/>
                <w:lang w:val="en-IN" w:eastAsia="en-IN" w:bidi="ar-SA"/>
              </w:rPr>
              <w:t>2</w:t>
            </w:r>
          </w:p>
        </w:tc>
        <w:tc>
          <w:tcPr>
            <w:tcW w:w="421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AB04E17" w14:textId="4D3AAEA2" w:rsidR="00AD149A" w:rsidRPr="00465065" w:rsidRDefault="00236BAD" w:rsidP="00AD149A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8A2600">
              <w:rPr>
                <w:rFonts w:ascii="Arial" w:hAnsi="Arial" w:cs="Arial"/>
              </w:rPr>
              <w:t>ENVEA INDIA PRIVATE LIMITED</w:t>
            </w:r>
          </w:p>
        </w:tc>
        <w:tc>
          <w:tcPr>
            <w:tcW w:w="2023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48B095FB" w14:textId="05FB6995" w:rsidR="00AD149A" w:rsidRDefault="00236BAD" w:rsidP="00AD149A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szCs w:val="22"/>
                <w:lang w:val="en-IN" w:eastAsia="en-IN" w:bidi="ar-SA"/>
              </w:rPr>
              <w:t>2,18,59,780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39769EEB" w14:textId="37DD86E8" w:rsidR="00AD149A" w:rsidRPr="00A178FD" w:rsidRDefault="00AD149A" w:rsidP="00AD149A">
            <w:pPr>
              <w:spacing w:after="0" w:line="240" w:lineRule="auto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szCs w:val="22"/>
                <w:lang w:val="en-IN" w:eastAsia="en-IN" w:bidi="ar-SA"/>
              </w:rPr>
              <w:t>L</w:t>
            </w:r>
            <w:r w:rsidR="00236BAD">
              <w:rPr>
                <w:rFonts w:ascii="Arial" w:eastAsia="Times New Roman" w:hAnsi="Arial" w:cs="Arial"/>
                <w:szCs w:val="22"/>
                <w:lang w:val="en-IN" w:eastAsia="en-IN"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2B76BEDF" w14:textId="647949DD" w:rsidR="00AD149A" w:rsidRDefault="00AD149A" w:rsidP="00AD149A">
            <w:pPr>
              <w:spacing w:after="0" w:line="240" w:lineRule="auto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szCs w:val="22"/>
                <w:lang w:val="en-IN" w:eastAsia="en-IN" w:bidi="ar-SA"/>
              </w:rPr>
              <w:t>NO</w:t>
            </w:r>
          </w:p>
        </w:tc>
      </w:tr>
      <w:tr w:rsidR="00236BAD" w:rsidRPr="00A178FD" w14:paraId="63CE9422" w14:textId="77777777" w:rsidTr="00236BAD">
        <w:trPr>
          <w:trHeight w:val="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CB52F" w14:textId="77777777" w:rsidR="00236BAD" w:rsidRDefault="00236BAD" w:rsidP="00AD149A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</w:p>
        </w:tc>
        <w:tc>
          <w:tcPr>
            <w:tcW w:w="421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FAAB5" w14:textId="77777777" w:rsidR="00236BAD" w:rsidRDefault="00236BAD" w:rsidP="00AD149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4CB68" w14:textId="77777777" w:rsidR="00236BAD" w:rsidRDefault="00236BAD" w:rsidP="00236BAD">
            <w:pPr>
              <w:spacing w:after="0" w:line="240" w:lineRule="auto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0CC1" w14:textId="77777777" w:rsidR="00236BAD" w:rsidRDefault="00236BAD" w:rsidP="00AD149A">
            <w:pPr>
              <w:spacing w:after="0" w:line="240" w:lineRule="auto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FC215E3" w14:textId="77777777" w:rsidR="00236BAD" w:rsidRDefault="00236BAD" w:rsidP="00AD149A">
            <w:pPr>
              <w:spacing w:after="0" w:line="240" w:lineRule="auto"/>
              <w:rPr>
                <w:rFonts w:ascii="Arial" w:eastAsia="Times New Roman" w:hAnsi="Arial" w:cs="Arial"/>
                <w:szCs w:val="22"/>
                <w:lang w:val="en-IN" w:eastAsia="en-IN" w:bidi="ar-SA"/>
              </w:rPr>
            </w:pPr>
          </w:p>
        </w:tc>
      </w:tr>
    </w:tbl>
    <w:p w14:paraId="1906FFDD" w14:textId="5B313C04" w:rsidR="00465065" w:rsidRDefault="00465065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Cs w:val="22"/>
        </w:rPr>
      </w:pPr>
    </w:p>
    <w:p w14:paraId="05098030" w14:textId="55246606" w:rsidR="00540609" w:rsidRPr="00B324DF" w:rsidRDefault="00286A3A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4</w:t>
      </w:r>
      <w:r w:rsidR="00D95DA1">
        <w:rPr>
          <w:rFonts w:ascii="Arial" w:hAnsi="Arial" w:cs="Arial"/>
          <w:b/>
          <w:bCs/>
          <w:szCs w:val="22"/>
        </w:rPr>
        <w:t xml:space="preserve">.0 </w:t>
      </w:r>
      <w:r w:rsidR="00540609" w:rsidRPr="00B324DF">
        <w:rPr>
          <w:rFonts w:ascii="Arial" w:hAnsi="Arial" w:cs="Arial"/>
          <w:b/>
          <w:bCs/>
          <w:szCs w:val="22"/>
        </w:rPr>
        <w:t>Evaluation of L1 offer:</w:t>
      </w:r>
    </w:p>
    <w:p w14:paraId="58875F5E" w14:textId="77777777" w:rsidR="000627E9" w:rsidRPr="00B324DF" w:rsidRDefault="000627E9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</w:p>
    <w:p w14:paraId="245BDA79" w14:textId="533A946A" w:rsidR="005C6B67" w:rsidRDefault="00236BAD" w:rsidP="004E7A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</w:rPr>
        <w:t>TFSI</w:t>
      </w:r>
      <w:r w:rsidR="00AD149A" w:rsidRPr="002B411B">
        <w:rPr>
          <w:rFonts w:ascii="Arial" w:hAnsi="Arial" w:cs="Arial"/>
          <w:szCs w:val="22"/>
        </w:rPr>
        <w:t xml:space="preserve"> </w:t>
      </w:r>
      <w:r w:rsidR="00540609" w:rsidRPr="002B411B">
        <w:rPr>
          <w:rFonts w:ascii="Arial" w:hAnsi="Arial" w:cs="Arial"/>
          <w:szCs w:val="22"/>
        </w:rPr>
        <w:t xml:space="preserve">is the lowest evaluated bidder (L1) with quoted value of </w:t>
      </w:r>
      <w:r w:rsidR="00AD149A">
        <w:rPr>
          <w:rFonts w:ascii="Arial" w:hAnsi="Arial" w:cs="Arial"/>
          <w:szCs w:val="22"/>
        </w:rPr>
        <w:t>INR</w:t>
      </w:r>
      <w:r w:rsidR="00621C25" w:rsidRPr="002B411B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1,29,16,000</w:t>
      </w:r>
      <w:r w:rsidR="00AD149A">
        <w:rPr>
          <w:rFonts w:ascii="Arial" w:eastAsia="Times New Roman" w:hAnsi="Arial" w:cs="Arial"/>
          <w:szCs w:val="22"/>
          <w:lang w:val="en-IN" w:eastAsia="en-IN" w:bidi="ar-SA"/>
        </w:rPr>
        <w:t xml:space="preserve"> </w:t>
      </w:r>
      <w:r w:rsidR="00621C25" w:rsidRPr="002B411B">
        <w:rPr>
          <w:rFonts w:ascii="Arial" w:hAnsi="Arial" w:cs="Arial"/>
          <w:szCs w:val="22"/>
        </w:rPr>
        <w:t>in</w:t>
      </w:r>
      <w:r w:rsidR="007B1584" w:rsidRPr="002B411B">
        <w:rPr>
          <w:rFonts w:ascii="Arial" w:hAnsi="Arial" w:cs="Arial"/>
          <w:szCs w:val="22"/>
        </w:rPr>
        <w:t>cluding GST</w:t>
      </w:r>
      <w:r w:rsidR="003E3483" w:rsidRPr="002B411B">
        <w:rPr>
          <w:rFonts w:ascii="Arial" w:hAnsi="Arial" w:cs="Arial"/>
          <w:szCs w:val="22"/>
        </w:rPr>
        <w:t>.</w:t>
      </w:r>
      <w:r w:rsidR="003E3483" w:rsidRPr="002B411B">
        <w:t xml:space="preserve"> </w:t>
      </w:r>
      <w:r w:rsidR="0000395E">
        <w:rPr>
          <w:rFonts w:ascii="Arial" w:hAnsi="Arial" w:cs="Arial"/>
          <w:szCs w:val="22"/>
        </w:rPr>
        <w:t xml:space="preserve">Since L2 Bidder is a MSE and </w:t>
      </w:r>
      <w:r w:rsidR="005C6B67">
        <w:rPr>
          <w:rFonts w:ascii="Arial" w:hAnsi="Arial" w:cs="Arial"/>
          <w:szCs w:val="22"/>
        </w:rPr>
        <w:t xml:space="preserve">have </w:t>
      </w:r>
      <w:r w:rsidR="0000395E">
        <w:rPr>
          <w:rFonts w:ascii="Arial" w:hAnsi="Arial" w:cs="Arial"/>
          <w:szCs w:val="22"/>
        </w:rPr>
        <w:t xml:space="preserve">quoted </w:t>
      </w:r>
      <w:r>
        <w:rPr>
          <w:rFonts w:ascii="Arial" w:hAnsi="Arial" w:cs="Arial"/>
          <w:szCs w:val="22"/>
        </w:rPr>
        <w:t>more tha</w:t>
      </w:r>
      <w:r w:rsidR="003616B3">
        <w:rPr>
          <w:rFonts w:ascii="Arial" w:hAnsi="Arial" w:cs="Arial"/>
          <w:szCs w:val="22"/>
        </w:rPr>
        <w:t>n</w:t>
      </w:r>
      <w:r>
        <w:rPr>
          <w:rFonts w:ascii="Arial" w:hAnsi="Arial" w:cs="Arial"/>
          <w:szCs w:val="22"/>
        </w:rPr>
        <w:t xml:space="preserve"> 15% </w:t>
      </w:r>
      <w:r w:rsidR="0000395E">
        <w:rPr>
          <w:rFonts w:ascii="Arial" w:hAnsi="Arial" w:cs="Arial"/>
          <w:szCs w:val="22"/>
        </w:rPr>
        <w:t>higher than L1</w:t>
      </w:r>
      <w:r w:rsidR="005C6B67">
        <w:rPr>
          <w:rFonts w:ascii="Arial" w:hAnsi="Arial" w:cs="Arial"/>
          <w:szCs w:val="22"/>
        </w:rPr>
        <w:t>,</w:t>
      </w:r>
      <w:r w:rsidR="0000395E">
        <w:rPr>
          <w:rFonts w:ascii="Arial" w:hAnsi="Arial" w:cs="Arial"/>
          <w:szCs w:val="22"/>
        </w:rPr>
        <w:t xml:space="preserve"> hence L2 Bidder was </w:t>
      </w:r>
      <w:r>
        <w:rPr>
          <w:rFonts w:ascii="Arial" w:hAnsi="Arial" w:cs="Arial"/>
          <w:szCs w:val="22"/>
        </w:rPr>
        <w:t xml:space="preserve">not </w:t>
      </w:r>
      <w:r w:rsidR="0000395E">
        <w:rPr>
          <w:rFonts w:ascii="Arial" w:hAnsi="Arial" w:cs="Arial"/>
          <w:szCs w:val="22"/>
        </w:rPr>
        <w:t xml:space="preserve">requested to match the price of L1 Bidder in </w:t>
      </w:r>
      <w:proofErr w:type="spellStart"/>
      <w:r w:rsidR="0000395E">
        <w:rPr>
          <w:rFonts w:ascii="Arial" w:hAnsi="Arial" w:cs="Arial"/>
          <w:szCs w:val="22"/>
        </w:rPr>
        <w:t>GeM</w:t>
      </w:r>
      <w:proofErr w:type="spellEnd"/>
      <w:r w:rsidR="003616B3">
        <w:rPr>
          <w:rFonts w:ascii="Arial" w:hAnsi="Arial" w:cs="Arial"/>
          <w:szCs w:val="22"/>
        </w:rPr>
        <w:t xml:space="preserve"> as per the provisions of the Bidding Document</w:t>
      </w:r>
      <w:r w:rsidR="0000395E" w:rsidRPr="002B411B">
        <w:rPr>
          <w:rFonts w:ascii="Arial" w:hAnsi="Arial" w:cs="Arial"/>
          <w:szCs w:val="22"/>
        </w:rPr>
        <w:t>.</w:t>
      </w:r>
      <w:r w:rsidR="0000395E">
        <w:rPr>
          <w:rFonts w:ascii="Arial" w:hAnsi="Arial" w:cs="Arial"/>
          <w:szCs w:val="22"/>
        </w:rPr>
        <w:t xml:space="preserve"> </w:t>
      </w:r>
    </w:p>
    <w:p w14:paraId="0C1012B7" w14:textId="77777777" w:rsidR="005C6B67" w:rsidRDefault="005C6B67" w:rsidP="004E7A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41A36DF6" w14:textId="4D403E0C" w:rsidR="0079698C" w:rsidRPr="00A442B8" w:rsidRDefault="00286A3A" w:rsidP="00796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5</w:t>
      </w:r>
      <w:r w:rsidR="00D95DA1">
        <w:rPr>
          <w:rFonts w:ascii="Arial" w:hAnsi="Arial" w:cs="Arial"/>
          <w:b/>
          <w:bCs/>
          <w:szCs w:val="22"/>
        </w:rPr>
        <w:t xml:space="preserve">.0 </w:t>
      </w:r>
      <w:r w:rsidR="0079698C">
        <w:rPr>
          <w:rFonts w:ascii="Arial" w:hAnsi="Arial" w:cs="Arial"/>
          <w:b/>
          <w:bCs/>
          <w:szCs w:val="22"/>
        </w:rPr>
        <w:t>Comparison with Cost Estimate</w:t>
      </w:r>
    </w:p>
    <w:p w14:paraId="35BE4425" w14:textId="77777777" w:rsidR="0079698C" w:rsidRDefault="0079698C" w:rsidP="00796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5F4907BF" w14:textId="58C8DEF1" w:rsidR="0079698C" w:rsidRDefault="0079698C" w:rsidP="00796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The final Evaluated Price i.e. INR </w:t>
      </w:r>
      <w:r w:rsidR="00174627">
        <w:rPr>
          <w:rFonts w:ascii="Arial" w:hAnsi="Arial" w:cs="Arial"/>
          <w:szCs w:val="22"/>
        </w:rPr>
        <w:t>1,29,16,000</w:t>
      </w:r>
      <w:r w:rsidR="00174627">
        <w:rPr>
          <w:rFonts w:ascii="Arial" w:eastAsia="Times New Roman" w:hAnsi="Arial" w:cs="Arial"/>
          <w:szCs w:val="22"/>
          <w:lang w:val="en-IN" w:eastAsia="en-IN" w:bidi="ar-SA"/>
        </w:rPr>
        <w:t xml:space="preserve"> </w:t>
      </w:r>
      <w:r>
        <w:rPr>
          <w:rFonts w:ascii="Arial" w:hAnsi="Arial" w:cs="Arial"/>
          <w:szCs w:val="22"/>
        </w:rPr>
        <w:t xml:space="preserve">(including GST) of </w:t>
      </w:r>
      <w:r w:rsidR="00174627">
        <w:rPr>
          <w:rFonts w:ascii="Arial" w:hAnsi="Arial" w:cs="Arial"/>
          <w:szCs w:val="22"/>
        </w:rPr>
        <w:t>TFSI</w:t>
      </w:r>
      <w:r>
        <w:rPr>
          <w:rFonts w:ascii="Arial" w:hAnsi="Arial" w:cs="Arial"/>
          <w:szCs w:val="22"/>
        </w:rPr>
        <w:t xml:space="preserve"> is </w:t>
      </w:r>
      <w:r w:rsidR="0000395E">
        <w:rPr>
          <w:rFonts w:ascii="Arial" w:hAnsi="Arial" w:cs="Arial"/>
          <w:szCs w:val="22"/>
        </w:rPr>
        <w:t>3</w:t>
      </w:r>
      <w:r w:rsidR="00174627">
        <w:rPr>
          <w:rFonts w:ascii="Arial" w:hAnsi="Arial" w:cs="Arial"/>
          <w:szCs w:val="22"/>
        </w:rPr>
        <w:t>7.93</w:t>
      </w:r>
      <w:r w:rsidR="0000395E">
        <w:rPr>
          <w:rFonts w:ascii="Arial" w:hAnsi="Arial" w:cs="Arial"/>
          <w:szCs w:val="22"/>
        </w:rPr>
        <w:t>%</w:t>
      </w:r>
      <w:r>
        <w:rPr>
          <w:rFonts w:ascii="Arial" w:hAnsi="Arial" w:cs="Arial"/>
          <w:szCs w:val="22"/>
        </w:rPr>
        <w:t xml:space="preserve"> </w:t>
      </w:r>
      <w:r w:rsidR="00174627">
        <w:rPr>
          <w:rFonts w:ascii="Arial" w:hAnsi="Arial" w:cs="Arial"/>
          <w:szCs w:val="22"/>
        </w:rPr>
        <w:t>lower</w:t>
      </w:r>
      <w:r w:rsidR="005C6B67">
        <w:rPr>
          <w:rFonts w:ascii="Arial" w:hAnsi="Arial" w:cs="Arial"/>
          <w:szCs w:val="22"/>
        </w:rPr>
        <w:t xml:space="preserve"> </w:t>
      </w:r>
      <w:r w:rsidR="0000395E">
        <w:rPr>
          <w:rFonts w:ascii="Arial" w:hAnsi="Arial" w:cs="Arial"/>
          <w:szCs w:val="22"/>
        </w:rPr>
        <w:t xml:space="preserve">than </w:t>
      </w:r>
      <w:r w:rsidRPr="00203E17">
        <w:rPr>
          <w:rFonts w:ascii="Arial" w:hAnsi="Arial" w:cs="Arial"/>
          <w:szCs w:val="22"/>
        </w:rPr>
        <w:t xml:space="preserve">our </w:t>
      </w:r>
      <w:r>
        <w:rPr>
          <w:rFonts w:ascii="Arial" w:hAnsi="Arial" w:cs="Arial"/>
          <w:szCs w:val="22"/>
        </w:rPr>
        <w:t>approved</w:t>
      </w:r>
      <w:r w:rsidRPr="00203E17">
        <w:rPr>
          <w:rFonts w:ascii="Arial" w:hAnsi="Arial" w:cs="Arial"/>
          <w:szCs w:val="22"/>
        </w:rPr>
        <w:t xml:space="preserve"> cost estimate of </w:t>
      </w:r>
      <w:r w:rsidR="005C6E3A">
        <w:rPr>
          <w:rFonts w:ascii="Arial" w:hAnsi="Arial" w:cs="Arial"/>
          <w:szCs w:val="22"/>
        </w:rPr>
        <w:t>INR</w:t>
      </w:r>
      <w:r w:rsidRPr="00203E17">
        <w:rPr>
          <w:rFonts w:ascii="Arial" w:hAnsi="Arial" w:cs="Arial"/>
          <w:szCs w:val="22"/>
        </w:rPr>
        <w:t xml:space="preserve"> </w:t>
      </w:r>
      <w:r w:rsidR="00174627">
        <w:rPr>
          <w:rFonts w:ascii="Arial" w:hAnsi="Arial" w:cs="Arial"/>
          <w:szCs w:val="22"/>
        </w:rPr>
        <w:t>2,08,09,247</w:t>
      </w:r>
      <w:r w:rsidRPr="006A62E5">
        <w:rPr>
          <w:rFonts w:ascii="Arial" w:hAnsi="Arial" w:cs="Arial"/>
        </w:rPr>
        <w:t xml:space="preserve"> </w:t>
      </w:r>
      <w:r w:rsidRPr="00203E17">
        <w:rPr>
          <w:rFonts w:ascii="Arial" w:hAnsi="Arial" w:cs="Arial"/>
          <w:szCs w:val="22"/>
        </w:rPr>
        <w:t>(</w:t>
      </w:r>
      <w:r>
        <w:rPr>
          <w:rFonts w:ascii="Arial" w:hAnsi="Arial" w:cs="Arial"/>
          <w:szCs w:val="22"/>
        </w:rPr>
        <w:t>including</w:t>
      </w:r>
      <w:r w:rsidRPr="00203E17">
        <w:rPr>
          <w:rFonts w:ascii="Arial" w:hAnsi="Arial" w:cs="Arial"/>
          <w:szCs w:val="22"/>
        </w:rPr>
        <w:t xml:space="preserve"> GST</w:t>
      </w:r>
      <w:r w:rsidR="005C6B67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considering</w:t>
      </w:r>
      <w:r w:rsidR="005C6B67">
        <w:rPr>
          <w:rFonts w:ascii="Arial" w:hAnsi="Arial" w:cs="Arial"/>
          <w:szCs w:val="22"/>
        </w:rPr>
        <w:t xml:space="preserve"> @</w:t>
      </w:r>
      <w:r>
        <w:rPr>
          <w:rFonts w:ascii="Arial" w:hAnsi="Arial" w:cs="Arial"/>
          <w:szCs w:val="22"/>
        </w:rPr>
        <w:t xml:space="preserve"> 18%</w:t>
      </w:r>
      <w:r w:rsidR="005C6B67">
        <w:rPr>
          <w:rFonts w:ascii="Arial" w:hAnsi="Arial" w:cs="Arial"/>
          <w:szCs w:val="22"/>
        </w:rPr>
        <w:t>)</w:t>
      </w:r>
      <w:r>
        <w:rPr>
          <w:rFonts w:ascii="Arial" w:hAnsi="Arial" w:cs="Arial"/>
          <w:szCs w:val="22"/>
        </w:rPr>
        <w:t xml:space="preserve">. </w:t>
      </w:r>
    </w:p>
    <w:p w14:paraId="0FBB0F18" w14:textId="77777777" w:rsidR="0079698C" w:rsidRDefault="0079698C" w:rsidP="007969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501EDD28" w14:textId="30076239" w:rsidR="005C6B67" w:rsidRPr="00B324DF" w:rsidRDefault="00174627" w:rsidP="005C6B6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Since </w:t>
      </w:r>
      <w:r w:rsidR="005C6B67">
        <w:rPr>
          <w:rFonts w:ascii="Arial" w:hAnsi="Arial" w:cs="Arial"/>
          <w:szCs w:val="22"/>
        </w:rPr>
        <w:t xml:space="preserve">the quoted value of L1 bidder is </w:t>
      </w:r>
      <w:r>
        <w:rPr>
          <w:rFonts w:ascii="Arial" w:hAnsi="Arial" w:cs="Arial"/>
          <w:szCs w:val="22"/>
        </w:rPr>
        <w:t xml:space="preserve">less </w:t>
      </w:r>
      <w:r w:rsidR="005C6B67">
        <w:rPr>
          <w:rFonts w:ascii="Arial" w:hAnsi="Arial" w:cs="Arial"/>
          <w:szCs w:val="22"/>
        </w:rPr>
        <w:t>than our estimated value and the rates are derived from competitive bidding, the offered rates of Selected L1 bidder may be considered for award.</w:t>
      </w:r>
    </w:p>
    <w:p w14:paraId="249C77AB" w14:textId="77777777" w:rsidR="00540609" w:rsidRPr="00B324DF" w:rsidRDefault="00540609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Cs w:val="22"/>
        </w:rPr>
      </w:pPr>
    </w:p>
    <w:p w14:paraId="38D63E8D" w14:textId="741BE85E" w:rsidR="00540609" w:rsidRPr="00B324DF" w:rsidRDefault="00286A3A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6</w:t>
      </w:r>
      <w:r w:rsidR="00D95DA1">
        <w:rPr>
          <w:rFonts w:ascii="Arial" w:hAnsi="Arial" w:cs="Arial"/>
          <w:b/>
          <w:bCs/>
          <w:szCs w:val="22"/>
        </w:rPr>
        <w:t xml:space="preserve">.0 </w:t>
      </w:r>
      <w:r w:rsidR="00540609" w:rsidRPr="00B324DF">
        <w:rPr>
          <w:rFonts w:ascii="Arial" w:hAnsi="Arial" w:cs="Arial"/>
          <w:b/>
          <w:bCs/>
          <w:szCs w:val="22"/>
        </w:rPr>
        <w:t>Recommendation:</w:t>
      </w:r>
    </w:p>
    <w:p w14:paraId="0E2A6FC2" w14:textId="77777777" w:rsidR="00930515" w:rsidRPr="00B324DF" w:rsidRDefault="00930515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</w:p>
    <w:p w14:paraId="0D0E125D" w14:textId="421B94D5" w:rsidR="00540609" w:rsidRPr="00B324DF" w:rsidRDefault="00540609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B324DF">
        <w:rPr>
          <w:rFonts w:ascii="Arial" w:hAnsi="Arial" w:cs="Arial"/>
          <w:szCs w:val="22"/>
        </w:rPr>
        <w:t xml:space="preserve">In view of above, </w:t>
      </w:r>
      <w:r w:rsidR="00CB1264">
        <w:rPr>
          <w:rFonts w:ascii="Arial" w:hAnsi="Arial" w:cs="Arial"/>
          <w:szCs w:val="22"/>
        </w:rPr>
        <w:t xml:space="preserve">it is proposed </w:t>
      </w:r>
      <w:r w:rsidRPr="00B324DF">
        <w:rPr>
          <w:rFonts w:ascii="Arial" w:hAnsi="Arial" w:cs="Arial"/>
          <w:szCs w:val="22"/>
        </w:rPr>
        <w:t xml:space="preserve">to accept the offer of </w:t>
      </w:r>
      <w:r w:rsidR="005C6B67">
        <w:rPr>
          <w:rFonts w:ascii="Arial" w:hAnsi="Arial" w:cs="Arial"/>
        </w:rPr>
        <w:t xml:space="preserve">M/s </w:t>
      </w:r>
      <w:proofErr w:type="spellStart"/>
      <w:r w:rsidR="00174627" w:rsidRPr="008A2600">
        <w:rPr>
          <w:rFonts w:ascii="Arial" w:hAnsi="Arial" w:cs="Arial"/>
        </w:rPr>
        <w:t>Thermo</w:t>
      </w:r>
      <w:proofErr w:type="spellEnd"/>
      <w:r w:rsidR="00174627" w:rsidRPr="008A2600">
        <w:rPr>
          <w:rFonts w:ascii="Arial" w:hAnsi="Arial" w:cs="Arial"/>
        </w:rPr>
        <w:t xml:space="preserve"> Fisher Scientific India Private Limited</w:t>
      </w:r>
      <w:r w:rsidR="0017462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C354DA">
        <w:rPr>
          <w:rFonts w:ascii="Arial" w:eastAsia="Times New Roman" w:hAnsi="Arial" w:cs="Arial"/>
          <w:color w:val="000000"/>
          <w:lang w:eastAsia="en-IN"/>
        </w:rPr>
        <w:t>(</w:t>
      </w:r>
      <w:r w:rsidR="00C354DA" w:rsidRPr="00C354DA">
        <w:rPr>
          <w:rFonts w:ascii="Arial" w:eastAsia="Times New Roman" w:hAnsi="Arial" w:cs="Arial"/>
          <w:b/>
          <w:bCs/>
          <w:color w:val="000000"/>
          <w:lang w:eastAsia="en-IN"/>
        </w:rPr>
        <w:t>V Code: 1207190</w:t>
      </w:r>
      <w:r w:rsidR="00C354DA">
        <w:rPr>
          <w:rFonts w:ascii="Arial" w:eastAsia="Times New Roman" w:hAnsi="Arial" w:cs="Arial"/>
          <w:color w:val="000000"/>
          <w:lang w:eastAsia="en-IN"/>
        </w:rPr>
        <w:t xml:space="preserve">) </w:t>
      </w:r>
      <w:r w:rsidRPr="0004058B">
        <w:rPr>
          <w:rFonts w:ascii="Arial" w:hAnsi="Arial" w:cs="Arial"/>
          <w:szCs w:val="22"/>
        </w:rPr>
        <w:t>and</w:t>
      </w:r>
      <w:r w:rsidRPr="00B324DF">
        <w:rPr>
          <w:rFonts w:ascii="Arial" w:hAnsi="Arial" w:cs="Arial"/>
          <w:szCs w:val="22"/>
        </w:rPr>
        <w:t xml:space="preserve"> award the contract for</w:t>
      </w:r>
      <w:r w:rsidR="00FC20E5">
        <w:rPr>
          <w:rFonts w:ascii="Arial" w:hAnsi="Arial" w:cs="Arial"/>
          <w:szCs w:val="22"/>
        </w:rPr>
        <w:t xml:space="preserve"> the subject package </w:t>
      </w:r>
      <w:r w:rsidRPr="00B324DF">
        <w:rPr>
          <w:rFonts w:ascii="Arial" w:hAnsi="Arial" w:cs="Arial"/>
          <w:szCs w:val="22"/>
        </w:rPr>
        <w:t>with the details given below: -</w:t>
      </w:r>
    </w:p>
    <w:p w14:paraId="6FE325B1" w14:textId="77777777" w:rsidR="00CA4DF6" w:rsidRPr="00B324DF" w:rsidRDefault="00CA4DF6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5782"/>
      </w:tblGrid>
      <w:tr w:rsidR="005B65A8" w:rsidRPr="00B324DF" w14:paraId="42B688F7" w14:textId="77777777" w:rsidTr="009959AF">
        <w:tc>
          <w:tcPr>
            <w:tcW w:w="534" w:type="dxa"/>
          </w:tcPr>
          <w:p w14:paraId="7829E212" w14:textId="77777777" w:rsidR="00CA4DF6" w:rsidRPr="00B324DF" w:rsidRDefault="00CA4DF6" w:rsidP="00FE0F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B324DF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260" w:type="dxa"/>
          </w:tcPr>
          <w:p w14:paraId="79D2C698" w14:textId="77777777" w:rsidR="00CA4DF6" w:rsidRPr="00B324DF" w:rsidRDefault="00CA4DF6" w:rsidP="00FE0F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B324DF">
              <w:rPr>
                <w:rFonts w:ascii="Arial" w:hAnsi="Arial" w:cs="Arial"/>
                <w:szCs w:val="22"/>
              </w:rPr>
              <w:t>Total Contract Value</w:t>
            </w:r>
          </w:p>
        </w:tc>
        <w:tc>
          <w:tcPr>
            <w:tcW w:w="5782" w:type="dxa"/>
          </w:tcPr>
          <w:p w14:paraId="2619B160" w14:textId="5ACC5E65" w:rsidR="00FD7311" w:rsidRPr="00B324DF" w:rsidRDefault="00CB1264" w:rsidP="00666B0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INR</w:t>
            </w:r>
            <w:r w:rsidR="00A36A2A" w:rsidRPr="004A42C5">
              <w:rPr>
                <w:rFonts w:ascii="Arial" w:hAnsi="Arial" w:cs="Arial"/>
                <w:szCs w:val="22"/>
              </w:rPr>
              <w:t xml:space="preserve"> </w:t>
            </w:r>
            <w:r w:rsidR="0000395E">
              <w:rPr>
                <w:rFonts w:ascii="Arial" w:eastAsia="Times New Roman" w:hAnsi="Arial" w:cs="Arial"/>
                <w:szCs w:val="22"/>
                <w:lang w:val="en-IN" w:eastAsia="en-IN" w:bidi="ar-SA"/>
              </w:rPr>
              <w:t>1,</w:t>
            </w:r>
            <w:r w:rsidR="00174627">
              <w:rPr>
                <w:rFonts w:ascii="Arial" w:eastAsia="Times New Roman" w:hAnsi="Arial" w:cs="Arial"/>
                <w:szCs w:val="22"/>
                <w:lang w:val="en-IN" w:eastAsia="en-IN" w:bidi="ar-SA"/>
              </w:rPr>
              <w:t>09,45,762</w:t>
            </w:r>
            <w:r w:rsidR="008C2373">
              <w:rPr>
                <w:rFonts w:ascii="Arial" w:eastAsia="Times New Roman" w:hAnsi="Arial" w:cs="Arial"/>
                <w:szCs w:val="22"/>
                <w:lang w:val="en-IN" w:eastAsia="en-IN" w:bidi="ar-SA"/>
              </w:rPr>
              <w:t>.71</w:t>
            </w:r>
            <w:r w:rsidR="005A74D0">
              <w:rPr>
                <w:rFonts w:ascii="Arial" w:hAnsi="Arial" w:cs="Arial"/>
                <w:szCs w:val="22"/>
              </w:rPr>
              <w:t>/-</w:t>
            </w:r>
            <w:r w:rsidR="00BC4FA3">
              <w:rPr>
                <w:rFonts w:ascii="Arial" w:hAnsi="Arial" w:cs="Arial"/>
                <w:szCs w:val="22"/>
              </w:rPr>
              <w:t xml:space="preserve"> </w:t>
            </w:r>
            <w:r w:rsidR="00174627">
              <w:rPr>
                <w:rFonts w:ascii="Arial" w:hAnsi="Arial" w:cs="Arial"/>
                <w:szCs w:val="22"/>
              </w:rPr>
              <w:t>excluding</w:t>
            </w:r>
            <w:r w:rsidR="00BC4FA3">
              <w:rPr>
                <w:rFonts w:ascii="Arial" w:hAnsi="Arial" w:cs="Arial"/>
                <w:szCs w:val="22"/>
              </w:rPr>
              <w:t xml:space="preserve"> GST</w:t>
            </w:r>
          </w:p>
        </w:tc>
      </w:tr>
      <w:tr w:rsidR="005B65A8" w:rsidRPr="00B324DF" w14:paraId="00DDD45C" w14:textId="77777777" w:rsidTr="009959AF">
        <w:tc>
          <w:tcPr>
            <w:tcW w:w="534" w:type="dxa"/>
          </w:tcPr>
          <w:p w14:paraId="6FB14471" w14:textId="77777777" w:rsidR="00CA4DF6" w:rsidRPr="00B324DF" w:rsidRDefault="00B57692" w:rsidP="00FE0F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B324DF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3260" w:type="dxa"/>
          </w:tcPr>
          <w:p w14:paraId="7E9BA5A6" w14:textId="1B4C0FE4" w:rsidR="00CA4DF6" w:rsidRPr="00B324DF" w:rsidRDefault="005A74D0" w:rsidP="00FE0F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Completion Period</w:t>
            </w:r>
          </w:p>
        </w:tc>
        <w:tc>
          <w:tcPr>
            <w:tcW w:w="5782" w:type="dxa"/>
          </w:tcPr>
          <w:p w14:paraId="342EC239" w14:textId="744DC49D" w:rsidR="00CA4DF6" w:rsidRPr="00B324DF" w:rsidRDefault="00174627" w:rsidP="005A74D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04</w:t>
            </w:r>
            <w:r w:rsidR="002C7844" w:rsidRPr="002C7844">
              <w:rPr>
                <w:rFonts w:ascii="Arial" w:hAnsi="Arial" w:cs="Arial"/>
                <w:szCs w:val="22"/>
              </w:rPr>
              <w:t xml:space="preserve"> months</w:t>
            </w:r>
          </w:p>
        </w:tc>
      </w:tr>
      <w:tr w:rsidR="005B65A8" w:rsidRPr="00B324DF" w14:paraId="77C073A9" w14:textId="77777777" w:rsidTr="009959AF">
        <w:tc>
          <w:tcPr>
            <w:tcW w:w="534" w:type="dxa"/>
          </w:tcPr>
          <w:p w14:paraId="4E16B61A" w14:textId="76927B75" w:rsidR="00B57692" w:rsidRPr="00B324DF" w:rsidRDefault="00C203F5" w:rsidP="00FE0F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3260" w:type="dxa"/>
          </w:tcPr>
          <w:p w14:paraId="5854E321" w14:textId="77777777" w:rsidR="00B57692" w:rsidRPr="00B324DF" w:rsidRDefault="00B57692" w:rsidP="00FE0F53">
            <w:pPr>
              <w:jc w:val="both"/>
              <w:rPr>
                <w:rFonts w:ascii="Arial" w:hAnsi="Arial" w:cs="Arial"/>
                <w:szCs w:val="22"/>
              </w:rPr>
            </w:pPr>
            <w:r w:rsidRPr="00B324DF">
              <w:rPr>
                <w:rFonts w:ascii="Arial" w:hAnsi="Arial" w:cs="Arial"/>
                <w:szCs w:val="22"/>
              </w:rPr>
              <w:t xml:space="preserve">GST </w:t>
            </w:r>
          </w:p>
        </w:tc>
        <w:tc>
          <w:tcPr>
            <w:tcW w:w="5782" w:type="dxa"/>
          </w:tcPr>
          <w:p w14:paraId="4B9A411B" w14:textId="7DFCAFFB" w:rsidR="00B57692" w:rsidRPr="00B324DF" w:rsidRDefault="00174627" w:rsidP="0010645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Extra @ 18%</w:t>
            </w:r>
          </w:p>
        </w:tc>
      </w:tr>
      <w:tr w:rsidR="00E21C27" w:rsidRPr="00B324DF" w14:paraId="71968B9D" w14:textId="77777777" w:rsidTr="009959AF">
        <w:tc>
          <w:tcPr>
            <w:tcW w:w="534" w:type="dxa"/>
          </w:tcPr>
          <w:p w14:paraId="5644358A" w14:textId="21AC82F1" w:rsidR="00E21C27" w:rsidRDefault="00E21C27" w:rsidP="00FE0F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</w:p>
        </w:tc>
        <w:tc>
          <w:tcPr>
            <w:tcW w:w="3260" w:type="dxa"/>
          </w:tcPr>
          <w:p w14:paraId="11C6CE4B" w14:textId="3929B37F" w:rsidR="00E21C27" w:rsidRPr="00B324DF" w:rsidRDefault="00E21C27" w:rsidP="00FE0F53">
            <w:pPr>
              <w:jc w:val="both"/>
              <w:rPr>
                <w:rFonts w:ascii="Arial" w:hAnsi="Arial" w:cs="Arial"/>
                <w:szCs w:val="22"/>
              </w:rPr>
            </w:pPr>
            <w:r w:rsidRPr="00E21C27">
              <w:rPr>
                <w:rFonts w:ascii="Arial" w:hAnsi="Arial" w:cs="Arial"/>
                <w:szCs w:val="22"/>
              </w:rPr>
              <w:t>PBG/SD</w:t>
            </w:r>
          </w:p>
        </w:tc>
        <w:tc>
          <w:tcPr>
            <w:tcW w:w="5782" w:type="dxa"/>
          </w:tcPr>
          <w:p w14:paraId="140DE304" w14:textId="77777777" w:rsidR="00E21C27" w:rsidRDefault="00E21C27" w:rsidP="0010645B">
            <w:pPr>
              <w:jc w:val="both"/>
              <w:rPr>
                <w:rFonts w:ascii="Arial" w:hAnsi="Arial" w:cs="Arial"/>
                <w:szCs w:val="22"/>
              </w:rPr>
            </w:pPr>
            <w:r w:rsidRPr="00E21C27">
              <w:rPr>
                <w:rFonts w:ascii="Arial" w:hAnsi="Arial" w:cs="Arial"/>
                <w:szCs w:val="22"/>
              </w:rPr>
              <w:t xml:space="preserve">PBG/SD </w:t>
            </w:r>
            <w:r w:rsidR="00F50E83">
              <w:rPr>
                <w:rFonts w:ascii="Arial" w:hAnsi="Arial" w:cs="Arial"/>
                <w:szCs w:val="22"/>
              </w:rPr>
              <w:t>10</w:t>
            </w:r>
            <w:r w:rsidRPr="00E21C27">
              <w:rPr>
                <w:rFonts w:ascii="Arial" w:hAnsi="Arial" w:cs="Arial"/>
                <w:szCs w:val="22"/>
              </w:rPr>
              <w:t>% of contract value to be submitted. In case of non-submission of PBG, equivalent amount will be retained against PBG.</w:t>
            </w:r>
          </w:p>
          <w:p w14:paraId="45948A14" w14:textId="77777777" w:rsidR="00174627" w:rsidRDefault="00174627" w:rsidP="0010645B">
            <w:pPr>
              <w:jc w:val="both"/>
              <w:rPr>
                <w:rFonts w:ascii="Arial" w:hAnsi="Arial" w:cs="Arial"/>
                <w:szCs w:val="22"/>
              </w:rPr>
            </w:pPr>
          </w:p>
          <w:p w14:paraId="12E4E0F3" w14:textId="6E820D16" w:rsidR="00174627" w:rsidRDefault="00174627" w:rsidP="0010645B">
            <w:pPr>
              <w:jc w:val="both"/>
              <w:rPr>
                <w:rFonts w:ascii="Arial" w:hAnsi="Arial" w:cs="Arial"/>
                <w:szCs w:val="22"/>
              </w:rPr>
            </w:pPr>
            <w:bookmarkStart w:id="2" w:name="_Hlk146537596"/>
            <w:r>
              <w:rPr>
                <w:rFonts w:ascii="Arial" w:eastAsia="DejaVuSans" w:hAnsi="Arial" w:cs="Arial"/>
              </w:rPr>
              <w:t xml:space="preserve">Further, Bidder </w:t>
            </w:r>
            <w:proofErr w:type="gramStart"/>
            <w:r>
              <w:rPr>
                <w:rFonts w:ascii="Arial" w:eastAsia="DejaVuSans" w:hAnsi="Arial" w:cs="Arial"/>
              </w:rPr>
              <w:t>has to</w:t>
            </w:r>
            <w:proofErr w:type="gramEnd"/>
            <w:r>
              <w:rPr>
                <w:rFonts w:ascii="Arial" w:eastAsia="DejaVuSans" w:hAnsi="Arial" w:cs="Arial"/>
              </w:rPr>
              <w:t xml:space="preserve"> furnish BG of 1.7% of Award value before release of initial PBG (42 months after award) to secure the AMC of Contract.</w:t>
            </w:r>
            <w:bookmarkEnd w:id="2"/>
          </w:p>
        </w:tc>
      </w:tr>
      <w:tr w:rsidR="005B65A8" w:rsidRPr="00B324DF" w14:paraId="7DD29883" w14:textId="77777777" w:rsidTr="009959AF">
        <w:tc>
          <w:tcPr>
            <w:tcW w:w="534" w:type="dxa"/>
          </w:tcPr>
          <w:p w14:paraId="2D2205D8" w14:textId="37E8CC68" w:rsidR="00CA4DF6" w:rsidRPr="00F11CE2" w:rsidRDefault="00FE264F" w:rsidP="00FE0F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5</w:t>
            </w:r>
          </w:p>
        </w:tc>
        <w:tc>
          <w:tcPr>
            <w:tcW w:w="3260" w:type="dxa"/>
          </w:tcPr>
          <w:p w14:paraId="0D46F53B" w14:textId="77777777" w:rsidR="00CA4DF6" w:rsidRPr="00F11CE2" w:rsidRDefault="00B57692" w:rsidP="00FE0F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F11CE2">
              <w:rPr>
                <w:rFonts w:ascii="Arial" w:hAnsi="Arial" w:cs="Arial"/>
                <w:szCs w:val="22"/>
              </w:rPr>
              <w:t>Payment Terms</w:t>
            </w:r>
          </w:p>
        </w:tc>
        <w:tc>
          <w:tcPr>
            <w:tcW w:w="5782" w:type="dxa"/>
          </w:tcPr>
          <w:p w14:paraId="6045FB92" w14:textId="77777777" w:rsidR="008543C7" w:rsidRPr="008543C7" w:rsidRDefault="008543C7" w:rsidP="008543C7">
            <w:pPr>
              <w:numPr>
                <w:ilvl w:val="0"/>
                <w:numId w:val="7"/>
              </w:numPr>
              <w:tabs>
                <w:tab w:val="left" w:pos="461"/>
              </w:tabs>
              <w:kinsoku w:val="0"/>
              <w:overflowPunct w:val="0"/>
              <w:autoSpaceDE w:val="0"/>
              <w:autoSpaceDN w:val="0"/>
              <w:adjustRightInd w:val="0"/>
              <w:spacing w:before="122" w:line="259" w:lineRule="auto"/>
              <w:ind w:right="113" w:hanging="360"/>
              <w:jc w:val="both"/>
              <w:rPr>
                <w:rFonts w:ascii="Arial" w:hAnsi="Arial" w:cs="Arial"/>
                <w:szCs w:val="22"/>
                <w:lang w:val="en-IN" w:bidi="ar-SA"/>
              </w:rPr>
            </w:pPr>
            <w:r w:rsidRPr="008543C7">
              <w:rPr>
                <w:rFonts w:ascii="Arial" w:hAnsi="Arial" w:cs="Arial"/>
                <w:szCs w:val="22"/>
                <w:lang w:val="en-IN" w:bidi="ar-SA"/>
              </w:rPr>
              <w:t xml:space="preserve">90% of the value of CAAQMS with 100% taxes within 30 days from the date of receipt and acceptance of the material at site or within 30 days from the date of receipt of supplier’s Tax Invoice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lastRenderedPageBreak/>
              <w:t>whichever is</w:t>
            </w:r>
            <w:r w:rsidRPr="008543C7">
              <w:rPr>
                <w:rFonts w:ascii="Arial" w:hAnsi="Arial" w:cs="Arial"/>
                <w:spacing w:val="-33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later.</w:t>
            </w:r>
          </w:p>
          <w:p w14:paraId="77D0F87C" w14:textId="77777777" w:rsidR="008543C7" w:rsidRPr="008543C7" w:rsidRDefault="008543C7" w:rsidP="008543C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jc w:val="both"/>
              <w:rPr>
                <w:rFonts w:ascii="Arial" w:hAnsi="Arial" w:cs="Arial"/>
                <w:sz w:val="23"/>
                <w:szCs w:val="23"/>
                <w:lang w:val="en-IN" w:bidi="ar-SA"/>
              </w:rPr>
            </w:pPr>
          </w:p>
          <w:p w14:paraId="26D9B532" w14:textId="77777777" w:rsidR="008543C7" w:rsidRPr="008543C7" w:rsidRDefault="008543C7" w:rsidP="008543C7">
            <w:pPr>
              <w:numPr>
                <w:ilvl w:val="0"/>
                <w:numId w:val="7"/>
              </w:numPr>
              <w:tabs>
                <w:tab w:val="left" w:pos="461"/>
              </w:tabs>
              <w:kinsoku w:val="0"/>
              <w:overflowPunct w:val="0"/>
              <w:autoSpaceDE w:val="0"/>
              <w:autoSpaceDN w:val="0"/>
              <w:adjustRightInd w:val="0"/>
              <w:spacing w:line="259" w:lineRule="auto"/>
              <w:ind w:right="288" w:hanging="360"/>
              <w:jc w:val="both"/>
              <w:rPr>
                <w:rFonts w:ascii="Arial" w:hAnsi="Arial" w:cs="Arial"/>
                <w:szCs w:val="22"/>
                <w:lang w:val="en-IN" w:bidi="ar-SA"/>
              </w:rPr>
            </w:pPr>
            <w:r w:rsidRPr="008543C7">
              <w:rPr>
                <w:rFonts w:ascii="Arial" w:hAnsi="Arial" w:cs="Arial"/>
                <w:szCs w:val="22"/>
                <w:lang w:val="en-IN" w:bidi="ar-SA"/>
              </w:rPr>
              <w:t>Balance 10% of CAAQMS within 30 days from date of satisfactory commissioning. If commissioning got delayed and reason not attributed to vendor then balance 10 % to be release after 120 days of delivery against submission of</w:t>
            </w:r>
            <w:r w:rsidRPr="008543C7">
              <w:rPr>
                <w:rFonts w:ascii="Arial" w:hAnsi="Arial" w:cs="Arial"/>
                <w:spacing w:val="44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PBG.</w:t>
            </w:r>
          </w:p>
          <w:p w14:paraId="0908F44B" w14:textId="77777777" w:rsidR="008543C7" w:rsidRPr="008543C7" w:rsidRDefault="008543C7" w:rsidP="008543C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jc w:val="both"/>
              <w:rPr>
                <w:rFonts w:ascii="Arial" w:hAnsi="Arial" w:cs="Arial"/>
                <w:sz w:val="23"/>
                <w:szCs w:val="23"/>
                <w:lang w:val="en-IN" w:bidi="ar-SA"/>
              </w:rPr>
            </w:pPr>
          </w:p>
          <w:p w14:paraId="37908C68" w14:textId="213F3AA3" w:rsidR="008543C7" w:rsidRPr="008543C7" w:rsidRDefault="008543C7" w:rsidP="008543C7">
            <w:pPr>
              <w:numPr>
                <w:ilvl w:val="0"/>
                <w:numId w:val="7"/>
              </w:numPr>
              <w:tabs>
                <w:tab w:val="left" w:pos="461"/>
              </w:tabs>
              <w:kinsoku w:val="0"/>
              <w:overflowPunct w:val="0"/>
              <w:autoSpaceDE w:val="0"/>
              <w:autoSpaceDN w:val="0"/>
              <w:adjustRightInd w:val="0"/>
              <w:ind w:right="116" w:hanging="360"/>
              <w:jc w:val="both"/>
              <w:rPr>
                <w:rFonts w:ascii="Arial" w:hAnsi="Arial" w:cs="Arial"/>
                <w:szCs w:val="22"/>
                <w:lang w:val="en-IN" w:bidi="ar-SA"/>
              </w:rPr>
            </w:pPr>
            <w:r w:rsidRPr="008543C7">
              <w:rPr>
                <w:rFonts w:ascii="Arial" w:hAnsi="Arial" w:cs="Arial"/>
                <w:szCs w:val="22"/>
                <w:lang w:val="en-IN" w:bidi="ar-SA"/>
              </w:rPr>
              <w:t>The</w:t>
            </w:r>
            <w:r w:rsidRPr="008543C7">
              <w:rPr>
                <w:rFonts w:ascii="Arial" w:hAnsi="Arial" w:cs="Arial"/>
                <w:spacing w:val="19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payment</w:t>
            </w:r>
            <w:r w:rsidRPr="008543C7">
              <w:rPr>
                <w:rFonts w:ascii="Arial" w:hAnsi="Arial" w:cs="Arial"/>
                <w:spacing w:val="19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for</w:t>
            </w:r>
            <w:r w:rsidRPr="008543C7">
              <w:rPr>
                <w:rFonts w:ascii="Arial" w:hAnsi="Arial" w:cs="Arial"/>
                <w:spacing w:val="21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CAMC</w:t>
            </w:r>
            <w:r w:rsidRPr="008543C7">
              <w:rPr>
                <w:rFonts w:ascii="Arial" w:hAnsi="Arial" w:cs="Arial"/>
                <w:spacing w:val="19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will</w:t>
            </w:r>
            <w:r w:rsidRPr="008543C7">
              <w:rPr>
                <w:rFonts w:ascii="Arial" w:hAnsi="Arial" w:cs="Arial"/>
                <w:spacing w:val="21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be</w:t>
            </w:r>
            <w:r w:rsidRPr="008543C7">
              <w:rPr>
                <w:rFonts w:ascii="Arial" w:hAnsi="Arial" w:cs="Arial"/>
                <w:spacing w:val="19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made</w:t>
            </w:r>
            <w:r w:rsidRPr="008543C7">
              <w:rPr>
                <w:rFonts w:ascii="Arial" w:hAnsi="Arial" w:cs="Arial"/>
                <w:spacing w:val="21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on</w:t>
            </w:r>
            <w:r w:rsidRPr="008543C7">
              <w:rPr>
                <w:rFonts w:ascii="Arial" w:hAnsi="Arial" w:cs="Arial"/>
                <w:spacing w:val="19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quarterly</w:t>
            </w:r>
            <w:r w:rsidRPr="008543C7">
              <w:rPr>
                <w:rFonts w:ascii="Arial" w:hAnsi="Arial" w:cs="Arial"/>
                <w:spacing w:val="21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basis</w:t>
            </w:r>
            <w:r w:rsidR="00797D59">
              <w:rPr>
                <w:rFonts w:ascii="Arial" w:hAnsi="Arial" w:cs="Arial"/>
                <w:szCs w:val="22"/>
                <w:lang w:val="en-IN" w:bidi="ar-SA"/>
              </w:rPr>
              <w:t xml:space="preserve"> on pro-rata basis</w:t>
            </w:r>
            <w:r w:rsidRPr="008543C7">
              <w:rPr>
                <w:rFonts w:ascii="Arial" w:hAnsi="Arial" w:cs="Arial"/>
                <w:spacing w:val="19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after</w:t>
            </w:r>
            <w:r w:rsidRPr="008543C7">
              <w:rPr>
                <w:rFonts w:ascii="Arial" w:hAnsi="Arial" w:cs="Arial"/>
                <w:spacing w:val="21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successful</w:t>
            </w:r>
            <w:r w:rsidRPr="008543C7">
              <w:rPr>
                <w:rFonts w:ascii="Arial" w:hAnsi="Arial" w:cs="Arial"/>
                <w:spacing w:val="19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completion</w:t>
            </w:r>
            <w:r w:rsidRPr="008543C7">
              <w:rPr>
                <w:rFonts w:ascii="Arial" w:hAnsi="Arial" w:cs="Arial"/>
                <w:spacing w:val="21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of</w:t>
            </w:r>
            <w:r w:rsidRPr="008543C7">
              <w:rPr>
                <w:rFonts w:ascii="Arial" w:hAnsi="Arial" w:cs="Arial"/>
                <w:spacing w:val="-1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every</w:t>
            </w:r>
            <w:r w:rsidRPr="008543C7">
              <w:rPr>
                <w:rFonts w:ascii="Arial" w:hAnsi="Arial" w:cs="Arial"/>
                <w:spacing w:val="-1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3</w:t>
            </w:r>
            <w:r w:rsidRPr="008543C7">
              <w:rPr>
                <w:rFonts w:ascii="Arial" w:hAnsi="Arial" w:cs="Arial"/>
                <w:spacing w:val="-1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months</w:t>
            </w:r>
            <w:r w:rsidRPr="008543C7">
              <w:rPr>
                <w:rFonts w:ascii="Arial" w:hAnsi="Arial" w:cs="Arial"/>
                <w:spacing w:val="-1"/>
                <w:szCs w:val="22"/>
                <w:lang w:val="en-IN" w:bidi="ar-SA"/>
              </w:rPr>
              <w:t xml:space="preserve"> </w:t>
            </w:r>
            <w:r w:rsidRPr="008543C7">
              <w:rPr>
                <w:rFonts w:ascii="Arial" w:hAnsi="Arial" w:cs="Arial"/>
                <w:szCs w:val="22"/>
                <w:lang w:val="en-IN" w:bidi="ar-SA"/>
              </w:rPr>
              <w:t>period.</w:t>
            </w:r>
          </w:p>
          <w:p w14:paraId="40F478FF" w14:textId="19F4D2C1" w:rsidR="00BC4FA3" w:rsidRPr="003B737D" w:rsidRDefault="00BC4FA3" w:rsidP="003B737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264F" w:rsidRPr="00B324DF" w14:paraId="3DB8837D" w14:textId="77777777" w:rsidTr="009959AF">
        <w:tc>
          <w:tcPr>
            <w:tcW w:w="534" w:type="dxa"/>
          </w:tcPr>
          <w:p w14:paraId="57DC0133" w14:textId="5C546D9A" w:rsidR="00FE264F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lastRenderedPageBreak/>
              <w:t>6</w:t>
            </w:r>
          </w:p>
        </w:tc>
        <w:tc>
          <w:tcPr>
            <w:tcW w:w="3260" w:type="dxa"/>
          </w:tcPr>
          <w:p w14:paraId="2E26D347" w14:textId="4902611B" w:rsidR="00FE264F" w:rsidRPr="00F11CE2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5D1005">
              <w:rPr>
                <w:rFonts w:ascii="Arial" w:hAnsi="Arial" w:cs="Arial"/>
                <w:szCs w:val="22"/>
              </w:rPr>
              <w:t>Payment Mode</w:t>
            </w:r>
          </w:p>
        </w:tc>
        <w:tc>
          <w:tcPr>
            <w:tcW w:w="5782" w:type="dxa"/>
          </w:tcPr>
          <w:p w14:paraId="228404CA" w14:textId="11730F46" w:rsidR="00FE264F" w:rsidRPr="00C203F5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EFT</w:t>
            </w:r>
          </w:p>
        </w:tc>
      </w:tr>
      <w:tr w:rsidR="00FE264F" w:rsidRPr="00B324DF" w14:paraId="7114FD58" w14:textId="77777777" w:rsidTr="009959AF">
        <w:tc>
          <w:tcPr>
            <w:tcW w:w="534" w:type="dxa"/>
          </w:tcPr>
          <w:p w14:paraId="337512D3" w14:textId="734811C2" w:rsidR="00FE264F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7</w:t>
            </w:r>
          </w:p>
        </w:tc>
        <w:tc>
          <w:tcPr>
            <w:tcW w:w="3260" w:type="dxa"/>
          </w:tcPr>
          <w:p w14:paraId="2D5FFD53" w14:textId="10AC73BB" w:rsidR="00FE264F" w:rsidRPr="00F11CE2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C203F5">
              <w:rPr>
                <w:rFonts w:ascii="Arial" w:hAnsi="Arial" w:cs="Arial"/>
                <w:szCs w:val="22"/>
              </w:rPr>
              <w:t>Signing of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C203F5">
              <w:rPr>
                <w:rFonts w:ascii="Arial" w:hAnsi="Arial" w:cs="Arial"/>
                <w:szCs w:val="22"/>
              </w:rPr>
              <w:t>Contract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C203F5">
              <w:rPr>
                <w:rFonts w:ascii="Arial" w:hAnsi="Arial" w:cs="Arial"/>
                <w:szCs w:val="22"/>
              </w:rPr>
              <w:t>Agreement</w:t>
            </w:r>
          </w:p>
        </w:tc>
        <w:tc>
          <w:tcPr>
            <w:tcW w:w="5782" w:type="dxa"/>
          </w:tcPr>
          <w:p w14:paraId="5686165E" w14:textId="6D4BA874" w:rsidR="00FE264F" w:rsidRPr="00C203F5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5D1005">
              <w:rPr>
                <w:rFonts w:ascii="Arial" w:hAnsi="Arial" w:cs="Arial"/>
                <w:szCs w:val="22"/>
              </w:rPr>
              <w:t xml:space="preserve">The Agency </w:t>
            </w:r>
            <w:proofErr w:type="gramStart"/>
            <w:r w:rsidRPr="005D1005">
              <w:rPr>
                <w:rFonts w:ascii="Arial" w:hAnsi="Arial" w:cs="Arial"/>
                <w:szCs w:val="22"/>
              </w:rPr>
              <w:t>has to</w:t>
            </w:r>
            <w:proofErr w:type="gramEnd"/>
            <w:r w:rsidRPr="005D1005">
              <w:rPr>
                <w:rFonts w:ascii="Arial" w:hAnsi="Arial" w:cs="Arial"/>
                <w:szCs w:val="22"/>
              </w:rPr>
              <w:t xml:space="preserve"> execute contract agreement with NTPC on appropriate value of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5D1005">
              <w:rPr>
                <w:rFonts w:ascii="Arial" w:hAnsi="Arial" w:cs="Arial"/>
                <w:szCs w:val="22"/>
              </w:rPr>
              <w:t>non-judicial stamp paper within one month from the date of letter of award.</w:t>
            </w:r>
          </w:p>
        </w:tc>
      </w:tr>
      <w:tr w:rsidR="00FE264F" w:rsidRPr="00B324DF" w14:paraId="6500990C" w14:textId="77777777" w:rsidTr="009959AF">
        <w:tc>
          <w:tcPr>
            <w:tcW w:w="534" w:type="dxa"/>
          </w:tcPr>
          <w:p w14:paraId="28D27E0A" w14:textId="1AE839E1" w:rsidR="00FE264F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</w:t>
            </w:r>
          </w:p>
        </w:tc>
        <w:tc>
          <w:tcPr>
            <w:tcW w:w="3260" w:type="dxa"/>
          </w:tcPr>
          <w:p w14:paraId="2E3A1D4D" w14:textId="5FB794FC" w:rsidR="00FE264F" w:rsidRPr="00C203F5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FA3B13">
              <w:rPr>
                <w:rFonts w:ascii="Arial" w:hAnsi="Arial" w:cs="Arial"/>
                <w:szCs w:val="22"/>
              </w:rPr>
              <w:t>Engineer In Charge (EIC)</w:t>
            </w:r>
          </w:p>
        </w:tc>
        <w:tc>
          <w:tcPr>
            <w:tcW w:w="5782" w:type="dxa"/>
          </w:tcPr>
          <w:p w14:paraId="0682DA62" w14:textId="59692310" w:rsidR="00FE264F" w:rsidRPr="005D1005" w:rsidRDefault="000B5326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</w:t>
            </w:r>
            <w:r w:rsidR="00FE264F">
              <w:rPr>
                <w:rFonts w:ascii="Arial" w:hAnsi="Arial" w:cs="Arial"/>
                <w:szCs w:val="22"/>
              </w:rPr>
              <w:t xml:space="preserve">GM- </w:t>
            </w:r>
            <w:proofErr w:type="spellStart"/>
            <w:r>
              <w:rPr>
                <w:rFonts w:ascii="Arial" w:hAnsi="Arial" w:cs="Arial"/>
                <w:szCs w:val="22"/>
              </w:rPr>
              <w:t>Envt</w:t>
            </w:r>
            <w:proofErr w:type="spellEnd"/>
            <w:r>
              <w:rPr>
                <w:rFonts w:ascii="Arial" w:hAnsi="Arial" w:cs="Arial"/>
                <w:szCs w:val="22"/>
              </w:rPr>
              <w:t>. Mgt.</w:t>
            </w:r>
          </w:p>
        </w:tc>
      </w:tr>
      <w:tr w:rsidR="00FE264F" w:rsidRPr="00B324DF" w14:paraId="7C0792A0" w14:textId="77777777" w:rsidTr="00E21B4C">
        <w:tc>
          <w:tcPr>
            <w:tcW w:w="9576" w:type="dxa"/>
            <w:gridSpan w:val="3"/>
          </w:tcPr>
          <w:p w14:paraId="503E2B15" w14:textId="3CD34D85" w:rsidR="00FE264F" w:rsidRPr="00990115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IN"/>
              </w:rPr>
            </w:pPr>
            <w:r w:rsidRPr="00990115">
              <w:rPr>
                <w:rFonts w:ascii="Arial" w:hAnsi="Arial" w:cs="Arial"/>
                <w:szCs w:val="22"/>
                <w:lang w:val="en-IN"/>
              </w:rPr>
              <w:t>Rate shall be firm and escalation shall not be considered</w:t>
            </w:r>
            <w:r w:rsidR="00286A3A">
              <w:rPr>
                <w:rFonts w:ascii="Arial" w:hAnsi="Arial" w:cs="Arial"/>
                <w:szCs w:val="22"/>
                <w:lang w:val="en-IN"/>
              </w:rPr>
              <w:t xml:space="preserve"> (except for wage escalation)</w:t>
            </w:r>
          </w:p>
        </w:tc>
      </w:tr>
      <w:tr w:rsidR="00FE264F" w:rsidRPr="00B324DF" w14:paraId="5BE1365E" w14:textId="77777777" w:rsidTr="00E21B4C">
        <w:tc>
          <w:tcPr>
            <w:tcW w:w="9576" w:type="dxa"/>
            <w:gridSpan w:val="3"/>
          </w:tcPr>
          <w:p w14:paraId="499107B3" w14:textId="77777777" w:rsidR="00FE264F" w:rsidRPr="00990115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  <w:lang w:val="en-IN"/>
              </w:rPr>
            </w:pPr>
            <w:r w:rsidRPr="00990115">
              <w:rPr>
                <w:rFonts w:ascii="Arial" w:hAnsi="Arial" w:cs="Arial"/>
                <w:szCs w:val="22"/>
                <w:lang w:val="en-IN"/>
              </w:rPr>
              <w:t>Tax deduction shall be done as per relevant Acts / Rules.</w:t>
            </w:r>
          </w:p>
        </w:tc>
      </w:tr>
      <w:tr w:rsidR="00FE264F" w:rsidRPr="00B324DF" w14:paraId="270A0A5E" w14:textId="77777777" w:rsidTr="00E21B4C">
        <w:tc>
          <w:tcPr>
            <w:tcW w:w="9576" w:type="dxa"/>
            <w:gridSpan w:val="3"/>
          </w:tcPr>
          <w:p w14:paraId="69EF93E8" w14:textId="063E5A3A" w:rsidR="00FE264F" w:rsidRPr="00990115" w:rsidRDefault="00FE264F" w:rsidP="00FE26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FA3B13">
              <w:rPr>
                <w:rFonts w:ascii="Arial" w:hAnsi="Arial" w:cs="Arial"/>
                <w:szCs w:val="22"/>
              </w:rPr>
              <w:t xml:space="preserve">All other terms and conditions shall be </w:t>
            </w:r>
            <w:r>
              <w:rPr>
                <w:rFonts w:ascii="Arial" w:hAnsi="Arial" w:cs="Arial"/>
                <w:szCs w:val="22"/>
              </w:rPr>
              <w:t>as per Bidding Document</w:t>
            </w:r>
          </w:p>
        </w:tc>
      </w:tr>
    </w:tbl>
    <w:p w14:paraId="473C7EE1" w14:textId="77777777" w:rsidR="00CA4DF6" w:rsidRPr="00B324DF" w:rsidRDefault="00CA4DF6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00CA7B67" w14:textId="77777777" w:rsidR="00B57692" w:rsidRPr="00B324DF" w:rsidRDefault="00B57692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</w:p>
    <w:p w14:paraId="72ECD9FC" w14:textId="5463C015" w:rsidR="00B57692" w:rsidRDefault="00286A3A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7</w:t>
      </w:r>
      <w:r w:rsidR="00D95DA1">
        <w:rPr>
          <w:rFonts w:ascii="Arial" w:hAnsi="Arial" w:cs="Arial"/>
          <w:b/>
          <w:bCs/>
          <w:szCs w:val="22"/>
        </w:rPr>
        <w:t xml:space="preserve">.0 </w:t>
      </w:r>
      <w:r w:rsidR="00B57692" w:rsidRPr="00B324DF">
        <w:rPr>
          <w:rFonts w:ascii="Arial" w:hAnsi="Arial" w:cs="Arial"/>
          <w:b/>
          <w:bCs/>
          <w:szCs w:val="22"/>
        </w:rPr>
        <w:t>Approving Authority:</w:t>
      </w:r>
    </w:p>
    <w:p w14:paraId="037381E7" w14:textId="77777777" w:rsidR="00B15D53" w:rsidRPr="00B324DF" w:rsidRDefault="00B15D53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</w:rPr>
      </w:pPr>
    </w:p>
    <w:p w14:paraId="3A73BF0E" w14:textId="5C4917E4" w:rsidR="000C7AAE" w:rsidRPr="00B324DF" w:rsidRDefault="007F6AC3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B324DF">
        <w:rPr>
          <w:rFonts w:ascii="Arial" w:hAnsi="Arial" w:cs="Arial"/>
          <w:szCs w:val="22"/>
        </w:rPr>
        <w:t xml:space="preserve">As per Cl. </w:t>
      </w:r>
      <w:r w:rsidR="00163E9F">
        <w:rPr>
          <w:rFonts w:ascii="Arial" w:hAnsi="Arial" w:cs="Arial"/>
          <w:szCs w:val="22"/>
        </w:rPr>
        <w:t xml:space="preserve">4.1 a) </w:t>
      </w:r>
      <w:r w:rsidRPr="00B324DF">
        <w:rPr>
          <w:rFonts w:ascii="Arial" w:hAnsi="Arial" w:cs="Arial"/>
          <w:szCs w:val="22"/>
        </w:rPr>
        <w:t>of</w:t>
      </w:r>
      <w:r w:rsidR="00821F72">
        <w:rPr>
          <w:rFonts w:ascii="Arial" w:hAnsi="Arial" w:cs="Arial"/>
          <w:szCs w:val="22"/>
        </w:rPr>
        <w:t xml:space="preserve"> </w:t>
      </w:r>
      <w:r w:rsidRPr="00B324DF">
        <w:rPr>
          <w:rFonts w:ascii="Arial" w:hAnsi="Arial" w:cs="Arial"/>
          <w:szCs w:val="22"/>
        </w:rPr>
        <w:t>Section-</w:t>
      </w:r>
      <w:r w:rsidR="003B737D">
        <w:rPr>
          <w:rFonts w:ascii="Arial" w:hAnsi="Arial" w:cs="Arial"/>
          <w:szCs w:val="22"/>
        </w:rPr>
        <w:t>I</w:t>
      </w:r>
      <w:r w:rsidRPr="00B324DF">
        <w:rPr>
          <w:rFonts w:ascii="Arial" w:hAnsi="Arial" w:cs="Arial"/>
          <w:szCs w:val="22"/>
        </w:rPr>
        <w:t xml:space="preserve"> of DOP, award of subject proposal falls within the power of </w:t>
      </w:r>
      <w:r w:rsidR="00163E9F">
        <w:rPr>
          <w:rFonts w:ascii="Arial" w:hAnsi="Arial" w:cs="Arial"/>
          <w:szCs w:val="22"/>
        </w:rPr>
        <w:t>D</w:t>
      </w:r>
      <w:r w:rsidR="00F1100B">
        <w:rPr>
          <w:rFonts w:ascii="Arial" w:hAnsi="Arial" w:cs="Arial"/>
          <w:szCs w:val="22"/>
        </w:rPr>
        <w:t>G</w:t>
      </w:r>
      <w:r w:rsidR="00821F72">
        <w:rPr>
          <w:rFonts w:ascii="Arial" w:hAnsi="Arial" w:cs="Arial"/>
          <w:szCs w:val="22"/>
        </w:rPr>
        <w:t>M</w:t>
      </w:r>
    </w:p>
    <w:p w14:paraId="05755CAC" w14:textId="77777777" w:rsidR="000C7AAE" w:rsidRPr="00B324DF" w:rsidRDefault="000C7AAE" w:rsidP="00FE0F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</w:p>
    <w:p w14:paraId="53148369" w14:textId="7B266356" w:rsidR="007E0906" w:rsidRPr="00BC0957" w:rsidRDefault="000C7AAE" w:rsidP="007E09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2"/>
        </w:rPr>
      </w:pPr>
      <w:r w:rsidRPr="00B324DF">
        <w:rPr>
          <w:rFonts w:ascii="Arial" w:hAnsi="Arial" w:cs="Arial"/>
          <w:szCs w:val="22"/>
        </w:rPr>
        <w:t>Submitted for approval</w:t>
      </w:r>
      <w:r w:rsidR="003B737D">
        <w:rPr>
          <w:rFonts w:ascii="Arial" w:hAnsi="Arial" w:cs="Arial"/>
          <w:szCs w:val="22"/>
        </w:rPr>
        <w:t xml:space="preserve"> of </w:t>
      </w:r>
      <w:r w:rsidR="00163E9F">
        <w:rPr>
          <w:rFonts w:ascii="Arial" w:hAnsi="Arial" w:cs="Arial"/>
          <w:szCs w:val="22"/>
        </w:rPr>
        <w:t>A</w:t>
      </w:r>
      <w:r w:rsidR="003B737D">
        <w:rPr>
          <w:rFonts w:ascii="Arial" w:hAnsi="Arial" w:cs="Arial"/>
          <w:szCs w:val="22"/>
        </w:rPr>
        <w:t>GM (C&amp;M).</w:t>
      </w:r>
      <w:bookmarkEnd w:id="0"/>
    </w:p>
    <w:sectPr w:rsidR="007E0906" w:rsidRPr="00BC0957" w:rsidSect="00DC7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MS Gothic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FFFFFFFF"/>
    <w:lvl w:ilvl="0">
      <w:numFmt w:val="bullet"/>
      <w:lvlText w:val=""/>
      <w:lvlJc w:val="left"/>
      <w:pPr>
        <w:ind w:left="460" w:hanging="361"/>
      </w:pPr>
      <w:rPr>
        <w:rFonts w:ascii="Wingdings" w:hAnsi="Wingdings" w:cs="Wingdings"/>
        <w:b w:val="0"/>
        <w:bCs w:val="0"/>
        <w:w w:val="99"/>
        <w:sz w:val="22"/>
        <w:szCs w:val="22"/>
      </w:rPr>
    </w:lvl>
    <w:lvl w:ilvl="1">
      <w:numFmt w:val="bullet"/>
      <w:lvlText w:val="•"/>
      <w:lvlJc w:val="left"/>
      <w:pPr>
        <w:ind w:left="1336" w:hanging="361"/>
      </w:pPr>
    </w:lvl>
    <w:lvl w:ilvl="2">
      <w:numFmt w:val="bullet"/>
      <w:lvlText w:val="•"/>
      <w:lvlJc w:val="left"/>
      <w:pPr>
        <w:ind w:left="2212" w:hanging="361"/>
      </w:pPr>
    </w:lvl>
    <w:lvl w:ilvl="3">
      <w:numFmt w:val="bullet"/>
      <w:lvlText w:val="•"/>
      <w:lvlJc w:val="left"/>
      <w:pPr>
        <w:ind w:left="3088" w:hanging="361"/>
      </w:pPr>
    </w:lvl>
    <w:lvl w:ilvl="4">
      <w:numFmt w:val="bullet"/>
      <w:lvlText w:val="•"/>
      <w:lvlJc w:val="left"/>
      <w:pPr>
        <w:ind w:left="3964" w:hanging="361"/>
      </w:pPr>
    </w:lvl>
    <w:lvl w:ilvl="5">
      <w:numFmt w:val="bullet"/>
      <w:lvlText w:val="•"/>
      <w:lvlJc w:val="left"/>
      <w:pPr>
        <w:ind w:left="4840" w:hanging="361"/>
      </w:pPr>
    </w:lvl>
    <w:lvl w:ilvl="6">
      <w:numFmt w:val="bullet"/>
      <w:lvlText w:val="•"/>
      <w:lvlJc w:val="left"/>
      <w:pPr>
        <w:ind w:left="5716" w:hanging="361"/>
      </w:pPr>
    </w:lvl>
    <w:lvl w:ilvl="7">
      <w:numFmt w:val="bullet"/>
      <w:lvlText w:val="•"/>
      <w:lvlJc w:val="left"/>
      <w:pPr>
        <w:ind w:left="6592" w:hanging="361"/>
      </w:pPr>
    </w:lvl>
    <w:lvl w:ilvl="8">
      <w:numFmt w:val="bullet"/>
      <w:lvlText w:val="•"/>
      <w:lvlJc w:val="left"/>
      <w:pPr>
        <w:ind w:left="7468" w:hanging="361"/>
      </w:pPr>
    </w:lvl>
  </w:abstractNum>
  <w:abstractNum w:abstractNumId="1" w15:restartNumberingAfterBreak="0">
    <w:nsid w:val="02AC2495"/>
    <w:multiLevelType w:val="hybridMultilevel"/>
    <w:tmpl w:val="266457A0"/>
    <w:lvl w:ilvl="0" w:tplc="9C062D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A05B2"/>
    <w:multiLevelType w:val="hybridMultilevel"/>
    <w:tmpl w:val="806C297A"/>
    <w:lvl w:ilvl="0" w:tplc="C8CE2614">
      <w:start w:val="2"/>
      <w:numFmt w:val="lowerRoman"/>
      <w:lvlText w:val="(%1)"/>
      <w:lvlJc w:val="left"/>
      <w:pPr>
        <w:ind w:left="108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776AA"/>
    <w:multiLevelType w:val="hybridMultilevel"/>
    <w:tmpl w:val="77543420"/>
    <w:lvl w:ilvl="0" w:tplc="3604BF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F0353"/>
    <w:multiLevelType w:val="multilevel"/>
    <w:tmpl w:val="56AEB9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4085F0E"/>
    <w:multiLevelType w:val="hybridMultilevel"/>
    <w:tmpl w:val="A5D66FB0"/>
    <w:lvl w:ilvl="0" w:tplc="87CE8BF4">
      <w:start w:val="1"/>
      <w:numFmt w:val="lowerRoman"/>
      <w:lvlText w:val="%1."/>
      <w:lvlJc w:val="left"/>
      <w:pPr>
        <w:ind w:left="11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71AE7582"/>
    <w:multiLevelType w:val="hybridMultilevel"/>
    <w:tmpl w:val="E160AFA2"/>
    <w:lvl w:ilvl="0" w:tplc="09FA12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029288">
    <w:abstractNumId w:val="5"/>
  </w:num>
  <w:num w:numId="2" w16cid:durableId="466044876">
    <w:abstractNumId w:val="1"/>
  </w:num>
  <w:num w:numId="3" w16cid:durableId="1728142185">
    <w:abstractNumId w:val="6"/>
  </w:num>
  <w:num w:numId="4" w16cid:durableId="766116547">
    <w:abstractNumId w:val="3"/>
  </w:num>
  <w:num w:numId="5" w16cid:durableId="1620646292">
    <w:abstractNumId w:val="4"/>
  </w:num>
  <w:num w:numId="6" w16cid:durableId="1198932339">
    <w:abstractNumId w:val="2"/>
  </w:num>
  <w:num w:numId="7" w16cid:durableId="183876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609"/>
    <w:rsid w:val="0000100A"/>
    <w:rsid w:val="00002172"/>
    <w:rsid w:val="0000395E"/>
    <w:rsid w:val="00014FA3"/>
    <w:rsid w:val="0002038C"/>
    <w:rsid w:val="00021DA2"/>
    <w:rsid w:val="00033636"/>
    <w:rsid w:val="00034780"/>
    <w:rsid w:val="0004058B"/>
    <w:rsid w:val="0004376C"/>
    <w:rsid w:val="00054E31"/>
    <w:rsid w:val="000627E9"/>
    <w:rsid w:val="000629A7"/>
    <w:rsid w:val="0009135D"/>
    <w:rsid w:val="00094F0E"/>
    <w:rsid w:val="000A53EE"/>
    <w:rsid w:val="000B5326"/>
    <w:rsid w:val="000B628E"/>
    <w:rsid w:val="000C7AAE"/>
    <w:rsid w:val="000D456B"/>
    <w:rsid w:val="000D513A"/>
    <w:rsid w:val="000E7878"/>
    <w:rsid w:val="0010645B"/>
    <w:rsid w:val="00107447"/>
    <w:rsid w:val="00115AFA"/>
    <w:rsid w:val="001215A8"/>
    <w:rsid w:val="00127A07"/>
    <w:rsid w:val="00131B7F"/>
    <w:rsid w:val="0014274C"/>
    <w:rsid w:val="00160792"/>
    <w:rsid w:val="00161C1E"/>
    <w:rsid w:val="00163E9F"/>
    <w:rsid w:val="00174627"/>
    <w:rsid w:val="00175209"/>
    <w:rsid w:val="00191C4D"/>
    <w:rsid w:val="001B2C17"/>
    <w:rsid w:val="001B6133"/>
    <w:rsid w:val="001C7910"/>
    <w:rsid w:val="001C7D3B"/>
    <w:rsid w:val="001E26A2"/>
    <w:rsid w:val="001F2C4A"/>
    <w:rsid w:val="001F5513"/>
    <w:rsid w:val="002050A0"/>
    <w:rsid w:val="00205E8A"/>
    <w:rsid w:val="00236BAD"/>
    <w:rsid w:val="0024005E"/>
    <w:rsid w:val="0025254D"/>
    <w:rsid w:val="00267FA9"/>
    <w:rsid w:val="00285448"/>
    <w:rsid w:val="00286A3A"/>
    <w:rsid w:val="002B1891"/>
    <w:rsid w:val="002B411B"/>
    <w:rsid w:val="002C28BC"/>
    <w:rsid w:val="002C7844"/>
    <w:rsid w:val="002C78B1"/>
    <w:rsid w:val="002D1442"/>
    <w:rsid w:val="002E13D9"/>
    <w:rsid w:val="002E47D3"/>
    <w:rsid w:val="002E54E2"/>
    <w:rsid w:val="002E6F11"/>
    <w:rsid w:val="002F222F"/>
    <w:rsid w:val="003025D5"/>
    <w:rsid w:val="00302E15"/>
    <w:rsid w:val="0030445E"/>
    <w:rsid w:val="0031385B"/>
    <w:rsid w:val="00314816"/>
    <w:rsid w:val="00322E5A"/>
    <w:rsid w:val="00325798"/>
    <w:rsid w:val="00325AB3"/>
    <w:rsid w:val="0035522B"/>
    <w:rsid w:val="003616B3"/>
    <w:rsid w:val="00374DE6"/>
    <w:rsid w:val="003B737D"/>
    <w:rsid w:val="003E3483"/>
    <w:rsid w:val="003F0090"/>
    <w:rsid w:val="00417157"/>
    <w:rsid w:val="00417F75"/>
    <w:rsid w:val="00432402"/>
    <w:rsid w:val="004332FB"/>
    <w:rsid w:val="00461453"/>
    <w:rsid w:val="00465065"/>
    <w:rsid w:val="004706B6"/>
    <w:rsid w:val="004A42C5"/>
    <w:rsid w:val="004B142F"/>
    <w:rsid w:val="004C5763"/>
    <w:rsid w:val="004D4C46"/>
    <w:rsid w:val="004D5FC2"/>
    <w:rsid w:val="004D70AE"/>
    <w:rsid w:val="004E09EB"/>
    <w:rsid w:val="004E7A21"/>
    <w:rsid w:val="004F6D1E"/>
    <w:rsid w:val="005022F5"/>
    <w:rsid w:val="005129A1"/>
    <w:rsid w:val="00540609"/>
    <w:rsid w:val="005514CD"/>
    <w:rsid w:val="00551E17"/>
    <w:rsid w:val="00553069"/>
    <w:rsid w:val="00561400"/>
    <w:rsid w:val="00575B0B"/>
    <w:rsid w:val="00576089"/>
    <w:rsid w:val="00577277"/>
    <w:rsid w:val="00577959"/>
    <w:rsid w:val="00582266"/>
    <w:rsid w:val="005839CA"/>
    <w:rsid w:val="0058631F"/>
    <w:rsid w:val="00587A0E"/>
    <w:rsid w:val="005A0B22"/>
    <w:rsid w:val="005A58C7"/>
    <w:rsid w:val="005A74D0"/>
    <w:rsid w:val="005A7A4A"/>
    <w:rsid w:val="005B65A8"/>
    <w:rsid w:val="005C6B67"/>
    <w:rsid w:val="005C6E3A"/>
    <w:rsid w:val="005D1005"/>
    <w:rsid w:val="005E4278"/>
    <w:rsid w:val="005E4544"/>
    <w:rsid w:val="006005D1"/>
    <w:rsid w:val="0061037A"/>
    <w:rsid w:val="00621C25"/>
    <w:rsid w:val="00635889"/>
    <w:rsid w:val="006526E9"/>
    <w:rsid w:val="00652F57"/>
    <w:rsid w:val="006550B6"/>
    <w:rsid w:val="00655568"/>
    <w:rsid w:val="00663992"/>
    <w:rsid w:val="00666B03"/>
    <w:rsid w:val="00695F98"/>
    <w:rsid w:val="006A4BC6"/>
    <w:rsid w:val="006A62E5"/>
    <w:rsid w:val="006B2CE9"/>
    <w:rsid w:val="006B4FCA"/>
    <w:rsid w:val="006D0D23"/>
    <w:rsid w:val="006E65B1"/>
    <w:rsid w:val="006F6037"/>
    <w:rsid w:val="007033C7"/>
    <w:rsid w:val="00726F9F"/>
    <w:rsid w:val="007313C0"/>
    <w:rsid w:val="00744B48"/>
    <w:rsid w:val="007670E7"/>
    <w:rsid w:val="0078050E"/>
    <w:rsid w:val="0079306F"/>
    <w:rsid w:val="0079698C"/>
    <w:rsid w:val="00797D59"/>
    <w:rsid w:val="007A2497"/>
    <w:rsid w:val="007A644A"/>
    <w:rsid w:val="007B1584"/>
    <w:rsid w:val="007B206C"/>
    <w:rsid w:val="007B2D13"/>
    <w:rsid w:val="007E0906"/>
    <w:rsid w:val="007E4314"/>
    <w:rsid w:val="007E5E63"/>
    <w:rsid w:val="007E5FE6"/>
    <w:rsid w:val="007F6AC3"/>
    <w:rsid w:val="00803309"/>
    <w:rsid w:val="00821F72"/>
    <w:rsid w:val="0083222A"/>
    <w:rsid w:val="0083467B"/>
    <w:rsid w:val="008543C7"/>
    <w:rsid w:val="00855040"/>
    <w:rsid w:val="00861106"/>
    <w:rsid w:val="0086190F"/>
    <w:rsid w:val="00886B0C"/>
    <w:rsid w:val="00892AAC"/>
    <w:rsid w:val="00897765"/>
    <w:rsid w:val="008A29B2"/>
    <w:rsid w:val="008A4607"/>
    <w:rsid w:val="008A7889"/>
    <w:rsid w:val="008C2373"/>
    <w:rsid w:val="00900A92"/>
    <w:rsid w:val="00903C26"/>
    <w:rsid w:val="00903FF6"/>
    <w:rsid w:val="00924AFE"/>
    <w:rsid w:val="00925C21"/>
    <w:rsid w:val="00930515"/>
    <w:rsid w:val="00932462"/>
    <w:rsid w:val="00955580"/>
    <w:rsid w:val="00970CCC"/>
    <w:rsid w:val="00975570"/>
    <w:rsid w:val="00990115"/>
    <w:rsid w:val="009957D6"/>
    <w:rsid w:val="009959AF"/>
    <w:rsid w:val="009B294B"/>
    <w:rsid w:val="009D34D4"/>
    <w:rsid w:val="009F279A"/>
    <w:rsid w:val="00A178FD"/>
    <w:rsid w:val="00A253CE"/>
    <w:rsid w:val="00A3319F"/>
    <w:rsid w:val="00A36A2A"/>
    <w:rsid w:val="00A442B8"/>
    <w:rsid w:val="00A529EB"/>
    <w:rsid w:val="00A628F1"/>
    <w:rsid w:val="00A706C1"/>
    <w:rsid w:val="00AA2ED8"/>
    <w:rsid w:val="00AA4D61"/>
    <w:rsid w:val="00AA5AF6"/>
    <w:rsid w:val="00AC4090"/>
    <w:rsid w:val="00AD149A"/>
    <w:rsid w:val="00AE4C34"/>
    <w:rsid w:val="00AE5A43"/>
    <w:rsid w:val="00B14255"/>
    <w:rsid w:val="00B15D53"/>
    <w:rsid w:val="00B24526"/>
    <w:rsid w:val="00B324DF"/>
    <w:rsid w:val="00B44583"/>
    <w:rsid w:val="00B56613"/>
    <w:rsid w:val="00B57692"/>
    <w:rsid w:val="00B638C8"/>
    <w:rsid w:val="00B720B2"/>
    <w:rsid w:val="00BA6FD5"/>
    <w:rsid w:val="00BB4F24"/>
    <w:rsid w:val="00BB76E8"/>
    <w:rsid w:val="00BC0957"/>
    <w:rsid w:val="00BC4FA3"/>
    <w:rsid w:val="00BD05C5"/>
    <w:rsid w:val="00BD5EED"/>
    <w:rsid w:val="00BE52A2"/>
    <w:rsid w:val="00BF0C78"/>
    <w:rsid w:val="00C203F5"/>
    <w:rsid w:val="00C33050"/>
    <w:rsid w:val="00C354DA"/>
    <w:rsid w:val="00C401E0"/>
    <w:rsid w:val="00C42967"/>
    <w:rsid w:val="00C54F7D"/>
    <w:rsid w:val="00C572CB"/>
    <w:rsid w:val="00C60C9C"/>
    <w:rsid w:val="00C751F8"/>
    <w:rsid w:val="00CA4DF6"/>
    <w:rsid w:val="00CA70C0"/>
    <w:rsid w:val="00CB1264"/>
    <w:rsid w:val="00CB7BBA"/>
    <w:rsid w:val="00CD6C59"/>
    <w:rsid w:val="00CF47A2"/>
    <w:rsid w:val="00D208BA"/>
    <w:rsid w:val="00D228E2"/>
    <w:rsid w:val="00D43CBF"/>
    <w:rsid w:val="00D4401A"/>
    <w:rsid w:val="00D45EA7"/>
    <w:rsid w:val="00D74926"/>
    <w:rsid w:val="00D84091"/>
    <w:rsid w:val="00D87140"/>
    <w:rsid w:val="00D922ED"/>
    <w:rsid w:val="00D95DA1"/>
    <w:rsid w:val="00DA5A8A"/>
    <w:rsid w:val="00DB2D17"/>
    <w:rsid w:val="00DB3224"/>
    <w:rsid w:val="00DC1A54"/>
    <w:rsid w:val="00DC6CFD"/>
    <w:rsid w:val="00DC741A"/>
    <w:rsid w:val="00DE352C"/>
    <w:rsid w:val="00DE4AB3"/>
    <w:rsid w:val="00E0704F"/>
    <w:rsid w:val="00E17ECA"/>
    <w:rsid w:val="00E21C27"/>
    <w:rsid w:val="00E22843"/>
    <w:rsid w:val="00E6058C"/>
    <w:rsid w:val="00E803F1"/>
    <w:rsid w:val="00E8542C"/>
    <w:rsid w:val="00EA5E75"/>
    <w:rsid w:val="00EB7EEC"/>
    <w:rsid w:val="00ED39B9"/>
    <w:rsid w:val="00ED3AC1"/>
    <w:rsid w:val="00EF4F59"/>
    <w:rsid w:val="00F02D53"/>
    <w:rsid w:val="00F1100B"/>
    <w:rsid w:val="00F11CE2"/>
    <w:rsid w:val="00F21998"/>
    <w:rsid w:val="00F24597"/>
    <w:rsid w:val="00F27DA7"/>
    <w:rsid w:val="00F46CC7"/>
    <w:rsid w:val="00F50E83"/>
    <w:rsid w:val="00F5180C"/>
    <w:rsid w:val="00F64A00"/>
    <w:rsid w:val="00F742A6"/>
    <w:rsid w:val="00F76AF9"/>
    <w:rsid w:val="00F84DF9"/>
    <w:rsid w:val="00F9286F"/>
    <w:rsid w:val="00FA3B13"/>
    <w:rsid w:val="00FA5D71"/>
    <w:rsid w:val="00FA6A8A"/>
    <w:rsid w:val="00FB5F73"/>
    <w:rsid w:val="00FC1DD0"/>
    <w:rsid w:val="00FC20E5"/>
    <w:rsid w:val="00FD7311"/>
    <w:rsid w:val="00FE0F53"/>
    <w:rsid w:val="00FE2112"/>
    <w:rsid w:val="00FE264F"/>
    <w:rsid w:val="00FF1057"/>
    <w:rsid w:val="00FF5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1632"/>
  <w15:docId w15:val="{5935CF38-B340-4F90-86CC-EE92E083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1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6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F21998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163E9F"/>
    <w:rPr>
      <w:rFonts w:cs="Mangal"/>
    </w:rPr>
  </w:style>
  <w:style w:type="paragraph" w:styleId="BodyText">
    <w:name w:val="Body Text"/>
    <w:basedOn w:val="Normal"/>
    <w:link w:val="BodyTextChar"/>
    <w:uiPriority w:val="1"/>
    <w:qFormat/>
    <w:rsid w:val="008543C7"/>
    <w:pPr>
      <w:autoSpaceDE w:val="0"/>
      <w:autoSpaceDN w:val="0"/>
      <w:adjustRightInd w:val="0"/>
      <w:spacing w:after="0" w:line="240" w:lineRule="auto"/>
      <w:ind w:left="460" w:hanging="360"/>
    </w:pPr>
    <w:rPr>
      <w:rFonts w:ascii="Arial" w:hAnsi="Arial" w:cs="Arial"/>
      <w:szCs w:val="22"/>
      <w:lang w:val="en-IN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543C7"/>
    <w:rPr>
      <w:rFonts w:ascii="Arial" w:hAnsi="Arial" w:cs="Arial"/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cmhq.upl1</dc:creator>
  <cp:lastModifiedBy>Yajas Menon</cp:lastModifiedBy>
  <cp:revision>278</cp:revision>
  <dcterms:created xsi:type="dcterms:W3CDTF">2021-11-02T11:47:00Z</dcterms:created>
  <dcterms:modified xsi:type="dcterms:W3CDTF">2024-09-25T15:05:00Z</dcterms:modified>
</cp:coreProperties>
</file>