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120"/>
        <w:jc w:val="center"/>
      </w:pPr>
      <w:r>
        <w:rPr>
          <w:rFonts w:ascii="Arial" w:cs="Arial" w:eastAsia="Arial" w:hAnsi="Arial"/>
          <w:b/>
          <w:bCs/>
          <w:color w:val="1F4E79"/>
          <w:sz w:val="48"/>
          <w:szCs w:val="48"/>
        </w:rPr>
        <w:t xml:space="preserve">CSE0001 – Digital Literacy</w:t>
      </w:r>
    </w:p>
    <w:p>
      <w:pPr>
        <w:pBdr>
          <w:bottom w:val="single" w:color="2E75B6" w:sz="12" w:space="6"/>
        </w:pBdr>
        <w:spacing w:before="0" w:after="80"/>
        <w:jc w:val="center"/>
      </w:pPr>
      <w:r>
        <w:rPr>
          <w:rFonts w:ascii="Arial" w:cs="Arial" w:eastAsia="Arial" w:hAnsi="Arial"/>
          <w:b/>
          <w:bCs/>
          <w:color w:val="2E75B6"/>
          <w:sz w:val="36"/>
          <w:szCs w:val="36"/>
        </w:rPr>
        <w:t xml:space="preserve">Project Report</w:t>
      </w:r>
    </w:p>
    <w:p>
      <w:pPr>
        <w:spacing w:before="200" w:after="200"/>
      </w:pPr>
      <w:r>
        <w:t xml:space="preserve"/>
      </w:r>
    </w:p>
    <w:p>
      <w:pPr>
        <w:spacing w:before="0" w:after="120"/>
        <w:jc w:val="center"/>
      </w:pPr>
      <w:r>
        <w:rPr>
          <w:rFonts w:ascii="Arial" w:cs="Arial" w:eastAsia="Arial" w:hAnsi="Arial"/>
          <w:b/>
          <w:bCs/>
          <w:color w:val="1A1A2E"/>
          <w:sz w:val="32"/>
          <w:szCs w:val="32"/>
        </w:rPr>
        <w:t xml:space="preserve">Digital Literacy Portfolio</w:t>
      </w:r>
    </w:p>
    <w:p>
      <w:pPr>
        <w:spacing w:before="0" w:after="60"/>
        <w:jc w:val="center"/>
      </w:pPr>
      <w:r>
        <w:rPr>
          <w:rFonts w:ascii="Arial" w:cs="Arial" w:eastAsia="Arial" w:hAnsi="Arial"/>
          <w:color w:val="555555"/>
          <w:sz w:val="26"/>
          <w:szCs w:val="26"/>
        </w:rPr>
        <w:t xml:space="preserve">Student Digital Ambassador Assignment</w:t>
      </w:r>
    </w:p>
    <w:p>
      <w:pPr>
        <w:spacing w:before="300" w:after="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Student Name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2"/>
                <w:szCs w:val="22"/>
              </w:rPr>
              <w:t xml:space="preserve">[ Your Full Name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Registration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 Your Reg. No.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Branch</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2"/>
                <w:szCs w:val="22"/>
              </w:rPr>
              <w:t xml:space="preserve">[ Your Branch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Year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First Year B.Tech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Course Code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2"/>
                <w:szCs w:val="22"/>
              </w:rPr>
              <w:t xml:space="preserve">CSE0001 – Digital Literacy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Submission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26 March 2026</w:t>
            </w:r>
          </w:p>
        </w:tc>
      </w:tr>
    </w:tbl>
    <w:p>
      <w:pPr>
        <w:spacing w:before="200" w:after="200"/>
      </w:pPr>
      <w:r>
        <w:t xml:space="preserve"/>
      </w:r>
    </w:p>
    <w:p>
      <w:pPr>
        <w:jc w:val="center"/>
      </w:pPr>
      <w:r>
        <w:rPr>
          <w:rFonts w:ascii="Arial" w:cs="Arial" w:eastAsia="Arial" w:hAnsi="Arial"/>
          <w:i/>
          <w:iCs/>
          <w:color w:val="888888"/>
          <w:sz w:val="20"/>
          <w:szCs w:val="20"/>
        </w:rPr>
        <w:t xml:space="preserve">VIT Bhopal University | VITyarthi E-Learning Platform</w:t>
      </w:r>
    </w:p>
    <w:p>
      <w:pPr>
        <w:spacing w:before="200" w:after="200"/>
      </w:pPr>
      <w:r>
        <w:t xml:space="preserve"/>
      </w:r>
    </w:p>
    <w:p>
      <w:r>
        <w:br w:type="page"/>
      </w:r>
    </w:p>
    <w:p>
      <w:pPr>
        <w:pStyle w:val="Heading1"/>
        <w:pBdr>
          <w:bottom w:val="single" w:color="2E75B6" w:sz="8" w:space="4"/>
        </w:pBdr>
        <w:spacing w:before="360" w:after="180"/>
      </w:pPr>
      <w:r>
        <w:rPr>
          <w:rFonts w:ascii="Arial" w:cs="Arial" w:eastAsia="Arial" w:hAnsi="Arial"/>
          <w:b/>
          <w:bCs/>
          <w:color w:val="1F4E79"/>
          <w:sz w:val="32"/>
          <w:szCs w:val="32"/>
        </w:rPr>
        <w:t xml:space="preserve">Introduction</w:t>
      </w:r>
    </w:p>
    <w:p>
      <w:pPr>
        <w:spacing w:before="80" w:after="80" w:line="360"/>
        <w:jc w:val="both"/>
      </w:pPr>
      <w:r>
        <w:rPr>
          <w:rFonts w:ascii="Arial" w:cs="Arial" w:eastAsia="Arial" w:hAnsi="Arial"/>
          <w:color w:val="2C2C2C"/>
          <w:sz w:val="24"/>
          <w:szCs w:val="24"/>
        </w:rPr>
        <w:t xml:space="preserve">This report documents the work completed as part of the CSE0001 Digital Literacy project at VIT Bhopal University. In the context of this assignment, I took on the role of a Student Digital Ambassador — a peer guide responsible for helping batchmates navigate the digital world safely, professionally, and effectively. Spread across five interconnected modules, the project required creating a visual infographic, building a professional digital portfolio, exploring coding and collaboration platforms, mastering professional email communication, and raising awareness about cybercrime.</w:t>
      </w:r>
    </w:p>
    <w:p>
      <w:pPr>
        <w:spacing w:before="60" w:after="60"/>
      </w:pPr>
      <w:r>
        <w:t xml:space="preserve"/>
      </w:r>
    </w:p>
    <w:p>
      <w:pPr>
        <w:spacing w:before="80" w:after="80" w:line="360"/>
        <w:jc w:val="both"/>
      </w:pPr>
      <w:r>
        <w:rPr>
          <w:rFonts w:ascii="Arial" w:cs="Arial" w:eastAsia="Arial" w:hAnsi="Arial"/>
          <w:color w:val="2C2C2C"/>
          <w:sz w:val="24"/>
          <w:szCs w:val="24"/>
        </w:rPr>
        <w:t xml:space="preserve">Each task was designed not merely as an academic exercise, but as a practical, real-world deliverable. The entire project is organized within a single GitHub repository, which itself represents a demonstration of digital competence. The reflections included in this report are drawn from genuine observations and personal learning outcomes encountered while completing each module.</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Task 1</w:t>
            </w:r>
          </w:p>
        </w:tc>
        <w:tc>
          <w:tcPr>
            <w:tcW w:type="dxa" w:w="576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vAlign w:val="center"/>
          </w:tcPr>
          <w:p>
            <w:r>
              <w:rPr>
                <w:rFonts w:ascii="Arial" w:cs="Arial" w:eastAsia="Arial" w:hAnsi="Arial"/>
                <w:b/>
                <w:bCs/>
                <w:color w:val="1F4E79"/>
                <w:sz w:val="24"/>
                <w:szCs w:val="24"/>
              </w:rPr>
              <w:t xml:space="preserve">Digital Literacy Awareness Infographic</w:t>
            </w:r>
          </w:p>
        </w:tc>
        <w:tc>
          <w:tcPr>
            <w:tcW w:type="dxa" w:w="18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 Marks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Tool Used &amp; Design Overview</w:t>
      </w:r>
    </w:p>
    <w:p>
      <w:pPr>
        <w:spacing w:before="80" w:after="80" w:line="360"/>
        <w:jc w:val="both"/>
      </w:pPr>
      <w:r>
        <w:rPr>
          <w:rFonts w:ascii="Arial" w:cs="Arial" w:eastAsia="Arial" w:hAnsi="Arial"/>
          <w:color w:val="2C2C2C"/>
          <w:sz w:val="24"/>
          <w:szCs w:val="24"/>
        </w:rPr>
        <w:t xml:space="preserve">For this task, I created a one-page Digital Literacy Awareness Infographic using Canva, a browser-based graphic design platform. I selected Canva because of its extensive library of professionally designed templates and its intuitive drag-and-drop interface, which allowed me to concentrate on content structure and visual hierarchy rather than on technical design challenges.</w:t>
      </w:r>
    </w:p>
    <w:p>
      <w:pPr>
        <w:spacing w:before="60" w:after="60"/>
      </w:pPr>
      <w:r>
        <w:t xml:space="preserve"/>
      </w:r>
    </w:p>
    <w:p>
      <w:pPr>
        <w:spacing w:before="80" w:after="80" w:line="360"/>
        <w:jc w:val="both"/>
      </w:pPr>
      <w:r>
        <w:rPr>
          <w:rFonts w:ascii="Arial" w:cs="Arial" w:eastAsia="Arial" w:hAnsi="Arial"/>
          <w:color w:val="2C2C2C"/>
          <w:sz w:val="24"/>
          <w:szCs w:val="24"/>
        </w:rPr>
        <w:t xml:space="preserve">The infographic is organized into five clearly defined sections, each addressing a core aspect of digital literacy:</w:t>
      </w:r>
    </w:p>
    <w:p>
      <w:pPr>
        <w:spacing w:before="40" w:after="40"/>
      </w:pPr>
      <w:r>
        <w:t xml:space="preserve"/>
      </w:r>
    </w:p>
    <w:p>
      <w:pPr>
        <w:pStyle w:val="ListParagraph"/>
        <w:numPr>
          <w:ilvl w:val="0"/>
          <w:numId w:val="2"/>
        </w:numPr>
        <w:spacing w:before="60" w:after="60" w:line="340"/>
      </w:pPr>
      <w:r>
        <w:rPr>
          <w:rFonts w:ascii="Arial" w:cs="Arial" w:eastAsia="Arial" w:hAnsi="Arial"/>
          <w:color w:val="2C2C2C"/>
          <w:sz w:val="24"/>
          <w:szCs w:val="24"/>
        </w:rPr>
        <w:t xml:space="preserve">Definition of digital literacy, including critical thinking and responsible content creation.</w:t>
      </w:r>
    </w:p>
    <w:p>
      <w:pPr>
        <w:pStyle w:val="ListParagraph"/>
        <w:numPr>
          <w:ilvl w:val="0"/>
          <w:numId w:val="2"/>
        </w:numPr>
        <w:spacing w:before="60" w:after="60" w:line="340"/>
      </w:pPr>
      <w:r>
        <w:rPr>
          <w:rFonts w:ascii="Arial" w:cs="Arial" w:eastAsia="Arial" w:hAnsi="Arial"/>
          <w:color w:val="2C2C2C"/>
          <w:sz w:val="24"/>
          <w:szCs w:val="24"/>
        </w:rPr>
        <w:t xml:space="preserve">Essential digital tools for students, with a focus on Google Workspace applications.</w:t>
      </w:r>
    </w:p>
    <w:p>
      <w:pPr>
        <w:pStyle w:val="ListParagraph"/>
        <w:numPr>
          <w:ilvl w:val="0"/>
          <w:numId w:val="2"/>
        </w:numPr>
        <w:spacing w:before="60" w:after="60" w:line="340"/>
      </w:pPr>
      <w:r>
        <w:rPr>
          <w:rFonts w:ascii="Arial" w:cs="Arial" w:eastAsia="Arial" w:hAnsi="Arial"/>
          <w:color w:val="2C2C2C"/>
          <w:sz w:val="24"/>
          <w:szCs w:val="24"/>
        </w:rPr>
        <w:t xml:space="preserve">Safe internet practices, covering two-factor authentication and phishing awareness.</w:t>
      </w:r>
    </w:p>
    <w:p>
      <w:pPr>
        <w:pStyle w:val="ListParagraph"/>
        <w:numPr>
          <w:ilvl w:val="0"/>
          <w:numId w:val="2"/>
        </w:numPr>
        <w:spacing w:before="60" w:after="60" w:line="340"/>
      </w:pPr>
      <w:r>
        <w:rPr>
          <w:rFonts w:ascii="Arial" w:cs="Arial" w:eastAsia="Arial" w:hAnsi="Arial"/>
          <w:color w:val="2C2C2C"/>
          <w:sz w:val="24"/>
          <w:szCs w:val="24"/>
        </w:rPr>
        <w:t xml:space="preserve">Professional online presence, including guidance on LinkedIn and GitHub profiles.</w:t>
      </w:r>
    </w:p>
    <w:p>
      <w:pPr>
        <w:pStyle w:val="ListParagraph"/>
        <w:numPr>
          <w:ilvl w:val="0"/>
          <w:numId w:val="2"/>
        </w:numPr>
        <w:spacing w:before="60" w:after="60" w:line="340"/>
      </w:pPr>
      <w:r>
        <w:rPr>
          <w:rFonts w:ascii="Arial" w:cs="Arial" w:eastAsia="Arial" w:hAnsi="Arial"/>
          <w:color w:val="2C2C2C"/>
          <w:sz w:val="24"/>
          <w:szCs w:val="24"/>
        </w:rPr>
        <w:t xml:space="preserve">Email etiquette essentials, summarized as actionable tips for academic communication.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color w:val="2C2C2C"/>
          <w:sz w:val="24"/>
          <w:szCs w:val="24"/>
        </w:rPr>
        <w:t xml:space="preserve">One of the most intellectually stimulating aspects of this task was confronting the challenge of minimalism in digital communication. There is an enormous volume of information available on topics such as cybersecurity and professional digital branding; however, the most effective way to communicate this information to peers is through concise, high-impact bullet points rather than dense paragraphs. The process of distilling complex concepts like phishing and digital citizenship into a single-page format sharpened my understanding of how to convey technical advice in a manner that is both accessible and responsible.</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Task 2</w:t>
            </w:r>
          </w:p>
        </w:tc>
        <w:tc>
          <w:tcPr>
            <w:tcW w:type="dxa" w:w="576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vAlign w:val="center"/>
          </w:tcPr>
          <w:p>
            <w:r>
              <w:rPr>
                <w:rFonts w:ascii="Arial" w:cs="Arial" w:eastAsia="Arial" w:hAnsi="Arial"/>
                <w:b/>
                <w:bCs/>
                <w:color w:val="1F4E79"/>
                <w:sz w:val="24"/>
                <w:szCs w:val="24"/>
              </w:rPr>
              <w:t xml:space="preserve">Student Digital Portfolio</w:t>
            </w:r>
          </w:p>
        </w:tc>
        <w:tc>
          <w:tcPr>
            <w:tcW w:type="dxa" w:w="18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 Marks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Platforms Set Up</w:t>
      </w:r>
    </w:p>
    <w:p>
      <w:pPr>
        <w:spacing w:before="80" w:after="80" w:line="360"/>
        <w:jc w:val="both"/>
      </w:pPr>
      <w:r>
        <w:rPr>
          <w:rFonts w:ascii="Arial" w:cs="Arial" w:eastAsia="Arial" w:hAnsi="Arial"/>
          <w:color w:val="2C2C2C"/>
          <w:sz w:val="24"/>
          <w:szCs w:val="24"/>
        </w:rPr>
        <w:t xml:space="preserve">For this task, I established a professional digital presence across three key platforms: GitHub, LinkedIn, and Kaggle. Each platform serves a distinct purpose in the academic and professional landscape, and collectively they form the foundation of a credible digital portfolio.</w:t>
      </w:r>
    </w:p>
    <w:p>
      <w:pPr>
        <w:spacing w:before="60" w:after="60"/>
      </w:pPr>
      <w:r>
        <w:t xml:space="preserve"/>
      </w:r>
    </w:p>
    <w:p>
      <w:pPr>
        <w:pStyle w:val="ListParagraph"/>
        <w:numPr>
          <w:ilvl w:val="0"/>
          <w:numId w:val="2"/>
        </w:numPr>
        <w:spacing w:before="60" w:after="60" w:line="340"/>
      </w:pPr>
      <w:r>
        <w:rPr>
          <w:rFonts w:ascii="Arial" w:cs="Arial" w:eastAsia="Arial" w:hAnsi="Arial"/>
          <w:color w:val="2C2C2C"/>
          <w:sz w:val="24"/>
          <w:szCs w:val="24"/>
        </w:rPr>
        <w:t xml:space="preserve">GitHub: Created a profile README repository containing my name, branch, year, and a brief statement of academic intent. GitHub serves as the primary platform for showcasing coding projects, contributing to open-source work, and maintaining version-controlled repositories throughout my degree.</w:t>
      </w:r>
    </w:p>
    <w:p>
      <w:pPr>
        <w:pStyle w:val="ListParagraph"/>
        <w:numPr>
          <w:ilvl w:val="0"/>
          <w:numId w:val="2"/>
        </w:numPr>
        <w:spacing w:before="60" w:after="60" w:line="340"/>
      </w:pPr>
      <w:r>
        <w:rPr>
          <w:rFonts w:ascii="Arial" w:cs="Arial" w:eastAsia="Arial" w:hAnsi="Arial"/>
          <w:color w:val="2C2C2C"/>
          <w:sz w:val="24"/>
          <w:szCs w:val="24"/>
        </w:rPr>
        <w:t xml:space="preserve">LinkedIn: Completed the Education section with my current degree programme, institution name, and expected graduation year. LinkedIn is the standard professional networking platform used by recruiters, internship coordinators, and alumni worldwide.</w:t>
      </w:r>
    </w:p>
    <w:p>
      <w:pPr>
        <w:pStyle w:val="ListParagraph"/>
        <w:numPr>
          <w:ilvl w:val="0"/>
          <w:numId w:val="2"/>
        </w:numPr>
        <w:spacing w:before="60" w:after="60" w:line="340"/>
      </w:pPr>
      <w:r>
        <w:rPr>
          <w:rFonts w:ascii="Arial" w:cs="Arial" w:eastAsia="Arial" w:hAnsi="Arial"/>
          <w:color w:val="2C2C2C"/>
          <w:sz w:val="24"/>
          <w:szCs w:val="24"/>
        </w:rPr>
        <w:t xml:space="preserve">Kaggle: Set up an account to access datasets, participate in data science competitions, and follow learning tracks in Python and machine learning. Kaggle will be particularly relevant in later semesters when data-driven coursework becomes more prevalent.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Future Plans</w:t>
      </w:r>
    </w:p>
    <w:p>
      <w:pPr>
        <w:spacing w:before="80" w:after="80" w:line="360"/>
        <w:jc w:val="both"/>
      </w:pPr>
      <w:r>
        <w:rPr>
          <w:rFonts w:ascii="Arial" w:cs="Arial" w:eastAsia="Arial" w:hAnsi="Arial"/>
          <w:color w:val="2C2C2C"/>
          <w:sz w:val="24"/>
          <w:szCs w:val="24"/>
        </w:rPr>
        <w:t xml:space="preserve">Over the next four years, I intend to use GitHub as a living portfolio by regularly committing project work, maintaining a structured README on each repository, and collaborating with peers on group assignments. LinkedIn will be updated progressively — with internship experiences, certifications, and skills — to build a professional profile that is ready for placement season by my third year. Kaggle will be used to develop practical data science competencies beyond the classroom, particularly in preparation for technical interview rounds that increasingly test applied analytical skills.</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Task 3</w:t>
            </w:r>
          </w:p>
        </w:tc>
        <w:tc>
          <w:tcPr>
            <w:tcW w:type="dxa" w:w="576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vAlign w:val="center"/>
          </w:tcPr>
          <w:p>
            <w:r>
              <w:rPr>
                <w:rFonts w:ascii="Arial" w:cs="Arial" w:eastAsia="Arial" w:hAnsi="Arial"/>
                <w:b/>
                <w:bCs/>
                <w:color w:val="1F4E79"/>
                <w:sz w:val="24"/>
                <w:szCs w:val="24"/>
              </w:rPr>
              <w:t xml:space="preserve">Coding &amp; Collaboration Platforms</w:t>
            </w:r>
          </w:p>
        </w:tc>
        <w:tc>
          <w:tcPr>
            <w:tcW w:type="dxa" w:w="18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 Marks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Part A – Coding Practice: HackerRank</w:t>
      </w:r>
    </w:p>
    <w:p>
      <w:pPr>
        <w:spacing w:before="80" w:after="80" w:line="360"/>
        <w:jc w:val="both"/>
      </w:pPr>
      <w:r>
        <w:rPr>
          <w:rFonts w:ascii="Arial" w:cs="Arial" w:eastAsia="Arial" w:hAnsi="Arial"/>
          <w:color w:val="2C2C2C"/>
          <w:sz w:val="24"/>
          <w:szCs w:val="24"/>
        </w:rPr>
        <w:t xml:space="preserve">I created an account on HackerRank and successfully completed the Python If-Else challenge, a beginner-level problem that required implementing conditional logic to produce a specific output based on integer inputs. This exercise reinforced my understanding of Python syntax, logical operators, and control flow in a structured, competitive programming environment. A screenshot of the completed challenge and any earned badge has been saved in the task-3-platforms/ folder of the repository.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Part B – Google Workspace: Digital Literacy Quiz</w:t>
      </w:r>
    </w:p>
    <w:p>
      <w:pPr>
        <w:spacing w:before="80" w:after="80" w:line="360"/>
        <w:jc w:val="both"/>
      </w:pPr>
      <w:r>
        <w:rPr>
          <w:rFonts w:ascii="Arial" w:cs="Arial" w:eastAsia="Arial" w:hAnsi="Arial"/>
          <w:color w:val="2C2C2C"/>
          <w:sz w:val="24"/>
          <w:szCs w:val="24"/>
        </w:rPr>
        <w:t xml:space="preserve">Using Google Forms, I designed a five-question Digital Literacy Awareness Quiz intended for use with my batchmates. The quiz includes a mix of multiple-choice questions — covering topics such as password security and phishing recognition — and a short-answer question that encourages reflective thinking about personal online habits. Responses are automatically collected in a linked Google Sheet, enabling easy analysis of the cohort's awareness levels. Screenshots of both the form and the response sheet are included in the task-3-platforms/ folder.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Academic Relevance</w:t>
      </w:r>
    </w:p>
    <w:p>
      <w:pPr>
        <w:spacing w:before="80" w:after="80" w:line="360"/>
        <w:jc w:val="both"/>
      </w:pPr>
      <w:r>
        <w:rPr>
          <w:rFonts w:ascii="Arial" w:cs="Arial" w:eastAsia="Arial" w:hAnsi="Arial"/>
          <w:color w:val="2C2C2C"/>
          <w:sz w:val="24"/>
          <w:szCs w:val="24"/>
        </w:rPr>
        <w:t xml:space="preserve">These two platforms will be instrumental throughout my undergraduate studies. HackerRank provides a structured, gamified path to mastering programming languages and serves as a recognized credential for technical interviews at leading technology firms. Google Workspace tools such as Forms and Sheets enable efficient data collection, collaborative document editing, and the kind of organized group coordination that is essential for capstone projects and research assignments. Developing proficiency with these platforms early ensures that both my individual and collaborative workflows are efficient and professional from the outset of my degree.</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Task 4</w:t>
            </w:r>
          </w:p>
        </w:tc>
        <w:tc>
          <w:tcPr>
            <w:tcW w:type="dxa" w:w="576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vAlign w:val="center"/>
          </w:tcPr>
          <w:p>
            <w:r>
              <w:rPr>
                <w:rFonts w:ascii="Arial" w:cs="Arial" w:eastAsia="Arial" w:hAnsi="Arial"/>
                <w:b/>
                <w:bCs/>
                <w:color w:val="1F4E79"/>
                <w:sz w:val="24"/>
                <w:szCs w:val="24"/>
              </w:rPr>
              <w:t xml:space="preserve">Professional Email &amp; Etiquette Guide</w:t>
            </w:r>
          </w:p>
        </w:tc>
        <w:tc>
          <w:tcPr>
            <w:tcW w:type="dxa" w:w="18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 Marks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Communication Scenario Analysis</w:t>
      </w:r>
    </w:p>
    <w:p>
      <w:pPr>
        <w:spacing w:before="80" w:after="80" w:line="360"/>
        <w:jc w:val="both"/>
      </w:pPr>
      <w:r>
        <w:rPr>
          <w:rFonts w:ascii="Arial" w:cs="Arial" w:eastAsia="Arial" w:hAnsi="Arial"/>
          <w:color w:val="2C2C2C"/>
          <w:sz w:val="24"/>
          <w:szCs w:val="24"/>
        </w:rPr>
        <w:t xml:space="preserve">For this task, I analysed a scenario in which a student sent an informal email to a professor requesting an extension on an assignment submission deadline. The email was structurally and tonally deficient in several critical respects: it lacked a descriptive subject line, used colloquial abbreviations such as 'plz help', and omitted the student's registration number — information essential for the professor to identify the sender. As a direct consequence, the professor did not act on the email, and the student received a zero grade for the assignment.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What Could Have Been Done Differently</w:t>
      </w:r>
    </w:p>
    <w:p>
      <w:pPr>
        <w:spacing w:before="80" w:after="80" w:line="360"/>
        <w:jc w:val="both"/>
      </w:pPr>
      <w:r>
        <w:rPr>
          <w:rFonts w:ascii="Arial" w:cs="Arial" w:eastAsia="Arial" w:hAnsi="Arial"/>
          <w:color w:val="2C2C2C"/>
          <w:sz w:val="24"/>
          <w:szCs w:val="24"/>
        </w:rPr>
        <w:t xml:space="preserve">This outcome was entirely preventable. A well-crafted email would have included a clear and informative subject line (for example, 'Assignment Extension Request – [Subject Name] – [Registration Number]'), a formal salutation addressed to the professor by their title, a politely structured body paragraph stating the request and the reason, and a professional sign-off with the student's full name and registration number. This experience reinforced a fundamental principle: digital communication is a direct and visible reflection of one's professionalism. As a Student Digital Ambassador, I am committed to educating my peers that a concise, well-formatted email is not merely a matter of courtesy — it is the difference between a message that is read and respected and one that is dismissed entirely.</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Task 5</w:t>
            </w:r>
          </w:p>
        </w:tc>
        <w:tc>
          <w:tcPr>
            <w:tcW w:type="dxa" w:w="576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vAlign w:val="center"/>
          </w:tcPr>
          <w:p>
            <w:r>
              <w:rPr>
                <w:rFonts w:ascii="Arial" w:cs="Arial" w:eastAsia="Arial" w:hAnsi="Arial"/>
                <w:b/>
                <w:bCs/>
                <w:color w:val="1F4E79"/>
                <w:sz w:val="24"/>
                <w:szCs w:val="24"/>
              </w:rPr>
              <w:t xml:space="preserve">Cybercrime Awareness &amp; Prevention Guide</w:t>
            </w:r>
          </w:p>
        </w:tc>
        <w:tc>
          <w:tcPr>
            <w:tcW w:type="dxa" w:w="18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 Marks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Research Reflections</w:t>
      </w:r>
    </w:p>
    <w:p>
      <w:pPr>
        <w:spacing w:before="80" w:after="80" w:line="360"/>
        <w:jc w:val="both"/>
      </w:pPr>
      <w:r>
        <w:rPr>
          <w:rFonts w:ascii="Arial" w:cs="Arial" w:eastAsia="Arial" w:hAnsi="Arial"/>
          <w:color w:val="2C2C2C"/>
          <w:sz w:val="24"/>
          <w:szCs w:val="24"/>
        </w:rPr>
        <w:t xml:space="preserve">While researching this module, the finding that surprised me most was the scale and sophistication of Business Email Compromise (BEC) fraud. The 2019 Toyota Boshoku Corporation incident, in which approximately 37 million USD was lost without any technical exploit or malware, underscored the fact that the most effective cyberattacks often target human psychology rather than system vulnerabilities. No firewall can protect against a well-crafted impersonation email sent to a trusting employee under time pressure.</w:t>
      </w:r>
    </w:p>
    <w:p>
      <w:pPr>
        <w:spacing w:before="60" w:after="60"/>
      </w:pPr>
      <w:r>
        <w:t xml:space="preserve"/>
      </w:r>
    </w:p>
    <w:p>
      <w:pPr>
        <w:spacing w:before="80" w:after="80" w:line="360"/>
        <w:jc w:val="both"/>
      </w:pPr>
      <w:r>
        <w:rPr>
          <w:rFonts w:ascii="Arial" w:cs="Arial" w:eastAsia="Arial" w:hAnsi="Arial"/>
          <w:color w:val="2C2C2C"/>
          <w:sz w:val="24"/>
          <w:szCs w:val="24"/>
        </w:rPr>
        <w:t xml:space="preserve">Equally striking was the specific vulnerability of UPI-based payment fraud in India. The 'collect request' scam — in which victims enter their UPI PIN believing they are receiving money — is a psychologically clever reversal of normal transaction logic, and it disproportionately affects young, digitally active users such as college students.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One Habit I Will Personally Change</w:t>
      </w:r>
    </w:p>
    <w:p>
      <w:pPr>
        <w:spacing w:before="80" w:after="80" w:line="360"/>
        <w:jc w:val="both"/>
      </w:pPr>
      <w:r>
        <w:rPr>
          <w:rFonts w:ascii="Arial" w:cs="Arial" w:eastAsia="Arial" w:hAnsi="Arial"/>
          <w:color w:val="2C2C2C"/>
          <w:sz w:val="24"/>
          <w:szCs w:val="24"/>
        </w:rPr>
        <w:t xml:space="preserve">As a direct result of this research, I will implement a personal policy of always verifying any payment request — regardless of how urgent or legitimate it appears — by calling the sender directly on a known number before acting. I will also set a daily UPI transfer limit on my banking app and report any suspicious activity immediately through the National Cyber Crime Helpline at 1930 or via cybercrime.gov.in. These are small, practical changes that can prevent significant harm.</w:t>
      </w:r>
    </w:p>
    <w:p>
      <w:pPr>
        <w:spacing w:before="300" w:after="30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Conclusion</w:t>
      </w:r>
    </w:p>
    <w:p>
      <w:pPr>
        <w:spacing w:before="80" w:after="80" w:line="360"/>
        <w:jc w:val="both"/>
      </w:pPr>
      <w:r>
        <w:rPr>
          <w:rFonts w:ascii="Arial" w:cs="Arial" w:eastAsia="Arial" w:hAnsi="Arial"/>
          <w:color w:val="2C2C2C"/>
          <w:sz w:val="24"/>
          <w:szCs w:val="24"/>
        </w:rPr>
        <w:t xml:space="preserve">This project has been a comprehensive and genuinely formative experience. Across five distinct tasks, I engaged with tools and concepts that are directly relevant to both academic success and professional readiness: visual design, portfolio building, coding practice, professional communication, and cybersecurity awareness. The GitHub repository structure itself served as an applied exercise in digital organization and version control. More broadly, the project reinforced that digital literacy is not a single skill but an interconnected set of competencies — and that developing them early in one's academic journey creates a measurable and lasting advantage.</w:t>
      </w:r>
    </w:p>
    <w:p>
      <w:pPr>
        <w:spacing w:before="300" w:after="300"/>
      </w:pPr>
      <w:r>
        <w:t xml:space="preserve"/>
      </w:r>
    </w:p>
    <w:p>
      <w:pPr>
        <w:pStyle w:val="Heading1"/>
        <w:pBdr>
          <w:bottom w:val="single" w:color="2E75B6" w:sz="8" w:space="4"/>
        </w:pBdr>
        <w:spacing w:before="360" w:after="180"/>
      </w:pPr>
      <w:r>
        <w:rPr>
          <w:rFonts w:ascii="Arial" w:cs="Arial" w:eastAsia="Arial" w:hAnsi="Arial"/>
          <w:b/>
          <w:bCs/>
          <w:color w:val="1F4E79"/>
          <w:sz w:val="32"/>
          <w:szCs w:val="32"/>
        </w:rPr>
        <w:t xml:space="preserve">References</w:t>
      </w:r>
    </w:p>
    <w:p>
      <w:pPr>
        <w:pStyle w:val="ListParagraph"/>
        <w:numPr>
          <w:ilvl w:val="0"/>
          <w:numId w:val="2"/>
        </w:numPr>
        <w:spacing w:before="60" w:after="60" w:line="340"/>
      </w:pPr>
      <w:r>
        <w:rPr>
          <w:rFonts w:ascii="Arial" w:cs="Arial" w:eastAsia="Arial" w:hAnsi="Arial"/>
          <w:color w:val="2C2C2C"/>
          <w:sz w:val="24"/>
          <w:szCs w:val="24"/>
        </w:rPr>
        <w:t xml:space="preserve">Toyota Boshoku Corporation — Official Press Release, September 6, 2019.</w:t>
      </w:r>
    </w:p>
    <w:p>
      <w:pPr>
        <w:pStyle w:val="ListParagraph"/>
        <w:numPr>
          <w:ilvl w:val="0"/>
          <w:numId w:val="2"/>
        </w:numPr>
        <w:spacing w:before="60" w:after="60" w:line="340"/>
      </w:pPr>
      <w:r>
        <w:rPr>
          <w:rFonts w:ascii="Arial" w:cs="Arial" w:eastAsia="Arial" w:hAnsi="Arial"/>
          <w:color w:val="2C2C2C"/>
          <w:sz w:val="24"/>
          <w:szCs w:val="24"/>
        </w:rPr>
        <w:t xml:space="preserve">FBI Internet Crime Complaint Center (IC3) — 2019 Internet Crime Report. Available at: ic3.gov</w:t>
      </w:r>
    </w:p>
    <w:p>
      <w:pPr>
        <w:pStyle w:val="ListParagraph"/>
        <w:numPr>
          <w:ilvl w:val="0"/>
          <w:numId w:val="2"/>
        </w:numPr>
        <w:spacing w:before="60" w:after="60" w:line="340"/>
      </w:pPr>
      <w:r>
        <w:rPr>
          <w:rFonts w:ascii="Arial" w:cs="Arial" w:eastAsia="Arial" w:hAnsi="Arial"/>
          <w:color w:val="2C2C2C"/>
          <w:sz w:val="24"/>
          <w:szCs w:val="24"/>
        </w:rPr>
        <w:t xml:space="preserve">National Cyber Crime Reporting Portal — Government of India. Available at: cybercrime.gov.in</w:t>
      </w:r>
    </w:p>
    <w:p>
      <w:pPr>
        <w:pStyle w:val="ListParagraph"/>
        <w:numPr>
          <w:ilvl w:val="0"/>
          <w:numId w:val="2"/>
        </w:numPr>
        <w:spacing w:before="60" w:after="60" w:line="340"/>
      </w:pPr>
      <w:r>
        <w:rPr>
          <w:rFonts w:ascii="Arial" w:cs="Arial" w:eastAsia="Arial" w:hAnsi="Arial"/>
          <w:color w:val="2C2C2C"/>
          <w:sz w:val="24"/>
          <w:szCs w:val="24"/>
        </w:rPr>
        <w:t xml:space="preserve">Canva — Online Design Platform. Available at: canva.com</w:t>
      </w:r>
    </w:p>
    <w:p>
      <w:pPr>
        <w:pStyle w:val="ListParagraph"/>
        <w:numPr>
          <w:ilvl w:val="0"/>
          <w:numId w:val="2"/>
        </w:numPr>
        <w:spacing w:before="60" w:after="60" w:line="340"/>
      </w:pPr>
      <w:r>
        <w:rPr>
          <w:rFonts w:ascii="Arial" w:cs="Arial" w:eastAsia="Arial" w:hAnsi="Arial"/>
          <w:color w:val="2C2C2C"/>
          <w:sz w:val="24"/>
          <w:szCs w:val="24"/>
        </w:rPr>
        <w:t xml:space="preserve">HackerRank — Competitive Programming Platform. Available at: hackerrank.com</w:t>
      </w:r>
    </w:p>
    <w:p>
      <w:pPr>
        <w:pStyle w:val="ListParagraph"/>
        <w:numPr>
          <w:ilvl w:val="0"/>
          <w:numId w:val="2"/>
        </w:numPr>
        <w:spacing w:before="60" w:after="60" w:line="340"/>
      </w:pPr>
      <w:r>
        <w:rPr>
          <w:rFonts w:ascii="Arial" w:cs="Arial" w:eastAsia="Arial" w:hAnsi="Arial"/>
          <w:color w:val="2C2C2C"/>
          <w:sz w:val="24"/>
          <w:szCs w:val="24"/>
        </w:rPr>
        <w:t xml:space="preserve">Google Workspace — Forms &amp; Sheets. Available at: workspace.google.com</w:t>
      </w:r>
    </w:p>
    <w:p>
      <w:pPr>
        <w:pStyle w:val="ListParagraph"/>
        <w:numPr>
          <w:ilvl w:val="0"/>
          <w:numId w:val="2"/>
        </w:numPr>
        <w:spacing w:before="60" w:after="60" w:line="340"/>
      </w:pPr>
      <w:r>
        <w:rPr>
          <w:rFonts w:ascii="Arial" w:cs="Arial" w:eastAsia="Arial" w:hAnsi="Arial"/>
          <w:color w:val="2C2C2C"/>
          <w:sz w:val="24"/>
          <w:szCs w:val="24"/>
        </w:rPr>
        <w:t xml:space="preserve">LinkedIn — Professional Networking Platform. Available at: linkedin.com</w:t>
      </w:r>
    </w:p>
    <w:p>
      <w:pPr>
        <w:pStyle w:val="ListParagraph"/>
        <w:numPr>
          <w:ilvl w:val="0"/>
          <w:numId w:val="2"/>
        </w:numPr>
        <w:spacing w:before="60" w:after="60" w:line="340"/>
      </w:pPr>
      <w:r>
        <w:rPr>
          <w:rFonts w:ascii="Arial" w:cs="Arial" w:eastAsia="Arial" w:hAnsi="Arial"/>
          <w:color w:val="2C2C2C"/>
          <w:sz w:val="24"/>
          <w:szCs w:val="24"/>
        </w:rPr>
        <w:t xml:space="preserve">GitHub — Version Control &amp; Portfolio Platform. Available at: github.com</w:t>
      </w:r>
    </w:p>
    <w:p>
      <w:pPr>
        <w:pStyle w:val="ListParagraph"/>
        <w:numPr>
          <w:ilvl w:val="0"/>
          <w:numId w:val="2"/>
        </w:numPr>
        <w:spacing w:before="60" w:after="60" w:line="340"/>
      </w:pPr>
      <w:r>
        <w:rPr>
          <w:rFonts w:ascii="Arial" w:cs="Arial" w:eastAsia="Arial" w:hAnsi="Arial"/>
          <w:color w:val="2C2C2C"/>
          <w:sz w:val="24"/>
          <w:szCs w:val="24"/>
        </w:rPr>
        <w:t xml:space="preserve">Kaggle — Data Science &amp; ML Platform. Available at: kaggle.com</w:t>
      </w:r>
    </w:p>
    <w:p>
      <w:pPr>
        <w:spacing w:before="200" w:after="200"/>
      </w:pPr>
      <w:r>
        <w:t xml:space="preserve"/>
      </w:r>
    </w:p>
    <w:p>
      <w:pPr>
        <w:jc w:val="center"/>
      </w:pPr>
      <w:r>
        <w:rPr>
          <w:rFonts w:ascii="Arial" w:cs="Arial" w:eastAsia="Arial" w:hAnsi="Arial"/>
          <w:i/>
          <w:iCs/>
          <w:color w:val="AAAAAA"/>
          <w:sz w:val="20"/>
          <w:szCs w:val="20"/>
        </w:rPr>
        <w:t xml:space="preserve">— End of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2026-03-26T13:10:54.404Z</dcterms:created>
  <dcterms:modified xsi:type="dcterms:W3CDTF">2026-03-26T13:10:54.404Z</dcterms:modified>
</cp:coreProperties>
</file>

<file path=docProps/custom.xml><?xml version="1.0" encoding="utf-8"?>
<Properties xmlns="http://schemas.openxmlformats.org/officeDocument/2006/custom-properties" xmlns:vt="http://schemas.openxmlformats.org/officeDocument/2006/docPropsVTypes"/>
</file>