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3336F" w14:textId="77777777" w:rsidR="006700D6" w:rsidRPr="006700D6" w:rsidRDefault="006700D6" w:rsidP="00E327D8">
      <w:pPr>
        <w:widowControl/>
        <w:jc w:val="left"/>
        <w:textAlignment w:val="baseline"/>
        <w:rPr>
          <w:rFonts w:ascii="Georgia" w:eastAsia="宋体" w:hAnsi="Georgia" w:cs="Times New Roman"/>
          <w:kern w:val="0"/>
          <w:sz w:val="30"/>
          <w:szCs w:val="30"/>
        </w:rPr>
      </w:pPr>
      <w:r w:rsidRPr="00E327D8">
        <w:rPr>
          <w:rFonts w:ascii="Georgia" w:eastAsia="宋体" w:hAnsi="Georgia" w:cs="Times New Roman" w:hint="eastAsia"/>
          <w:kern w:val="0"/>
          <w:sz w:val="30"/>
          <w:szCs w:val="30"/>
        </w:rPr>
        <w:t>据《粤港澳大湾区数字经济与人才发展研究报告》的核心发现：</w:t>
      </w:r>
    </w:p>
    <w:p w14:paraId="3009185F" w14:textId="79B44DF5" w:rsidR="006700D6" w:rsidRPr="006700D6"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①</w:t>
      </w:r>
      <w:r w:rsidR="006700D6" w:rsidRPr="006700D6">
        <w:rPr>
          <w:rFonts w:ascii="Georgia" w:eastAsia="宋体" w:hAnsi="Georgia" w:cs="Times New Roman"/>
          <w:kern w:val="0"/>
          <w:sz w:val="30"/>
          <w:szCs w:val="30"/>
        </w:rPr>
        <w:t>以珠江为界，粤港澳大湾区人才分布大体呈现东强西弱的状态，高水平人才、数字人才主要集中在深圳、香港、广州，且以深圳为首。</w:t>
      </w:r>
    </w:p>
    <w:p w14:paraId="67F8AF7A" w14:textId="302F2D67" w:rsidR="006700D6" w:rsidRPr="006700D6"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②</w:t>
      </w:r>
      <w:r w:rsidR="006700D6" w:rsidRPr="006700D6">
        <w:rPr>
          <w:rFonts w:ascii="Georgia" w:eastAsia="宋体" w:hAnsi="Georgia" w:cs="Times New Roman"/>
          <w:kern w:val="0"/>
          <w:sz w:val="30"/>
          <w:szCs w:val="30"/>
        </w:rPr>
        <w:t>粤港澳大湾区人才的教育背景丰富，超过</w:t>
      </w:r>
      <w:r w:rsidR="006700D6" w:rsidRPr="006700D6">
        <w:rPr>
          <w:rFonts w:ascii="Georgia" w:eastAsia="宋体" w:hAnsi="Georgia" w:cs="Times New Roman"/>
          <w:kern w:val="0"/>
          <w:sz w:val="30"/>
          <w:szCs w:val="30"/>
        </w:rPr>
        <w:t>25%</w:t>
      </w:r>
      <w:r w:rsidR="006700D6" w:rsidRPr="006700D6">
        <w:rPr>
          <w:rFonts w:ascii="Georgia" w:eastAsia="宋体" w:hAnsi="Georgia" w:cs="Times New Roman"/>
          <w:kern w:val="0"/>
          <w:sz w:val="30"/>
          <w:szCs w:val="30"/>
        </w:rPr>
        <w:t>的人才具有国际教育背景，</w:t>
      </w:r>
      <w:r w:rsidR="006700D6" w:rsidRPr="006700D6">
        <w:rPr>
          <w:rFonts w:ascii="Georgia" w:eastAsia="宋体" w:hAnsi="Georgia" w:cs="Times New Roman"/>
          <w:kern w:val="0"/>
          <w:sz w:val="30"/>
          <w:szCs w:val="30"/>
        </w:rPr>
        <w:t>30%</w:t>
      </w:r>
      <w:r w:rsidR="006700D6" w:rsidRPr="006700D6">
        <w:rPr>
          <w:rFonts w:ascii="Georgia" w:eastAsia="宋体" w:hAnsi="Georgia" w:cs="Times New Roman"/>
          <w:kern w:val="0"/>
          <w:sz w:val="30"/>
          <w:szCs w:val="30"/>
        </w:rPr>
        <w:t>以上具有研究生及以上学历。专业以工商管理、经济、金融等经管类专业为主，计算机科学等</w:t>
      </w:r>
      <w:r w:rsidR="006700D6" w:rsidRPr="006700D6">
        <w:rPr>
          <w:rFonts w:ascii="Georgia" w:eastAsia="宋体" w:hAnsi="Georgia" w:cs="Times New Roman"/>
          <w:kern w:val="0"/>
          <w:sz w:val="30"/>
          <w:szCs w:val="30"/>
        </w:rPr>
        <w:t>ICT</w:t>
      </w:r>
      <w:r w:rsidR="006700D6" w:rsidRPr="006700D6">
        <w:rPr>
          <w:rFonts w:ascii="Georgia" w:eastAsia="宋体" w:hAnsi="Georgia" w:cs="Times New Roman"/>
          <w:kern w:val="0"/>
          <w:sz w:val="30"/>
          <w:szCs w:val="30"/>
        </w:rPr>
        <w:t>专业排名较高。</w:t>
      </w:r>
    </w:p>
    <w:p w14:paraId="4A70D9A6" w14:textId="2D49D449" w:rsidR="006700D6" w:rsidRPr="006700D6"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③</w:t>
      </w:r>
      <w:r w:rsidR="006700D6" w:rsidRPr="006700D6">
        <w:rPr>
          <w:rFonts w:ascii="Georgia" w:eastAsia="宋体" w:hAnsi="Georgia" w:cs="Times New Roman"/>
          <w:kern w:val="0"/>
          <w:sz w:val="30"/>
          <w:szCs w:val="30"/>
        </w:rPr>
        <w:t>与全国其他数字经济中心城市相比，相较于北京和武汉，粤港澳大湾区对数字人才具有更强吸引力，和上海、成都相比吸引力比较接近，但与杭州相比粤港澳大湾区对数字人才吸引力偏低。</w:t>
      </w:r>
    </w:p>
    <w:p w14:paraId="665A9895" w14:textId="0461C166" w:rsidR="006700D6" w:rsidRPr="006700D6"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④</w:t>
      </w:r>
      <w:r w:rsidR="006700D6" w:rsidRPr="006700D6">
        <w:rPr>
          <w:rFonts w:ascii="Georgia" w:eastAsia="宋体" w:hAnsi="Georgia" w:cs="Times New Roman"/>
          <w:kern w:val="0"/>
          <w:sz w:val="30"/>
          <w:szCs w:val="30"/>
        </w:rPr>
        <w:t>粤港澳大湾区高水平人才和数字人才均处于净流入状态。深圳对人才的吸引力最强，远超其他城市，在湾区内部更是人才聚集的中心，尤其在数字人才方面更加明显，突显出深圳在粤港澳大湾区的重要地位。</w:t>
      </w:r>
    </w:p>
    <w:p w14:paraId="3C9C7FD2" w14:textId="35452778" w:rsidR="006700D6" w:rsidRPr="006700D6"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⑤</w:t>
      </w:r>
      <w:r w:rsidR="006700D6" w:rsidRPr="006700D6">
        <w:rPr>
          <w:rFonts w:ascii="Georgia" w:eastAsia="宋体" w:hAnsi="Georgia" w:cs="Times New Roman"/>
          <w:kern w:val="0"/>
          <w:sz w:val="30"/>
          <w:szCs w:val="30"/>
        </w:rPr>
        <w:t>香港与湾区其他城市的人才往来率大大低于深圳和广州，而澳门则更低，两大特别行政区与内地城市的人才交流存在较大的激活空间。</w:t>
      </w:r>
    </w:p>
    <w:p w14:paraId="5AE06026" w14:textId="3907F006" w:rsidR="006700D6" w:rsidRPr="006700D6"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⑥</w:t>
      </w:r>
      <w:r w:rsidR="006700D6" w:rsidRPr="006700D6">
        <w:rPr>
          <w:rFonts w:ascii="Georgia" w:eastAsia="宋体" w:hAnsi="Georgia" w:cs="Times New Roman"/>
          <w:kern w:val="0"/>
          <w:sz w:val="30"/>
          <w:szCs w:val="30"/>
        </w:rPr>
        <w:t>粤港澳大湾区的重点人才储备比较丰富，研究类人才多分布在科技创新企业中，数字人才多集中在</w:t>
      </w:r>
      <w:r w:rsidR="006700D6" w:rsidRPr="006700D6">
        <w:rPr>
          <w:rFonts w:ascii="Georgia" w:eastAsia="宋体" w:hAnsi="Georgia" w:cs="Times New Roman"/>
          <w:kern w:val="0"/>
          <w:sz w:val="30"/>
          <w:szCs w:val="30"/>
        </w:rPr>
        <w:t>ICT</w:t>
      </w:r>
      <w:r w:rsidR="006700D6" w:rsidRPr="006700D6">
        <w:rPr>
          <w:rFonts w:ascii="Georgia" w:eastAsia="宋体" w:hAnsi="Georgia" w:cs="Times New Roman"/>
          <w:kern w:val="0"/>
          <w:sz w:val="30"/>
          <w:szCs w:val="30"/>
        </w:rPr>
        <w:t>基础型行业，但高校研究人才和创业类人才相对较少，人才的国际联通程度比较单一。</w:t>
      </w:r>
    </w:p>
    <w:p w14:paraId="6CD568DE" w14:textId="008FF053" w:rsidR="00BF3BD4" w:rsidRDefault="005C7629" w:rsidP="005C7629">
      <w:pPr>
        <w:widowControl/>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⑦</w:t>
      </w:r>
      <w:r w:rsidR="006700D6" w:rsidRPr="006700D6">
        <w:rPr>
          <w:rFonts w:ascii="Georgia" w:eastAsia="宋体" w:hAnsi="Georgia" w:cs="Times New Roman"/>
          <w:kern w:val="0"/>
          <w:sz w:val="30"/>
          <w:szCs w:val="30"/>
        </w:rPr>
        <w:t>与旧金山、悉尼两大湾区相比，粤港澳大湾区的人才队伍更加年轻，但并不</w:t>
      </w:r>
      <w:r w:rsidR="006700D6" w:rsidRPr="006700D6">
        <w:rPr>
          <w:rFonts w:ascii="Georgia" w:eastAsia="宋体" w:hAnsi="Georgia" w:cs="Times New Roman"/>
          <w:kern w:val="0"/>
          <w:sz w:val="30"/>
          <w:szCs w:val="30"/>
        </w:rPr>
        <w:t>“</w:t>
      </w:r>
      <w:r w:rsidR="006700D6" w:rsidRPr="006700D6">
        <w:rPr>
          <w:rFonts w:ascii="Georgia" w:eastAsia="宋体" w:hAnsi="Georgia" w:cs="Times New Roman"/>
          <w:kern w:val="0"/>
          <w:sz w:val="30"/>
          <w:szCs w:val="30"/>
        </w:rPr>
        <w:t>年幼</w:t>
      </w:r>
      <w:r w:rsidR="006700D6" w:rsidRPr="006700D6">
        <w:rPr>
          <w:rFonts w:ascii="Georgia" w:eastAsia="宋体" w:hAnsi="Georgia" w:cs="Times New Roman"/>
          <w:kern w:val="0"/>
          <w:sz w:val="30"/>
          <w:szCs w:val="30"/>
        </w:rPr>
        <w:t>”</w:t>
      </w:r>
      <w:r w:rsidR="006700D6" w:rsidRPr="006700D6">
        <w:rPr>
          <w:rFonts w:ascii="Georgia" w:eastAsia="宋体" w:hAnsi="Georgia" w:cs="Times New Roman"/>
          <w:kern w:val="0"/>
          <w:sz w:val="30"/>
          <w:szCs w:val="30"/>
        </w:rPr>
        <w:t>，兼具发展能力和发展潜力。</w:t>
      </w:r>
    </w:p>
    <w:p w14:paraId="6C731E84" w14:textId="77777777" w:rsidR="002B1531" w:rsidRDefault="00E327D8" w:rsidP="00870290">
      <w:pPr>
        <w:widowControl/>
        <w:ind w:left="90"/>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lastRenderedPageBreak/>
        <w:t>此次研究</w:t>
      </w:r>
      <w:r w:rsidRPr="00E327D8">
        <w:rPr>
          <w:rFonts w:ascii="Georgia" w:eastAsia="宋体" w:hAnsi="Georgia" w:cs="Times New Roman" w:hint="eastAsia"/>
          <w:kern w:val="0"/>
          <w:sz w:val="30"/>
          <w:szCs w:val="30"/>
        </w:rPr>
        <w:t>突出了粤港澳大湾区的人才特点与核心城市的人才优势</w:t>
      </w:r>
      <w:r w:rsidRPr="00E327D8">
        <w:rPr>
          <w:rFonts w:ascii="Georgia" w:eastAsia="宋体" w:hAnsi="Georgia" w:cs="Times New Roman" w:hint="eastAsia"/>
          <w:kern w:val="0"/>
          <w:sz w:val="30"/>
          <w:szCs w:val="30"/>
        </w:rPr>
        <w:t>,</w:t>
      </w:r>
      <w:r w:rsidRPr="00E327D8">
        <w:rPr>
          <w:rFonts w:ascii="Georgia" w:eastAsia="宋体" w:hAnsi="Georgia" w:cs="Times New Roman" w:hint="eastAsia"/>
          <w:kern w:val="0"/>
          <w:sz w:val="30"/>
          <w:szCs w:val="30"/>
        </w:rPr>
        <w:t>有利于大湾区内部的协调融合</w:t>
      </w:r>
      <w:r w:rsidRPr="00E327D8">
        <w:rPr>
          <w:rFonts w:ascii="Georgia" w:eastAsia="宋体" w:hAnsi="Georgia" w:cs="Times New Roman" w:hint="eastAsia"/>
          <w:kern w:val="0"/>
          <w:sz w:val="30"/>
          <w:szCs w:val="30"/>
        </w:rPr>
        <w:t>,</w:t>
      </w:r>
      <w:r w:rsidRPr="00E327D8">
        <w:rPr>
          <w:rFonts w:ascii="Georgia" w:eastAsia="宋体" w:hAnsi="Georgia" w:cs="Times New Roman" w:hint="eastAsia"/>
          <w:kern w:val="0"/>
          <w:sz w:val="30"/>
          <w:szCs w:val="30"/>
        </w:rPr>
        <w:t>以便探索促进人才汇聚和流动的最佳模式。同时</w:t>
      </w:r>
      <w:r w:rsidRPr="00E327D8">
        <w:rPr>
          <w:rFonts w:ascii="Georgia" w:eastAsia="宋体" w:hAnsi="Georgia" w:cs="Times New Roman" w:hint="eastAsia"/>
          <w:kern w:val="0"/>
          <w:sz w:val="30"/>
          <w:szCs w:val="30"/>
        </w:rPr>
        <w:t>,</w:t>
      </w:r>
      <w:r w:rsidRPr="00E327D8">
        <w:rPr>
          <w:rFonts w:ascii="Georgia" w:eastAsia="宋体" w:hAnsi="Georgia" w:cs="Times New Roman" w:hint="eastAsia"/>
          <w:kern w:val="0"/>
          <w:sz w:val="30"/>
          <w:szCs w:val="30"/>
        </w:rPr>
        <w:t>通过对标分析国际著名大湾区</w:t>
      </w:r>
      <w:r w:rsidRPr="00E327D8">
        <w:rPr>
          <w:rFonts w:ascii="Georgia" w:eastAsia="宋体" w:hAnsi="Georgia" w:cs="Times New Roman" w:hint="eastAsia"/>
          <w:kern w:val="0"/>
          <w:sz w:val="30"/>
          <w:szCs w:val="30"/>
        </w:rPr>
        <w:t>,</w:t>
      </w:r>
      <w:r w:rsidRPr="00E327D8">
        <w:rPr>
          <w:rFonts w:ascii="Georgia" w:eastAsia="宋体" w:hAnsi="Georgia" w:cs="Times New Roman" w:hint="eastAsia"/>
          <w:kern w:val="0"/>
          <w:sz w:val="30"/>
          <w:szCs w:val="30"/>
        </w:rPr>
        <w:t>力图帮助粤港澳各级政府规划人才培养路径</w:t>
      </w:r>
      <w:r w:rsidRPr="00E327D8">
        <w:rPr>
          <w:rFonts w:ascii="Georgia" w:eastAsia="宋体" w:hAnsi="Georgia" w:cs="Times New Roman" w:hint="eastAsia"/>
          <w:kern w:val="0"/>
          <w:sz w:val="30"/>
          <w:szCs w:val="30"/>
        </w:rPr>
        <w:t>,</w:t>
      </w:r>
      <w:r w:rsidRPr="00E327D8">
        <w:rPr>
          <w:rFonts w:ascii="Georgia" w:eastAsia="宋体" w:hAnsi="Georgia" w:cs="Times New Roman" w:hint="eastAsia"/>
          <w:kern w:val="0"/>
          <w:sz w:val="30"/>
          <w:szCs w:val="30"/>
        </w:rPr>
        <w:t>打造人才整体的核心竞争力</w:t>
      </w:r>
      <w:r w:rsidRPr="00E327D8">
        <w:rPr>
          <w:rFonts w:ascii="Georgia" w:eastAsia="宋体" w:hAnsi="Georgia" w:cs="Times New Roman" w:hint="eastAsia"/>
          <w:kern w:val="0"/>
          <w:sz w:val="30"/>
          <w:szCs w:val="30"/>
        </w:rPr>
        <w:t>,</w:t>
      </w:r>
      <w:r w:rsidRPr="00E327D8">
        <w:rPr>
          <w:rFonts w:ascii="Georgia" w:eastAsia="宋体" w:hAnsi="Georgia" w:cs="Times New Roman" w:hint="eastAsia"/>
          <w:kern w:val="0"/>
          <w:sz w:val="30"/>
          <w:szCs w:val="30"/>
        </w:rPr>
        <w:t>助力粤港澳跻身世界级大湾区</w:t>
      </w:r>
      <w:r w:rsidR="00870290">
        <w:rPr>
          <w:rFonts w:ascii="Georgia" w:eastAsia="宋体" w:hAnsi="Georgia" w:cs="Times New Roman" w:hint="eastAsia"/>
          <w:kern w:val="0"/>
          <w:sz w:val="30"/>
          <w:szCs w:val="30"/>
        </w:rPr>
        <w:t>。</w:t>
      </w:r>
    </w:p>
    <w:p w14:paraId="72CC948B" w14:textId="1766AEE8" w:rsidR="00E327D8" w:rsidRDefault="00E327D8" w:rsidP="00870290">
      <w:pPr>
        <w:widowControl/>
        <w:ind w:left="90"/>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而《</w:t>
      </w:r>
      <w:r w:rsidRPr="00E327D8">
        <w:rPr>
          <w:rFonts w:ascii="Georgia" w:eastAsia="宋体" w:hAnsi="Georgia" w:cs="Times New Roman" w:hint="eastAsia"/>
          <w:kern w:val="0"/>
          <w:sz w:val="30"/>
          <w:szCs w:val="30"/>
        </w:rPr>
        <w:t>京津冀区域人才协同发展机制研究</w:t>
      </w:r>
      <w:r>
        <w:rPr>
          <w:rFonts w:ascii="Georgia" w:eastAsia="宋体" w:hAnsi="Georgia" w:cs="Times New Roman" w:hint="eastAsia"/>
          <w:kern w:val="0"/>
          <w:sz w:val="30"/>
          <w:szCs w:val="30"/>
        </w:rPr>
        <w:t>》中则通过分析</w:t>
      </w:r>
      <w:r w:rsidRPr="00E327D8">
        <w:rPr>
          <w:rFonts w:ascii="Georgia" w:eastAsia="宋体" w:hAnsi="Georgia" w:cs="Times New Roman" w:hint="eastAsia"/>
          <w:kern w:val="0"/>
          <w:sz w:val="30"/>
          <w:szCs w:val="30"/>
        </w:rPr>
        <w:t>京津冀区域行政壁垒、三地人才市场的分割状态以及人力资源区域内</w:t>
      </w:r>
      <w:r>
        <w:rPr>
          <w:rFonts w:ascii="Georgia" w:eastAsia="宋体" w:hAnsi="Georgia" w:cs="Times New Roman" w:hint="eastAsia"/>
          <w:kern w:val="0"/>
          <w:sz w:val="30"/>
          <w:szCs w:val="30"/>
        </w:rPr>
        <w:t>分布不均衡等问题，就人才协同发展提出了适应</w:t>
      </w:r>
      <w:r w:rsidRPr="00E327D8">
        <w:rPr>
          <w:rFonts w:ascii="Georgia" w:eastAsia="宋体" w:hAnsi="Georgia" w:cs="Times New Roman" w:hint="eastAsia"/>
          <w:kern w:val="0"/>
          <w:sz w:val="30"/>
          <w:szCs w:val="30"/>
        </w:rPr>
        <w:t>京津冀区域协同发展机制建设的路径选择</w:t>
      </w:r>
      <w:r w:rsidR="00870290">
        <w:rPr>
          <w:rFonts w:ascii="Georgia" w:eastAsia="宋体" w:hAnsi="Georgia" w:cs="Times New Roman" w:hint="eastAsia"/>
          <w:kern w:val="0"/>
          <w:sz w:val="30"/>
          <w:szCs w:val="30"/>
        </w:rPr>
        <w:t>。</w:t>
      </w:r>
    </w:p>
    <w:p w14:paraId="1586FC99" w14:textId="5950C4FC" w:rsidR="00870290" w:rsidRPr="00B80BAE" w:rsidRDefault="00870290" w:rsidP="00B80BAE">
      <w:pPr>
        <w:widowControl/>
        <w:ind w:left="90"/>
        <w:jc w:val="left"/>
        <w:textAlignment w:val="baseline"/>
        <w:rPr>
          <w:rFonts w:ascii="Georgia" w:eastAsia="宋体" w:hAnsi="Georgia" w:cs="Times New Roman"/>
          <w:kern w:val="0"/>
          <w:sz w:val="30"/>
          <w:szCs w:val="30"/>
        </w:rPr>
      </w:pPr>
      <w:r>
        <w:rPr>
          <w:rFonts w:ascii="Georgia" w:eastAsia="宋体" w:hAnsi="Georgia" w:cs="Times New Roman" w:hint="eastAsia"/>
          <w:kern w:val="0"/>
          <w:sz w:val="30"/>
          <w:szCs w:val="30"/>
        </w:rPr>
        <w:t>在《</w:t>
      </w:r>
      <w:r w:rsidRPr="00870290">
        <w:rPr>
          <w:rFonts w:ascii="Georgia" w:eastAsia="宋体" w:hAnsi="Georgia" w:cs="Times New Roman" w:hint="eastAsia"/>
          <w:kern w:val="0"/>
          <w:sz w:val="30"/>
          <w:szCs w:val="30"/>
        </w:rPr>
        <w:t>粤港澳大湾区人才协同发展机制研究——基于粤港澳人才合作示范区的经验推广</w:t>
      </w:r>
      <w:r>
        <w:rPr>
          <w:rFonts w:ascii="Georgia" w:eastAsia="宋体" w:hAnsi="Georgia" w:cs="Times New Roman" w:hint="eastAsia"/>
          <w:kern w:val="0"/>
          <w:sz w:val="30"/>
          <w:szCs w:val="30"/>
        </w:rPr>
        <w:t>》一文中围绕</w:t>
      </w:r>
      <w:r w:rsidRPr="00B80BAE">
        <w:rPr>
          <w:rFonts w:ascii="Georgia" w:eastAsia="宋体" w:hAnsi="Georgia" w:cs="Times New Roman"/>
          <w:kern w:val="0"/>
          <w:sz w:val="30"/>
          <w:szCs w:val="30"/>
        </w:rPr>
        <w:t>国内外学者支持区域人才协同发展的政策机制进行了深入研究</w:t>
      </w:r>
      <w:r w:rsidRPr="00B80BAE">
        <w:rPr>
          <w:rFonts w:ascii="Georgia" w:eastAsia="宋体" w:hAnsi="Georgia" w:cs="Times New Roman" w:hint="eastAsia"/>
          <w:kern w:val="0"/>
          <w:sz w:val="30"/>
          <w:szCs w:val="30"/>
        </w:rPr>
        <w:t>，结合</w:t>
      </w:r>
      <w:r w:rsidRPr="00B80BAE">
        <w:rPr>
          <w:rFonts w:ascii="Georgia" w:eastAsia="宋体" w:hAnsi="Georgia" w:cs="Times New Roman"/>
          <w:kern w:val="0"/>
          <w:sz w:val="30"/>
          <w:szCs w:val="30"/>
        </w:rPr>
        <w:t>人才成长和发展的内在规律</w:t>
      </w:r>
      <w:r w:rsidRPr="00B80BAE">
        <w:rPr>
          <w:rFonts w:ascii="Georgia" w:eastAsia="宋体" w:hAnsi="Georgia" w:cs="Times New Roman"/>
          <w:kern w:val="0"/>
          <w:sz w:val="30"/>
          <w:szCs w:val="30"/>
        </w:rPr>
        <w:t xml:space="preserve">, </w:t>
      </w:r>
      <w:r w:rsidRPr="00B80BAE">
        <w:rPr>
          <w:rFonts w:ascii="Georgia" w:eastAsia="宋体" w:hAnsi="Georgia" w:cs="Times New Roman"/>
          <w:kern w:val="0"/>
          <w:sz w:val="30"/>
          <w:szCs w:val="30"/>
        </w:rPr>
        <w:t>展开对促进人才发展的政策文本所表述的各类协同创新措施和行动方案的分析</w:t>
      </w:r>
      <w:r w:rsidRPr="00B80BAE">
        <w:rPr>
          <w:rFonts w:ascii="Georgia" w:eastAsia="宋体" w:hAnsi="Georgia" w:cs="Times New Roman"/>
          <w:kern w:val="0"/>
          <w:sz w:val="30"/>
          <w:szCs w:val="30"/>
        </w:rPr>
        <w:t xml:space="preserve">, </w:t>
      </w:r>
      <w:r w:rsidRPr="00B80BAE">
        <w:rPr>
          <w:rFonts w:ascii="Georgia" w:eastAsia="宋体" w:hAnsi="Georgia" w:cs="Times New Roman"/>
          <w:kern w:val="0"/>
          <w:sz w:val="30"/>
          <w:szCs w:val="30"/>
        </w:rPr>
        <w:t>最终将区域人才协同发展的要素划分为人才引进协同、人才培育协同、人才流动协同、人才评价协同、人才激励协同、人才服务保障协同六个方面</w:t>
      </w:r>
      <w:r w:rsidR="00B80BAE" w:rsidRPr="00B80BAE">
        <w:rPr>
          <w:rFonts w:ascii="Georgia" w:eastAsia="宋体" w:hAnsi="Georgia" w:cs="Times New Roman" w:hint="eastAsia"/>
          <w:kern w:val="0"/>
          <w:sz w:val="30"/>
          <w:szCs w:val="30"/>
        </w:rPr>
        <w:t>，各政策维度内涵见表</w:t>
      </w:r>
      <w:r w:rsidR="00B80BAE" w:rsidRPr="00B80BAE">
        <w:rPr>
          <w:rFonts w:ascii="Georgia" w:eastAsia="宋体" w:hAnsi="Georgia" w:cs="Times New Roman" w:hint="eastAsia"/>
          <w:kern w:val="0"/>
          <w:sz w:val="30"/>
          <w:szCs w:val="30"/>
        </w:rPr>
        <w:t>1</w:t>
      </w:r>
      <w:r w:rsidR="00B80BAE" w:rsidRPr="00B80BAE">
        <w:rPr>
          <w:rFonts w:ascii="Georgia" w:eastAsia="宋体" w:hAnsi="Georgia" w:cs="Times New Roman" w:hint="eastAsia"/>
          <w:kern w:val="0"/>
          <w:sz w:val="30"/>
          <w:szCs w:val="30"/>
        </w:rPr>
        <w:t>。</w:t>
      </w:r>
    </w:p>
    <w:p w14:paraId="2D0340F9" w14:textId="3936D56C" w:rsidR="005C7629" w:rsidRDefault="00B80BAE" w:rsidP="005C7629">
      <w:pPr>
        <w:jc w:val="center"/>
        <w:rPr>
          <w:rFonts w:ascii="Arial" w:eastAsia="宋体" w:hAnsi="Arial" w:cs="Arial"/>
          <w:color w:val="333333"/>
          <w:spacing w:val="9"/>
          <w:kern w:val="0"/>
          <w:shd w:val="clear" w:color="auto" w:fill="FFFFFF"/>
        </w:rPr>
      </w:pPr>
      <w:r>
        <w:rPr>
          <w:rFonts w:ascii="Arial" w:eastAsia="宋体" w:hAnsi="Arial" w:cs="Arial" w:hint="eastAsia"/>
          <w:color w:val="333333"/>
          <w:spacing w:val="9"/>
          <w:kern w:val="0"/>
          <w:shd w:val="clear" w:color="auto" w:fill="FFFFFF"/>
        </w:rPr>
        <w:t>表</w:t>
      </w:r>
      <w:r>
        <w:rPr>
          <w:rFonts w:ascii="Arial" w:eastAsia="宋体" w:hAnsi="Arial" w:cs="Arial" w:hint="eastAsia"/>
          <w:color w:val="333333"/>
          <w:spacing w:val="9"/>
          <w:kern w:val="0"/>
          <w:shd w:val="clear" w:color="auto" w:fill="FFFFFF"/>
        </w:rPr>
        <w:t>1</w:t>
      </w:r>
    </w:p>
    <w:tbl>
      <w:tblPr>
        <w:tblW w:w="7000" w:type="dxa"/>
        <w:tblInd w:w="108" w:type="dxa"/>
        <w:tblLook w:val="04A0" w:firstRow="1" w:lastRow="0" w:firstColumn="1" w:lastColumn="0" w:noHBand="0" w:noVBand="1"/>
      </w:tblPr>
      <w:tblGrid>
        <w:gridCol w:w="1800"/>
        <w:gridCol w:w="5200"/>
      </w:tblGrid>
      <w:tr w:rsidR="00870290" w:rsidRPr="00870290" w14:paraId="131FBF92" w14:textId="77777777" w:rsidTr="005C7629">
        <w:trPr>
          <w:trHeight w:val="300"/>
        </w:trPr>
        <w:tc>
          <w:tcPr>
            <w:tcW w:w="18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877CBF2"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协同维度</w:t>
            </w:r>
          </w:p>
        </w:tc>
        <w:tc>
          <w:tcPr>
            <w:tcW w:w="5200" w:type="dxa"/>
            <w:tcBorders>
              <w:top w:val="single" w:sz="4" w:space="0" w:color="000000"/>
              <w:left w:val="nil"/>
              <w:bottom w:val="single" w:sz="4" w:space="0" w:color="000000"/>
              <w:right w:val="single" w:sz="4" w:space="0" w:color="000000"/>
            </w:tcBorders>
            <w:shd w:val="clear" w:color="auto" w:fill="auto"/>
            <w:vAlign w:val="bottom"/>
            <w:hideMark/>
          </w:tcPr>
          <w:p w14:paraId="36D7E2AC"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内涵</w:t>
            </w:r>
          </w:p>
        </w:tc>
      </w:tr>
      <w:tr w:rsidR="00870290" w:rsidRPr="00870290" w14:paraId="5CA3A56A" w14:textId="77777777" w:rsidTr="005C7629">
        <w:trPr>
          <w:trHeight w:val="540"/>
        </w:trPr>
        <w:tc>
          <w:tcPr>
            <w:tcW w:w="1800" w:type="dxa"/>
            <w:tcBorders>
              <w:top w:val="nil"/>
              <w:left w:val="single" w:sz="4" w:space="0" w:color="000000"/>
              <w:bottom w:val="single" w:sz="4" w:space="0" w:color="000000"/>
              <w:right w:val="single" w:sz="4" w:space="0" w:color="000000"/>
            </w:tcBorders>
            <w:shd w:val="clear" w:color="auto" w:fill="auto"/>
            <w:vAlign w:val="bottom"/>
            <w:hideMark/>
          </w:tcPr>
          <w:p w14:paraId="44050AC5"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人才引进协同</w:t>
            </w:r>
          </w:p>
        </w:tc>
        <w:tc>
          <w:tcPr>
            <w:tcW w:w="5200" w:type="dxa"/>
            <w:tcBorders>
              <w:top w:val="nil"/>
              <w:left w:val="nil"/>
              <w:bottom w:val="single" w:sz="4" w:space="0" w:color="000000"/>
              <w:right w:val="single" w:sz="4" w:space="0" w:color="000000"/>
            </w:tcBorders>
            <w:shd w:val="clear" w:color="auto" w:fill="auto"/>
            <w:vAlign w:val="bottom"/>
            <w:hideMark/>
          </w:tcPr>
          <w:p w14:paraId="107B1364"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对接区域产业发展需求, 统筹协调人才跨国界、跨地区引进</w:t>
            </w:r>
          </w:p>
        </w:tc>
      </w:tr>
      <w:tr w:rsidR="00870290" w:rsidRPr="00870290" w14:paraId="6A1B3529" w14:textId="77777777" w:rsidTr="005C7629">
        <w:trPr>
          <w:trHeight w:val="540"/>
        </w:trPr>
        <w:tc>
          <w:tcPr>
            <w:tcW w:w="1800" w:type="dxa"/>
            <w:tcBorders>
              <w:top w:val="nil"/>
              <w:left w:val="single" w:sz="4" w:space="0" w:color="000000"/>
              <w:bottom w:val="single" w:sz="4" w:space="0" w:color="000000"/>
              <w:right w:val="single" w:sz="4" w:space="0" w:color="000000"/>
            </w:tcBorders>
            <w:shd w:val="clear" w:color="auto" w:fill="auto"/>
            <w:vAlign w:val="bottom"/>
            <w:hideMark/>
          </w:tcPr>
          <w:p w14:paraId="0D0DB54B"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人才培育协同</w:t>
            </w:r>
          </w:p>
        </w:tc>
        <w:tc>
          <w:tcPr>
            <w:tcW w:w="5200" w:type="dxa"/>
            <w:tcBorders>
              <w:top w:val="nil"/>
              <w:left w:val="nil"/>
              <w:bottom w:val="single" w:sz="4" w:space="0" w:color="000000"/>
              <w:right w:val="single" w:sz="4" w:space="0" w:color="000000"/>
            </w:tcBorders>
            <w:shd w:val="clear" w:color="auto" w:fill="auto"/>
            <w:vAlign w:val="bottom"/>
            <w:hideMark/>
          </w:tcPr>
          <w:p w14:paraId="61F0B34B"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发挥区域教育资源优势互补作用, 对区域人才创新创造意识、能力、素质等的培养</w:t>
            </w:r>
          </w:p>
        </w:tc>
      </w:tr>
      <w:tr w:rsidR="00870290" w:rsidRPr="00870290" w14:paraId="6428807B" w14:textId="77777777" w:rsidTr="005C7629">
        <w:trPr>
          <w:trHeight w:val="300"/>
        </w:trPr>
        <w:tc>
          <w:tcPr>
            <w:tcW w:w="1800" w:type="dxa"/>
            <w:tcBorders>
              <w:top w:val="nil"/>
              <w:left w:val="single" w:sz="4" w:space="0" w:color="000000"/>
              <w:bottom w:val="single" w:sz="4" w:space="0" w:color="000000"/>
              <w:right w:val="single" w:sz="4" w:space="0" w:color="000000"/>
            </w:tcBorders>
            <w:shd w:val="clear" w:color="auto" w:fill="auto"/>
            <w:vAlign w:val="bottom"/>
            <w:hideMark/>
          </w:tcPr>
          <w:p w14:paraId="30D35BD5"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人才流动协同</w:t>
            </w:r>
          </w:p>
        </w:tc>
        <w:tc>
          <w:tcPr>
            <w:tcW w:w="5200" w:type="dxa"/>
            <w:tcBorders>
              <w:top w:val="nil"/>
              <w:left w:val="nil"/>
              <w:bottom w:val="single" w:sz="4" w:space="0" w:color="000000"/>
              <w:right w:val="single" w:sz="4" w:space="0" w:color="000000"/>
            </w:tcBorders>
            <w:shd w:val="clear" w:color="auto" w:fill="auto"/>
            <w:vAlign w:val="bottom"/>
            <w:hideMark/>
          </w:tcPr>
          <w:p w14:paraId="3776D079"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促进人才跨地区、跨行业、跨岗位等方面的流动</w:t>
            </w:r>
          </w:p>
        </w:tc>
      </w:tr>
      <w:tr w:rsidR="00870290" w:rsidRPr="00870290" w14:paraId="4F5007F8" w14:textId="77777777" w:rsidTr="005C7629">
        <w:trPr>
          <w:trHeight w:val="540"/>
        </w:trPr>
        <w:tc>
          <w:tcPr>
            <w:tcW w:w="1800" w:type="dxa"/>
            <w:tcBorders>
              <w:top w:val="nil"/>
              <w:left w:val="single" w:sz="4" w:space="0" w:color="000000"/>
              <w:bottom w:val="single" w:sz="4" w:space="0" w:color="000000"/>
              <w:right w:val="single" w:sz="4" w:space="0" w:color="000000"/>
            </w:tcBorders>
            <w:shd w:val="clear" w:color="auto" w:fill="auto"/>
            <w:vAlign w:val="bottom"/>
            <w:hideMark/>
          </w:tcPr>
          <w:p w14:paraId="00D5D650"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人才评价协同</w:t>
            </w:r>
          </w:p>
        </w:tc>
        <w:tc>
          <w:tcPr>
            <w:tcW w:w="5200" w:type="dxa"/>
            <w:tcBorders>
              <w:top w:val="nil"/>
              <w:left w:val="nil"/>
              <w:bottom w:val="single" w:sz="4" w:space="0" w:color="000000"/>
              <w:right w:val="single" w:sz="4" w:space="0" w:color="000000"/>
            </w:tcBorders>
            <w:shd w:val="clear" w:color="auto" w:fill="auto"/>
            <w:vAlign w:val="bottom"/>
            <w:hideMark/>
          </w:tcPr>
          <w:p w14:paraId="268B768F"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跨区域人才执业资格互认、成果互认, 对人才的能力素质、业绩贡献进行统一、客观的价值评判</w:t>
            </w:r>
          </w:p>
        </w:tc>
      </w:tr>
      <w:tr w:rsidR="00870290" w:rsidRPr="00870290" w14:paraId="1C542621" w14:textId="77777777" w:rsidTr="005C7629">
        <w:trPr>
          <w:trHeight w:val="540"/>
        </w:trPr>
        <w:tc>
          <w:tcPr>
            <w:tcW w:w="1800" w:type="dxa"/>
            <w:tcBorders>
              <w:top w:val="nil"/>
              <w:left w:val="single" w:sz="4" w:space="0" w:color="000000"/>
              <w:bottom w:val="single" w:sz="4" w:space="0" w:color="000000"/>
              <w:right w:val="single" w:sz="4" w:space="0" w:color="000000"/>
            </w:tcBorders>
            <w:shd w:val="clear" w:color="auto" w:fill="auto"/>
            <w:vAlign w:val="bottom"/>
            <w:hideMark/>
          </w:tcPr>
          <w:p w14:paraId="4C4E8707"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人才激励协同</w:t>
            </w:r>
          </w:p>
        </w:tc>
        <w:tc>
          <w:tcPr>
            <w:tcW w:w="5200" w:type="dxa"/>
            <w:tcBorders>
              <w:top w:val="nil"/>
              <w:left w:val="nil"/>
              <w:bottom w:val="single" w:sz="4" w:space="0" w:color="000000"/>
              <w:right w:val="single" w:sz="4" w:space="0" w:color="000000"/>
            </w:tcBorders>
            <w:shd w:val="clear" w:color="auto" w:fill="auto"/>
            <w:vAlign w:val="bottom"/>
            <w:hideMark/>
          </w:tcPr>
          <w:p w14:paraId="7B9EF619"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通过物质和精神奖励等多元化方式和手段奖励人才的成果, 促进成果转化</w:t>
            </w:r>
          </w:p>
        </w:tc>
      </w:tr>
      <w:tr w:rsidR="00870290" w:rsidRPr="00870290" w14:paraId="1D5137D8" w14:textId="77777777" w:rsidTr="005C7629">
        <w:trPr>
          <w:trHeight w:val="800"/>
        </w:trPr>
        <w:tc>
          <w:tcPr>
            <w:tcW w:w="1800" w:type="dxa"/>
            <w:tcBorders>
              <w:top w:val="nil"/>
              <w:left w:val="single" w:sz="4" w:space="0" w:color="000000"/>
              <w:bottom w:val="single" w:sz="4" w:space="0" w:color="000000"/>
              <w:right w:val="single" w:sz="4" w:space="0" w:color="000000"/>
            </w:tcBorders>
            <w:shd w:val="clear" w:color="auto" w:fill="auto"/>
            <w:vAlign w:val="bottom"/>
            <w:hideMark/>
          </w:tcPr>
          <w:p w14:paraId="63477C01"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人才服务保障协同</w:t>
            </w:r>
          </w:p>
        </w:tc>
        <w:tc>
          <w:tcPr>
            <w:tcW w:w="5200" w:type="dxa"/>
            <w:tcBorders>
              <w:top w:val="nil"/>
              <w:left w:val="nil"/>
              <w:bottom w:val="single" w:sz="4" w:space="0" w:color="000000"/>
              <w:right w:val="single" w:sz="4" w:space="0" w:color="000000"/>
            </w:tcBorders>
            <w:shd w:val="clear" w:color="auto" w:fill="auto"/>
            <w:vAlign w:val="bottom"/>
            <w:hideMark/>
          </w:tcPr>
          <w:p w14:paraId="486D1F29" w14:textId="77777777" w:rsidR="00870290" w:rsidRPr="00870290" w:rsidRDefault="00870290" w:rsidP="00870290">
            <w:pPr>
              <w:widowControl/>
              <w:jc w:val="left"/>
              <w:rPr>
                <w:rFonts w:ascii="宋体" w:eastAsia="宋体" w:hAnsi="宋体" w:cs="Times New Roman"/>
                <w:color w:val="000000"/>
                <w:kern w:val="0"/>
                <w:sz w:val="20"/>
                <w:szCs w:val="20"/>
              </w:rPr>
            </w:pPr>
            <w:r w:rsidRPr="00870290">
              <w:rPr>
                <w:rFonts w:ascii="宋体" w:eastAsia="宋体" w:hAnsi="宋体" w:cs="Times New Roman" w:hint="eastAsia"/>
                <w:color w:val="000000"/>
                <w:kern w:val="0"/>
                <w:sz w:val="20"/>
                <w:szCs w:val="20"/>
              </w:rPr>
              <w:t>为人才提供统一的财税、金融、平台等必要的公共服务和创新创业扶持措施;并对人才的医疗、就业、子女教育、社保等保障问题做出跨区域制度衔接</w:t>
            </w:r>
          </w:p>
        </w:tc>
      </w:tr>
    </w:tbl>
    <w:p w14:paraId="6A033DCB" w14:textId="336514EA" w:rsidR="00870290" w:rsidRPr="00870290" w:rsidRDefault="00870290" w:rsidP="00870290">
      <w:pPr>
        <w:rPr>
          <w:rFonts w:ascii="宋体" w:eastAsia="宋体" w:hAnsi="宋体" w:cs="Times New Roman"/>
          <w:kern w:val="0"/>
          <w:sz w:val="20"/>
          <w:szCs w:val="20"/>
        </w:rPr>
      </w:pPr>
      <w:r w:rsidRPr="00870290">
        <w:rPr>
          <w:rFonts w:ascii="Arial" w:eastAsia="宋体" w:hAnsi="Arial" w:cs="Arial"/>
          <w:color w:val="333333"/>
          <w:spacing w:val="9"/>
          <w:kern w:val="0"/>
          <w:shd w:val="clear" w:color="auto" w:fill="FFFFFF"/>
        </w:rPr>
        <w:t> </w:t>
      </w:r>
      <w:r w:rsidR="002B1531">
        <w:rPr>
          <w:rFonts w:ascii="Arial" w:eastAsia="宋体" w:hAnsi="Arial" w:cs="Arial" w:hint="eastAsia"/>
          <w:color w:val="333333"/>
          <w:spacing w:val="9"/>
          <w:kern w:val="0"/>
          <w:shd w:val="clear" w:color="auto" w:fill="FFFFFF"/>
        </w:rPr>
        <w:t>该研究</w:t>
      </w:r>
      <w:r w:rsidR="002B1531" w:rsidRPr="002B1531">
        <w:rPr>
          <w:rFonts w:ascii="Arial" w:eastAsia="宋体" w:hAnsi="Arial" w:cs="Arial" w:hint="eastAsia"/>
          <w:color w:val="333333"/>
          <w:spacing w:val="9"/>
          <w:kern w:val="0"/>
          <w:shd w:val="clear" w:color="auto" w:fill="FFFFFF"/>
        </w:rPr>
        <w:t>最后通过总结凝练粤港澳人才合作示范区的先行经验</w:t>
      </w:r>
      <w:r w:rsidR="002B1531" w:rsidRPr="002B1531">
        <w:rPr>
          <w:rFonts w:ascii="Arial" w:eastAsia="宋体" w:hAnsi="Arial" w:cs="Arial" w:hint="eastAsia"/>
          <w:color w:val="333333"/>
          <w:spacing w:val="9"/>
          <w:kern w:val="0"/>
          <w:shd w:val="clear" w:color="auto" w:fill="FFFFFF"/>
        </w:rPr>
        <w:t xml:space="preserve">, </w:t>
      </w:r>
      <w:r w:rsidR="002B1531" w:rsidRPr="002B1531">
        <w:rPr>
          <w:rFonts w:ascii="Arial" w:eastAsia="宋体" w:hAnsi="Arial" w:cs="Arial" w:hint="eastAsia"/>
          <w:color w:val="333333"/>
          <w:spacing w:val="9"/>
          <w:kern w:val="0"/>
          <w:shd w:val="clear" w:color="auto" w:fill="FFFFFF"/>
        </w:rPr>
        <w:t>构建了基于人才引进协同、人才交流合作、国际猎头培育、平台载体建设、人才流动畅通、人才环境优化六个维度的粤港澳大湾区人才协同机制</w:t>
      </w:r>
      <w:r w:rsidR="002B1531" w:rsidRPr="002B1531">
        <w:rPr>
          <w:rFonts w:ascii="Arial" w:eastAsia="宋体" w:hAnsi="Arial" w:cs="Arial" w:hint="eastAsia"/>
          <w:color w:val="333333"/>
          <w:spacing w:val="9"/>
          <w:kern w:val="0"/>
          <w:shd w:val="clear" w:color="auto" w:fill="FFFFFF"/>
        </w:rPr>
        <w:t>,</w:t>
      </w:r>
      <w:bookmarkStart w:id="0" w:name="_GoBack"/>
      <w:r w:rsidR="002B1531" w:rsidRPr="002B1531">
        <w:rPr>
          <w:rFonts w:ascii="Arial" w:eastAsia="宋体" w:hAnsi="Arial" w:cs="Arial" w:hint="eastAsia"/>
          <w:color w:val="333333"/>
          <w:spacing w:val="9"/>
          <w:kern w:val="0"/>
          <w:shd w:val="clear" w:color="auto" w:fill="FFFFFF"/>
        </w:rPr>
        <w:t xml:space="preserve"> </w:t>
      </w:r>
      <w:r w:rsidR="002B1531" w:rsidRPr="002B1531">
        <w:rPr>
          <w:rFonts w:ascii="Arial" w:eastAsia="宋体" w:hAnsi="Arial" w:cs="Arial" w:hint="eastAsia"/>
          <w:color w:val="333333"/>
          <w:spacing w:val="9"/>
          <w:kern w:val="0"/>
          <w:shd w:val="clear" w:color="auto" w:fill="FFFFFF"/>
        </w:rPr>
        <w:t>以深入开放引领深度合作</w:t>
      </w:r>
      <w:r w:rsidR="002B1531" w:rsidRPr="002B1531">
        <w:rPr>
          <w:rFonts w:ascii="Arial" w:eastAsia="宋体" w:hAnsi="Arial" w:cs="Arial" w:hint="eastAsia"/>
          <w:color w:val="333333"/>
          <w:spacing w:val="9"/>
          <w:kern w:val="0"/>
          <w:shd w:val="clear" w:color="auto" w:fill="FFFFFF"/>
        </w:rPr>
        <w:t xml:space="preserve">, </w:t>
      </w:r>
      <w:r w:rsidR="002B1531" w:rsidRPr="002B1531">
        <w:rPr>
          <w:rFonts w:ascii="Arial" w:eastAsia="宋体" w:hAnsi="Arial" w:cs="Arial" w:hint="eastAsia"/>
          <w:color w:val="333333"/>
          <w:spacing w:val="9"/>
          <w:kern w:val="0"/>
          <w:shd w:val="clear" w:color="auto" w:fill="FFFFFF"/>
        </w:rPr>
        <w:t>畅通粤港澳三地创新资源</w:t>
      </w:r>
      <w:r w:rsidR="002B1531" w:rsidRPr="002B1531">
        <w:rPr>
          <w:rFonts w:ascii="Arial" w:eastAsia="宋体" w:hAnsi="Arial" w:cs="Arial" w:hint="eastAsia"/>
          <w:color w:val="333333"/>
          <w:spacing w:val="9"/>
          <w:kern w:val="0"/>
          <w:shd w:val="clear" w:color="auto" w:fill="FFFFFF"/>
        </w:rPr>
        <w:t xml:space="preserve">, </w:t>
      </w:r>
      <w:r w:rsidR="002B1531" w:rsidRPr="002B1531">
        <w:rPr>
          <w:rFonts w:ascii="Arial" w:eastAsia="宋体" w:hAnsi="Arial" w:cs="Arial" w:hint="eastAsia"/>
          <w:color w:val="333333"/>
          <w:spacing w:val="9"/>
          <w:kern w:val="0"/>
          <w:shd w:val="clear" w:color="auto" w:fill="FFFFFF"/>
        </w:rPr>
        <w:t>形成具有国际竞争力的湾区人才协同创新制度优势。</w:t>
      </w:r>
    </w:p>
    <w:bookmarkEnd w:id="0"/>
    <w:p w14:paraId="00803C7D" w14:textId="2C4F8C30" w:rsidR="00870290" w:rsidRPr="00870290" w:rsidRDefault="00870290" w:rsidP="00870290">
      <w:pPr>
        <w:rPr>
          <w:rFonts w:ascii="宋体" w:eastAsia="宋体" w:hAnsi="宋体" w:cs="Times New Roman"/>
          <w:kern w:val="0"/>
          <w:sz w:val="20"/>
          <w:szCs w:val="20"/>
        </w:rPr>
      </w:pPr>
    </w:p>
    <w:p w14:paraId="7C6FAA8C" w14:textId="39CACFF0" w:rsidR="00870290" w:rsidRPr="006700D6" w:rsidRDefault="00870290" w:rsidP="00870290">
      <w:pPr>
        <w:widowControl/>
        <w:ind w:left="90"/>
        <w:jc w:val="left"/>
        <w:textAlignment w:val="baseline"/>
        <w:rPr>
          <w:rFonts w:ascii="Georgia" w:eastAsia="宋体" w:hAnsi="Georgia" w:cs="Times New Roman"/>
          <w:kern w:val="0"/>
          <w:sz w:val="30"/>
          <w:szCs w:val="30"/>
        </w:rPr>
      </w:pPr>
    </w:p>
    <w:sectPr w:rsidR="00870290" w:rsidRPr="006700D6" w:rsidSect="00C81A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906"/>
    <w:multiLevelType w:val="multilevel"/>
    <w:tmpl w:val="043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0D6"/>
    <w:rsid w:val="002B1531"/>
    <w:rsid w:val="005A769E"/>
    <w:rsid w:val="005C7629"/>
    <w:rsid w:val="006700D6"/>
    <w:rsid w:val="00870290"/>
    <w:rsid w:val="00B80BAE"/>
    <w:rsid w:val="00BF3BD4"/>
    <w:rsid w:val="00C81A74"/>
    <w:rsid w:val="00E32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7D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7D8"/>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7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442">
      <w:bodyDiv w:val="1"/>
      <w:marLeft w:val="0"/>
      <w:marRight w:val="0"/>
      <w:marTop w:val="0"/>
      <w:marBottom w:val="0"/>
      <w:divBdr>
        <w:top w:val="none" w:sz="0" w:space="0" w:color="auto"/>
        <w:left w:val="none" w:sz="0" w:space="0" w:color="auto"/>
        <w:bottom w:val="none" w:sz="0" w:space="0" w:color="auto"/>
        <w:right w:val="none" w:sz="0" w:space="0" w:color="auto"/>
      </w:divBdr>
    </w:div>
    <w:div w:id="24211581">
      <w:bodyDiv w:val="1"/>
      <w:marLeft w:val="0"/>
      <w:marRight w:val="0"/>
      <w:marTop w:val="0"/>
      <w:marBottom w:val="0"/>
      <w:divBdr>
        <w:top w:val="none" w:sz="0" w:space="0" w:color="auto"/>
        <w:left w:val="none" w:sz="0" w:space="0" w:color="auto"/>
        <w:bottom w:val="none" w:sz="0" w:space="0" w:color="auto"/>
        <w:right w:val="none" w:sz="0" w:space="0" w:color="auto"/>
      </w:divBdr>
    </w:div>
    <w:div w:id="567498743">
      <w:bodyDiv w:val="1"/>
      <w:marLeft w:val="0"/>
      <w:marRight w:val="0"/>
      <w:marTop w:val="0"/>
      <w:marBottom w:val="0"/>
      <w:divBdr>
        <w:top w:val="none" w:sz="0" w:space="0" w:color="auto"/>
        <w:left w:val="none" w:sz="0" w:space="0" w:color="auto"/>
        <w:bottom w:val="none" w:sz="0" w:space="0" w:color="auto"/>
        <w:right w:val="none" w:sz="0" w:space="0" w:color="auto"/>
      </w:divBdr>
    </w:div>
    <w:div w:id="911474801">
      <w:bodyDiv w:val="1"/>
      <w:marLeft w:val="0"/>
      <w:marRight w:val="0"/>
      <w:marTop w:val="0"/>
      <w:marBottom w:val="0"/>
      <w:divBdr>
        <w:top w:val="none" w:sz="0" w:space="0" w:color="auto"/>
        <w:left w:val="none" w:sz="0" w:space="0" w:color="auto"/>
        <w:bottom w:val="none" w:sz="0" w:space="0" w:color="auto"/>
        <w:right w:val="none" w:sz="0" w:space="0" w:color="auto"/>
      </w:divBdr>
    </w:div>
    <w:div w:id="918097022">
      <w:bodyDiv w:val="1"/>
      <w:marLeft w:val="0"/>
      <w:marRight w:val="0"/>
      <w:marTop w:val="0"/>
      <w:marBottom w:val="0"/>
      <w:divBdr>
        <w:top w:val="none" w:sz="0" w:space="0" w:color="auto"/>
        <w:left w:val="none" w:sz="0" w:space="0" w:color="auto"/>
        <w:bottom w:val="none" w:sz="0" w:space="0" w:color="auto"/>
        <w:right w:val="none" w:sz="0" w:space="0" w:color="auto"/>
      </w:divBdr>
    </w:div>
    <w:div w:id="1001926614">
      <w:bodyDiv w:val="1"/>
      <w:marLeft w:val="0"/>
      <w:marRight w:val="0"/>
      <w:marTop w:val="0"/>
      <w:marBottom w:val="0"/>
      <w:divBdr>
        <w:top w:val="none" w:sz="0" w:space="0" w:color="auto"/>
        <w:left w:val="none" w:sz="0" w:space="0" w:color="auto"/>
        <w:bottom w:val="none" w:sz="0" w:space="0" w:color="auto"/>
        <w:right w:val="none" w:sz="0" w:space="0" w:color="auto"/>
      </w:divBdr>
    </w:div>
    <w:div w:id="1016150403">
      <w:bodyDiv w:val="1"/>
      <w:marLeft w:val="0"/>
      <w:marRight w:val="0"/>
      <w:marTop w:val="0"/>
      <w:marBottom w:val="0"/>
      <w:divBdr>
        <w:top w:val="none" w:sz="0" w:space="0" w:color="auto"/>
        <w:left w:val="none" w:sz="0" w:space="0" w:color="auto"/>
        <w:bottom w:val="none" w:sz="0" w:space="0" w:color="auto"/>
        <w:right w:val="none" w:sz="0" w:space="0" w:color="auto"/>
      </w:divBdr>
    </w:div>
    <w:div w:id="1373921628">
      <w:bodyDiv w:val="1"/>
      <w:marLeft w:val="0"/>
      <w:marRight w:val="0"/>
      <w:marTop w:val="0"/>
      <w:marBottom w:val="0"/>
      <w:divBdr>
        <w:top w:val="none" w:sz="0" w:space="0" w:color="auto"/>
        <w:left w:val="none" w:sz="0" w:space="0" w:color="auto"/>
        <w:bottom w:val="none" w:sz="0" w:space="0" w:color="auto"/>
        <w:right w:val="none" w:sz="0" w:space="0" w:color="auto"/>
      </w:divBdr>
    </w:div>
    <w:div w:id="1880043134">
      <w:bodyDiv w:val="1"/>
      <w:marLeft w:val="0"/>
      <w:marRight w:val="0"/>
      <w:marTop w:val="0"/>
      <w:marBottom w:val="0"/>
      <w:divBdr>
        <w:top w:val="none" w:sz="0" w:space="0" w:color="auto"/>
        <w:left w:val="none" w:sz="0" w:space="0" w:color="auto"/>
        <w:bottom w:val="none" w:sz="0" w:space="0" w:color="auto"/>
        <w:right w:val="none" w:sz="0" w:space="0" w:color="auto"/>
      </w:divBdr>
    </w:div>
    <w:div w:id="1960334348">
      <w:bodyDiv w:val="1"/>
      <w:marLeft w:val="0"/>
      <w:marRight w:val="0"/>
      <w:marTop w:val="0"/>
      <w:marBottom w:val="0"/>
      <w:divBdr>
        <w:top w:val="none" w:sz="0" w:space="0" w:color="auto"/>
        <w:left w:val="none" w:sz="0" w:space="0" w:color="auto"/>
        <w:bottom w:val="none" w:sz="0" w:space="0" w:color="auto"/>
        <w:right w:val="none" w:sz="0" w:space="0" w:color="auto"/>
      </w:divBdr>
    </w:div>
    <w:div w:id="2011594316">
      <w:bodyDiv w:val="1"/>
      <w:marLeft w:val="0"/>
      <w:marRight w:val="0"/>
      <w:marTop w:val="0"/>
      <w:marBottom w:val="0"/>
      <w:divBdr>
        <w:top w:val="none" w:sz="0" w:space="0" w:color="auto"/>
        <w:left w:val="none" w:sz="0" w:space="0" w:color="auto"/>
        <w:bottom w:val="none" w:sz="0" w:space="0" w:color="auto"/>
        <w:right w:val="none" w:sz="0" w:space="0" w:color="auto"/>
      </w:divBdr>
    </w:div>
    <w:div w:id="2069304502">
      <w:bodyDiv w:val="1"/>
      <w:marLeft w:val="0"/>
      <w:marRight w:val="0"/>
      <w:marTop w:val="0"/>
      <w:marBottom w:val="0"/>
      <w:divBdr>
        <w:top w:val="none" w:sz="0" w:space="0" w:color="auto"/>
        <w:left w:val="none" w:sz="0" w:space="0" w:color="auto"/>
        <w:bottom w:val="none" w:sz="0" w:space="0" w:color="auto"/>
        <w:right w:val="none" w:sz="0" w:space="0" w:color="auto"/>
      </w:divBdr>
    </w:div>
    <w:div w:id="2127695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211</Words>
  <Characters>1208</Characters>
  <Application>Microsoft Macintosh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郑</dc:creator>
  <cp:keywords/>
  <dc:description/>
  <cp:lastModifiedBy>apple 郑</cp:lastModifiedBy>
  <cp:revision>5</cp:revision>
  <dcterms:created xsi:type="dcterms:W3CDTF">2019-04-24T17:20:00Z</dcterms:created>
  <dcterms:modified xsi:type="dcterms:W3CDTF">2019-04-25T16:31:00Z</dcterms:modified>
</cp:coreProperties>
</file>