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ind w:hanging="0" w:left="0" w:right="0"/>
        <w:jc w:val="left"/>
        <w:rPr/>
      </w:pPr>
      <w:r>
        <w:rPr/>
        <w:t>Project Notes</w:t>
      </w:r>
    </w:p>
    <w:p>
      <w:pPr>
        <w:pStyle w:val="BodyTextsubtitle"/>
        <w:bidi w:val="0"/>
        <w:jc w:val="left"/>
        <w:rPr/>
      </w:pPr>
      <w:r>
        <w:rPr/>
        <w:t>Fraud Detection Lakehouse · Databricks Free Edition · running log, newest note at the bottom</w:t>
      </w:r>
    </w:p>
    <w:p>
      <w:pPr>
        <w:sectPr>
          <w:type w:val="nextPage"/>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300" w:after="300"/>
        <w:ind w:hanging="0" w:left="300" w:right="300"/>
        <w:jc w:val="left"/>
        <w:rPr/>
      </w:pPr>
      <w:r>
        <w:rPr>
          <w:rStyle w:val="Strong"/>
          <w:bdr w:val="single" w:sz="2" w:space="12" w:color="000000"/>
        </w:rPr>
        <w:t>WHERE WE ARE</w:t>
      </w:r>
      <w:r>
        <w:rPr>
          <w:bdr w:val="single" w:sz="2" w:space="12" w:color="000000"/>
        </w:rPr>
        <w:t xml:space="preserve">  ·  </w:t>
      </w:r>
      <w:r>
        <w:rPr>
          <w:rStyle w:val="Emphasis"/>
          <w:bdr w:val="single" w:sz="2" w:space="12" w:color="000000"/>
        </w:rPr>
        <w:t>updated 12 Aug 2026 — check here first if you lose the thread</w:t>
      </w:r>
    </w:p>
    <w:tbl>
      <w:tblPr>
        <w:tblW w:w="8382" w:type="dxa"/>
        <w:jc w:val="left"/>
        <w:tblInd w:w="328" w:type="dxa"/>
        <w:tblLayout w:type="fixed"/>
        <w:tblCellMar>
          <w:top w:w="28" w:type="dxa"/>
          <w:left w:w="28" w:type="dxa"/>
          <w:bottom w:w="28" w:type="dxa"/>
          <w:right w:w="28" w:type="dxa"/>
        </w:tblCellMar>
      </w:tblPr>
      <w:tblGrid>
        <w:gridCol w:w="1400"/>
        <w:gridCol w:w="6982"/>
      </w:tblGrid>
      <w:tr>
        <w:trPr/>
        <w:tc>
          <w:tcPr>
            <w:tcW w:w="1400" w:type="dxa"/>
            <w:tcBorders/>
            <w:vAlign w:val="center"/>
          </w:tcPr>
          <w:p>
            <w:pPr>
              <w:pStyle w:val="TableHeading"/>
              <w:suppressLineNumbers/>
              <w:bidi w:val="0"/>
              <w:spacing w:before="0" w:after="283"/>
              <w:jc w:val="left"/>
              <w:rPr/>
            </w:pPr>
            <w:r>
              <w:rPr/>
              <w:t>Thing</w:t>
            </w:r>
          </w:p>
        </w:tc>
        <w:tc>
          <w:tcPr>
            <w:tcW w:w="6982" w:type="dxa"/>
            <w:tcBorders/>
            <w:vAlign w:val="center"/>
          </w:tcPr>
          <w:p>
            <w:pPr>
              <w:pStyle w:val="TableHeading"/>
              <w:suppressLineNumbers/>
              <w:bidi w:val="0"/>
              <w:spacing w:before="0" w:after="283"/>
              <w:jc w:val="left"/>
              <w:rPr/>
            </w:pPr>
            <w:r>
              <w:rPr/>
              <w:t>Current state</w:t>
            </w:r>
          </w:p>
        </w:tc>
      </w:tr>
      <w:tr>
        <w:trPr/>
        <w:tc>
          <w:tcPr>
            <w:tcW w:w="1400" w:type="dxa"/>
            <w:tcBorders/>
            <w:vAlign w:val="center"/>
          </w:tcPr>
          <w:p>
            <w:pPr>
              <w:pStyle w:val="TableContents"/>
              <w:bidi w:val="0"/>
              <w:spacing w:before="0" w:after="283"/>
              <w:jc w:val="left"/>
              <w:rPr/>
            </w:pPr>
            <w:r>
              <w:rPr/>
              <w:t>Layer in progress</w:t>
            </w:r>
          </w:p>
        </w:tc>
        <w:tc>
          <w:tcPr>
            <w:tcW w:w="6982" w:type="dxa"/>
            <w:tcBorders/>
            <w:vAlign w:val="center"/>
          </w:tcPr>
          <w:p>
            <w:pPr>
              <w:pStyle w:val="TableContents"/>
              <w:bidi w:val="0"/>
              <w:spacing w:before="0" w:after="283"/>
              <w:ind w:hanging="0" w:left="0" w:right="0"/>
              <w:jc w:val="left"/>
              <w:rPr/>
            </w:pPr>
            <w:r>
              <w:rPr>
                <w:color w:val="2E7D32"/>
              </w:rPr>
              <w:t>Bronze complete</w:t>
            </w:r>
            <w:r>
              <w:rPr/>
              <w:t xml:space="preserve"> for 5 batches: </w:t>
            </w:r>
            <w:r>
              <w:rPr>
                <w:rStyle w:val="SourceText"/>
              </w:rPr>
              <w:t>workspace.bronze.transactions</w:t>
            </w:r>
            <w:r>
              <w:rPr/>
              <w:t xml:space="preserve">, </w:t>
            </w:r>
            <w:r>
              <w:rPr>
                <w:rStyle w:val="Strong"/>
              </w:rPr>
              <w:t>1,068,592 rows</w:t>
            </w:r>
            <w:r>
              <w:rPr/>
              <w:t xml:space="preserve"> (2026-06-01 → 06-05), all counts verified against source. </w:t>
            </w:r>
            <w:r>
              <w:rPr>
                <w:rStyle w:val="Strong"/>
              </w:rPr>
              <w:t>Silver: designed (Note 10), not yet built.</w:t>
            </w:r>
          </w:p>
        </w:tc>
      </w:tr>
      <w:tr>
        <w:trPr/>
        <w:tc>
          <w:tcPr>
            <w:tcW w:w="1400" w:type="dxa"/>
            <w:tcBorders/>
            <w:vAlign w:val="center"/>
          </w:tcPr>
          <w:p>
            <w:pPr>
              <w:pStyle w:val="TableContents"/>
              <w:bidi w:val="0"/>
              <w:spacing w:before="0" w:after="283"/>
              <w:jc w:val="left"/>
              <w:rPr/>
            </w:pPr>
            <w:r>
              <w:rPr/>
              <w:t>Ingestion ladder</w:t>
            </w:r>
          </w:p>
        </w:tc>
        <w:tc>
          <w:tcPr>
            <w:tcW w:w="6982" w:type="dxa"/>
            <w:tcBorders/>
            <w:vAlign w:val="center"/>
          </w:tcPr>
          <w:p>
            <w:pPr>
              <w:pStyle w:val="TableContents"/>
              <w:bidi w:val="0"/>
              <w:spacing w:before="0" w:after="283"/>
              <w:ind w:hanging="0" w:left="0" w:right="0"/>
              <w:jc w:val="left"/>
              <w:rPr/>
            </w:pPr>
            <w:r>
              <w:rPr/>
              <w:t xml:space="preserve">Rung 1 (naive append) built, deliberately broken, </w:t>
            </w:r>
            <w:r>
              <w:rPr>
                <w:color w:val="2E7D32"/>
              </w:rPr>
              <w:t xml:space="preserve">fixed with rung 2: </w:t>
            </w:r>
            <w:r>
              <w:rPr>
                <w:rStyle w:val="SourceText"/>
                <w:color w:val="2E7D32"/>
              </w:rPr>
              <w:t>replaceWhere</w:t>
            </w:r>
            <w:r>
              <w:rPr>
                <w:color w:val="2E7D32"/>
              </w:rPr>
              <w:t xml:space="preserve"> per batch_date</w:t>
            </w:r>
            <w:r>
              <w:rPr/>
              <w:t xml:space="preserve"> (Note 08). Parameterized via widget </w:t>
            </w:r>
            <w:r>
              <w:rPr>
                <w:rStyle w:val="SourceText"/>
              </w:rPr>
              <w:t>p_batch_date</w:t>
            </w:r>
            <w:r>
              <w:rPr/>
              <w:t>. Rungs 3–4 later.</w:t>
            </w:r>
          </w:p>
        </w:tc>
      </w:tr>
      <w:tr>
        <w:trPr/>
        <w:tc>
          <w:tcPr>
            <w:tcW w:w="1400" w:type="dxa"/>
            <w:tcBorders/>
            <w:vAlign w:val="center"/>
          </w:tcPr>
          <w:p>
            <w:pPr>
              <w:pStyle w:val="TableContents"/>
              <w:bidi w:val="0"/>
              <w:spacing w:before="0" w:after="283"/>
              <w:jc w:val="left"/>
              <w:rPr/>
            </w:pPr>
            <w:r>
              <w:rPr/>
              <w:t>Landing volume</w:t>
            </w:r>
          </w:p>
        </w:tc>
        <w:tc>
          <w:tcPr>
            <w:tcW w:w="6982" w:type="dxa"/>
            <w:tcBorders/>
            <w:vAlign w:val="center"/>
          </w:tcPr>
          <w:p>
            <w:pPr>
              <w:pStyle w:val="TableContents"/>
              <w:bidi w:val="0"/>
              <w:spacing w:before="0" w:after="283"/>
              <w:jc w:val="left"/>
              <w:rPr/>
            </w:pPr>
            <w:r>
              <w:rPr/>
              <w:t xml:space="preserve">All 31 daily folders uploaded via </w:t>
            </w:r>
            <w:r>
              <w:rPr>
                <w:rStyle w:val="SourceText"/>
              </w:rPr>
              <w:t>databricks fs cp -r</w:t>
            </w:r>
            <w:r>
              <w:rPr/>
              <w:t>. Days 6–31 ingest whenever needed — just a widget value.</w:t>
            </w:r>
          </w:p>
        </w:tc>
      </w:tr>
      <w:tr>
        <w:trPr/>
        <w:tc>
          <w:tcPr>
            <w:tcW w:w="1400" w:type="dxa"/>
            <w:tcBorders/>
            <w:vAlign w:val="center"/>
          </w:tcPr>
          <w:p>
            <w:pPr>
              <w:pStyle w:val="TableContents"/>
              <w:bidi w:val="0"/>
              <w:spacing w:before="0" w:after="283"/>
              <w:jc w:val="left"/>
              <w:rPr/>
            </w:pPr>
            <w:r>
              <w:rPr/>
              <w:t>Working in</w:t>
            </w:r>
          </w:p>
        </w:tc>
        <w:tc>
          <w:tcPr>
            <w:tcW w:w="6982" w:type="dxa"/>
            <w:tcBorders/>
            <w:vAlign w:val="center"/>
          </w:tcPr>
          <w:p>
            <w:pPr>
              <w:pStyle w:val="TableContents"/>
              <w:bidi w:val="0"/>
              <w:spacing w:before="0" w:after="283"/>
              <w:jc w:val="left"/>
              <w:rPr/>
            </w:pPr>
            <w:r>
              <w:rPr/>
              <w:t>Databricks notebooks (</w:t>
            </w:r>
            <w:r>
              <w:rPr>
                <w:rStyle w:val="SourceText"/>
              </w:rPr>
              <w:t>00_helpers/config</w:t>
            </w:r>
            <w:r>
              <w:rPr/>
              <w:t xml:space="preserve">, </w:t>
            </w:r>
            <w:r>
              <w:rPr>
                <w:rStyle w:val="SourceText"/>
              </w:rPr>
              <w:t>01_bronze/01_ingest_transactions</w:t>
            </w:r>
            <w:r>
              <w:rPr/>
              <w:t xml:space="preserve">, </w:t>
            </w:r>
            <w:r>
              <w:rPr>
                <w:rStyle w:val="SourceText"/>
              </w:rPr>
              <w:t>02_profile_bronze</w:t>
            </w:r>
            <w:r>
              <w:rPr/>
              <w:t xml:space="preserve">). Repo not yet connected to workspace; </w:t>
            </w:r>
            <w:r>
              <w:rPr>
                <w:rStyle w:val="SourceText"/>
              </w:rPr>
              <w:t>src/</w:t>
            </w:r>
            <w:r>
              <w:rPr/>
              <w:t xml:space="preserve"> + pytest start with silver.</w:t>
            </w:r>
          </w:p>
        </w:tc>
      </w:tr>
      <w:tr>
        <w:trPr/>
        <w:tc>
          <w:tcPr>
            <w:tcW w:w="1400" w:type="dxa"/>
            <w:tcBorders/>
            <w:vAlign w:val="center"/>
          </w:tcPr>
          <w:p>
            <w:pPr>
              <w:pStyle w:val="TableContents"/>
              <w:bidi w:val="0"/>
              <w:spacing w:before="0" w:after="283"/>
              <w:jc w:val="left"/>
              <w:rPr/>
            </w:pPr>
            <w:r>
              <w:rPr/>
              <w:t>Next up</w:t>
            </w:r>
          </w:p>
        </w:tc>
        <w:tc>
          <w:tcPr>
            <w:tcW w:w="6982" w:type="dxa"/>
            <w:tcBorders/>
            <w:vAlign w:val="center"/>
          </w:tcPr>
          <w:p>
            <w:pPr>
              <w:pStyle w:val="TableContents"/>
              <w:bidi w:val="0"/>
              <w:spacing w:before="0" w:after="283"/>
              <w:jc w:val="left"/>
              <w:rPr/>
            </w:pPr>
            <w:r>
              <w:rPr/>
              <w:t xml:space="preserve">Write </w:t>
            </w:r>
            <w:r>
              <w:rPr>
                <w:rStyle w:val="SourceText"/>
              </w:rPr>
              <w:t>src/transforms/silver_transactions.py</w:t>
            </w:r>
            <w:r>
              <w:rPr/>
              <w:t xml:space="preserve"> — a pure </w:t>
            </w:r>
            <w:r>
              <w:rPr>
                <w:rStyle w:val="SourceText"/>
              </w:rPr>
              <w:t>to_silver(df)</w:t>
            </w:r>
            <w:r>
              <w:rPr/>
              <w:t xml:space="preserve"> function (no read/write inside) — casts and renames first, then derived columns, with pytest tests</w:t>
            </w:r>
          </w:p>
        </w:tc>
      </w:tr>
    </w:tbl>
    <w:p>
      <w:pPr>
        <w:pStyle w:val="BodyText"/>
        <w:bidi w:val="0"/>
        <w:ind w:hanging="0" w:left="300" w:right="300"/>
        <w:jc w:val="left"/>
        <w:rPr/>
      </w:pPr>
      <w:r>
        <w:rPr/>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spacing w:before="480" w:after="283"/>
        <w:ind w:hanging="0" w:left="0" w:right="0"/>
        <w:jc w:val="left"/>
        <w:rPr/>
      </w:pPr>
      <w:r>
        <w:rPr/>
        <w:t>Decisions currently in force</w:t>
      </w:r>
    </w:p>
    <w:p>
      <w:pPr>
        <w:pStyle w:val="BodyText"/>
        <w:bidi w:val="0"/>
        <w:jc w:val="left"/>
        <w:rPr/>
      </w:pPr>
      <w:r>
        <w:rPr>
          <w:rStyle w:val="Emphasis"/>
        </w:rPr>
        <w:t>The single source of truth. History and reasoning live in the notes; this table is just the standing law.</w:t>
      </w:r>
    </w:p>
    <w:tbl>
      <w:tblPr>
        <w:tblW w:w="8982" w:type="dxa"/>
        <w:jc w:val="left"/>
        <w:tblInd w:w="28" w:type="dxa"/>
        <w:tblLayout w:type="fixed"/>
        <w:tblCellMar>
          <w:top w:w="28" w:type="dxa"/>
          <w:left w:w="28" w:type="dxa"/>
          <w:bottom w:w="28" w:type="dxa"/>
          <w:right w:w="28" w:type="dxa"/>
        </w:tblCellMar>
      </w:tblPr>
      <w:tblGrid>
        <w:gridCol w:w="7310"/>
        <w:gridCol w:w="1672"/>
      </w:tblGrid>
      <w:tr>
        <w:trPr/>
        <w:tc>
          <w:tcPr>
            <w:tcW w:w="7310" w:type="dxa"/>
            <w:tcBorders/>
            <w:vAlign w:val="center"/>
          </w:tcPr>
          <w:p>
            <w:pPr>
              <w:pStyle w:val="TableHeading"/>
              <w:suppressLineNumbers/>
              <w:bidi w:val="0"/>
              <w:spacing w:before="0" w:after="283"/>
              <w:jc w:val="left"/>
              <w:rPr/>
            </w:pPr>
            <w:r>
              <w:rPr/>
              <w:t>Decision</w:t>
            </w:r>
          </w:p>
        </w:tc>
        <w:tc>
          <w:tcPr>
            <w:tcW w:w="1672" w:type="dxa"/>
            <w:tcBorders/>
            <w:vAlign w:val="center"/>
          </w:tcPr>
          <w:p>
            <w:pPr>
              <w:pStyle w:val="TableHeading"/>
              <w:suppressLineNumbers/>
              <w:bidi w:val="0"/>
              <w:spacing w:before="0" w:after="283"/>
              <w:jc w:val="left"/>
              <w:rPr/>
            </w:pPr>
            <w:r>
              <w:rPr/>
              <w:t>Where reasoned</w:t>
            </w:r>
          </w:p>
        </w:tc>
      </w:tr>
      <w:tr>
        <w:trPr/>
        <w:tc>
          <w:tcPr>
            <w:tcW w:w="7310" w:type="dxa"/>
            <w:tcBorders/>
            <w:vAlign w:val="center"/>
          </w:tcPr>
          <w:p>
            <w:pPr>
              <w:pStyle w:val="TableContents"/>
              <w:bidi w:val="0"/>
              <w:spacing w:before="0" w:after="283"/>
              <w:jc w:val="left"/>
              <w:rPr/>
            </w:pPr>
            <w:r>
              <w:rPr/>
              <w:t xml:space="preserve">Bronze reads </w:t>
            </w:r>
            <w:r>
              <w:rPr>
                <w:rStyle w:val="Strong"/>
              </w:rPr>
              <w:t>all columns as STRING</w:t>
            </w:r>
            <w:r>
              <w:rPr/>
              <w:t xml:space="preserve"> — "bronze keeps, silver converts"</w:t>
            </w:r>
          </w:p>
        </w:tc>
        <w:tc>
          <w:tcPr>
            <w:tcW w:w="1672" w:type="dxa"/>
            <w:tcBorders/>
            <w:vAlign w:val="center"/>
          </w:tcPr>
          <w:p>
            <w:pPr>
              <w:pStyle w:val="TableContents"/>
              <w:bidi w:val="0"/>
              <w:spacing w:before="0" w:after="283"/>
              <w:jc w:val="left"/>
              <w:rPr/>
            </w:pPr>
            <w:r>
              <w:rPr/>
              <w:t>Note 07</w:t>
            </w:r>
          </w:p>
        </w:tc>
      </w:tr>
      <w:tr>
        <w:trPr/>
        <w:tc>
          <w:tcPr>
            <w:tcW w:w="7310" w:type="dxa"/>
            <w:tcBorders/>
            <w:vAlign w:val="center"/>
          </w:tcPr>
          <w:p>
            <w:pPr>
              <w:pStyle w:val="TableContents"/>
              <w:bidi w:val="0"/>
              <w:spacing w:before="0" w:after="283"/>
              <w:jc w:val="left"/>
              <w:rPr/>
            </w:pPr>
            <w:r>
              <w:rPr/>
              <w:t xml:space="preserve">Explicit </w:t>
            </w:r>
            <w:r>
              <w:rPr>
                <w:rStyle w:val="SourceText"/>
              </w:rPr>
              <w:t>StructType</w:t>
            </w:r>
            <w:r>
              <w:rPr/>
              <w:t xml:space="preserve"> + </w:t>
            </w:r>
            <w:r>
              <w:rPr>
                <w:rStyle w:val="SourceText"/>
              </w:rPr>
              <w:t>header=true</w:t>
            </w:r>
            <w:r>
              <w:rPr/>
              <w:t xml:space="preserve"> + </w:t>
            </w:r>
            <w:r>
              <w:rPr>
                <w:rStyle w:val="SourceText"/>
              </w:rPr>
              <w:t>enforceSchema=false</w:t>
            </w:r>
            <w:r>
              <w:rPr/>
              <w:t xml:space="preserve">; never </w:t>
            </w:r>
            <w:r>
              <w:rPr>
                <w:rStyle w:val="SourceText"/>
              </w:rPr>
              <w:t>inferSchema</w:t>
            </w:r>
          </w:p>
        </w:tc>
        <w:tc>
          <w:tcPr>
            <w:tcW w:w="1672" w:type="dxa"/>
            <w:tcBorders/>
            <w:vAlign w:val="center"/>
          </w:tcPr>
          <w:p>
            <w:pPr>
              <w:pStyle w:val="TableContents"/>
              <w:bidi w:val="0"/>
              <w:spacing w:before="0" w:after="283"/>
              <w:jc w:val="left"/>
              <w:rPr/>
            </w:pPr>
            <w:r>
              <w:rPr/>
              <w:t>Notes 05, 06</w:t>
            </w:r>
          </w:p>
        </w:tc>
      </w:tr>
      <w:tr>
        <w:trPr/>
        <w:tc>
          <w:tcPr>
            <w:tcW w:w="7310" w:type="dxa"/>
            <w:tcBorders/>
            <w:vAlign w:val="center"/>
          </w:tcPr>
          <w:p>
            <w:pPr>
              <w:pStyle w:val="TableContents"/>
              <w:bidi w:val="0"/>
              <w:spacing w:before="0" w:after="283"/>
              <w:jc w:val="left"/>
              <w:rPr/>
            </w:pPr>
            <w:r>
              <w:rPr/>
              <w:t xml:space="preserve">Audit columns on every bronze row: </w:t>
            </w:r>
            <w:r>
              <w:rPr>
                <w:rStyle w:val="SourceText"/>
              </w:rPr>
              <w:t>source_file</w:t>
            </w:r>
            <w:r>
              <w:rPr/>
              <w:t xml:space="preserve"> (from </w:t>
            </w:r>
            <w:r>
              <w:rPr>
                <w:rStyle w:val="SourceText"/>
              </w:rPr>
              <w:t>_metadata.file_path</w:t>
            </w:r>
            <w:r>
              <w:rPr/>
              <w:t xml:space="preserve">), </w:t>
            </w:r>
            <w:r>
              <w:rPr>
                <w:rStyle w:val="SourceText"/>
              </w:rPr>
              <w:t>ingest_timestamp</w:t>
            </w:r>
            <w:r>
              <w:rPr/>
              <w:t xml:space="preserve">, </w:t>
            </w:r>
            <w:r>
              <w:rPr>
                <w:rStyle w:val="SourceText"/>
              </w:rPr>
              <w:t>batch_date</w:t>
            </w:r>
          </w:p>
        </w:tc>
        <w:tc>
          <w:tcPr>
            <w:tcW w:w="1672" w:type="dxa"/>
            <w:tcBorders/>
            <w:vAlign w:val="center"/>
          </w:tcPr>
          <w:p>
            <w:pPr>
              <w:pStyle w:val="TableContents"/>
              <w:bidi w:val="0"/>
              <w:spacing w:before="0" w:after="283"/>
              <w:jc w:val="left"/>
              <w:rPr/>
            </w:pPr>
            <w:r>
              <w:rPr/>
              <w:t>Note 03</w:t>
            </w:r>
          </w:p>
        </w:tc>
      </w:tr>
      <w:tr>
        <w:trPr/>
        <w:tc>
          <w:tcPr>
            <w:tcW w:w="7310" w:type="dxa"/>
            <w:tcBorders/>
            <w:vAlign w:val="center"/>
          </w:tcPr>
          <w:p>
            <w:pPr>
              <w:pStyle w:val="TableContents"/>
              <w:bidi w:val="0"/>
              <w:spacing w:before="0" w:after="283"/>
              <w:jc w:val="left"/>
              <w:rPr/>
            </w:pPr>
            <w:r>
              <w:rPr/>
              <w:t xml:space="preserve">Writes are </w:t>
            </w:r>
            <w:r>
              <w:rPr>
                <w:rStyle w:val="Strong"/>
              </w:rPr>
              <w:t>idempotent per batch</w:t>
            </w:r>
            <w:r>
              <w:rPr/>
              <w:t xml:space="preserve">: </w:t>
            </w:r>
            <w:r>
              <w:rPr>
                <w:rStyle w:val="SourceText"/>
              </w:rPr>
              <w:t>mode("overwrite")</w:t>
            </w:r>
            <w:r>
              <w:rPr/>
              <w:t xml:space="preserve"> + </w:t>
            </w:r>
            <w:r>
              <w:rPr>
                <w:rStyle w:val="SourceText"/>
              </w:rPr>
              <w:t>replaceWhere</w:t>
            </w:r>
            <w:r>
              <w:rPr/>
              <w:t xml:space="preserve"> on </w:t>
            </w:r>
            <w:r>
              <w:rPr>
                <w:rStyle w:val="SourceText"/>
              </w:rPr>
              <w:t>batch_date</w:t>
            </w:r>
            <w:r>
              <w:rPr/>
              <w:t>. No plain append, no row-level MERGE in bronze</w:t>
            </w:r>
          </w:p>
        </w:tc>
        <w:tc>
          <w:tcPr>
            <w:tcW w:w="1672" w:type="dxa"/>
            <w:tcBorders/>
            <w:vAlign w:val="center"/>
          </w:tcPr>
          <w:p>
            <w:pPr>
              <w:pStyle w:val="TableContents"/>
              <w:bidi w:val="0"/>
              <w:spacing w:before="0" w:after="283"/>
              <w:jc w:val="left"/>
              <w:rPr/>
            </w:pPr>
            <w:r>
              <w:rPr/>
              <w:t>Note 08</w:t>
            </w:r>
          </w:p>
        </w:tc>
      </w:tr>
      <w:tr>
        <w:trPr/>
        <w:tc>
          <w:tcPr>
            <w:tcW w:w="7310" w:type="dxa"/>
            <w:tcBorders/>
            <w:vAlign w:val="center"/>
          </w:tcPr>
          <w:p>
            <w:pPr>
              <w:pStyle w:val="TableContents"/>
              <w:bidi w:val="0"/>
              <w:spacing w:before="0" w:after="283"/>
              <w:jc w:val="left"/>
              <w:rPr/>
            </w:pPr>
            <w:r>
              <w:rPr/>
              <w:t xml:space="preserve">Storage: catalog </w:t>
            </w:r>
            <w:r>
              <w:rPr>
                <w:rStyle w:val="SourceText"/>
              </w:rPr>
              <w:t>workspace</w:t>
            </w:r>
            <w:r>
              <w:rPr/>
              <w:t xml:space="preserve">; schemas </w:t>
            </w:r>
            <w:r>
              <w:rPr>
                <w:rStyle w:val="SourceText"/>
              </w:rPr>
              <w:t>bronze/silver/gold/ops</w:t>
            </w:r>
            <w:r>
              <w:rPr/>
              <w:t>; landing volume disposable after 30 days</w:t>
            </w:r>
          </w:p>
        </w:tc>
        <w:tc>
          <w:tcPr>
            <w:tcW w:w="1672" w:type="dxa"/>
            <w:tcBorders/>
            <w:vAlign w:val="center"/>
          </w:tcPr>
          <w:p>
            <w:pPr>
              <w:pStyle w:val="TableContents"/>
              <w:bidi w:val="0"/>
              <w:spacing w:before="0" w:after="283"/>
              <w:jc w:val="left"/>
              <w:rPr/>
            </w:pPr>
            <w:r>
              <w:rPr/>
              <w:t>Note 03</w:t>
            </w:r>
          </w:p>
        </w:tc>
      </w:tr>
      <w:tr>
        <w:trPr/>
        <w:tc>
          <w:tcPr>
            <w:tcW w:w="7310" w:type="dxa"/>
            <w:tcBorders/>
            <w:vAlign w:val="center"/>
          </w:tcPr>
          <w:p>
            <w:pPr>
              <w:pStyle w:val="TableContents"/>
              <w:bidi w:val="0"/>
              <w:spacing w:before="0" w:after="283"/>
              <w:jc w:val="left"/>
              <w:rPr/>
            </w:pPr>
            <w:r>
              <w:rPr/>
              <w:t>Names: underscores only — no spaces, dots, or hyphens in folders/notebooks</w:t>
            </w:r>
          </w:p>
        </w:tc>
        <w:tc>
          <w:tcPr>
            <w:tcW w:w="1672" w:type="dxa"/>
            <w:tcBorders/>
            <w:vAlign w:val="center"/>
          </w:tcPr>
          <w:p>
            <w:pPr>
              <w:pStyle w:val="TableContents"/>
              <w:bidi w:val="0"/>
              <w:spacing w:before="0" w:after="283"/>
              <w:jc w:val="left"/>
              <w:rPr/>
            </w:pPr>
            <w:r>
              <w:rPr/>
              <w:t>Note 04</w:t>
            </w:r>
          </w:p>
        </w:tc>
      </w:tr>
      <w:tr>
        <w:trPr/>
        <w:tc>
          <w:tcPr>
            <w:tcW w:w="7310" w:type="dxa"/>
            <w:tcBorders/>
            <w:vAlign w:val="center"/>
          </w:tcPr>
          <w:p>
            <w:pPr>
              <w:pStyle w:val="TableContents"/>
              <w:bidi w:val="0"/>
              <w:spacing w:before="0" w:after="283"/>
              <w:jc w:val="left"/>
              <w:rPr/>
            </w:pPr>
            <w:r>
              <w:rPr/>
              <w:t xml:space="preserve">Config values (paths, catalog names) live in </w:t>
            </w:r>
            <w:r>
              <w:rPr>
                <w:rStyle w:val="SourceText"/>
              </w:rPr>
              <w:t>00_helpers/config</w:t>
            </w:r>
            <w:r>
              <w:rPr/>
              <w:t xml:space="preserve"> and nowhere else</w:t>
            </w:r>
          </w:p>
        </w:tc>
        <w:tc>
          <w:tcPr>
            <w:tcW w:w="1672" w:type="dxa"/>
            <w:tcBorders/>
            <w:vAlign w:val="center"/>
          </w:tcPr>
          <w:p>
            <w:pPr>
              <w:pStyle w:val="TableContents"/>
              <w:bidi w:val="0"/>
              <w:spacing w:before="0" w:after="283"/>
              <w:jc w:val="left"/>
              <w:rPr/>
            </w:pPr>
            <w:r>
              <w:rPr/>
              <w:t>Note 04</w:t>
            </w:r>
          </w:p>
        </w:tc>
      </w:tr>
      <w:tr>
        <w:trPr/>
        <w:tc>
          <w:tcPr>
            <w:tcW w:w="7310" w:type="dxa"/>
            <w:tcBorders/>
            <w:vAlign w:val="center"/>
          </w:tcPr>
          <w:p>
            <w:pPr>
              <w:pStyle w:val="TableContents"/>
              <w:bidi w:val="0"/>
              <w:spacing w:before="0" w:after="283"/>
              <w:jc w:val="left"/>
              <w:rPr/>
            </w:pPr>
            <w:r>
              <w:rPr/>
              <w:t>Profile bronze before designing silver; design backwards, build forwards</w:t>
            </w:r>
          </w:p>
        </w:tc>
        <w:tc>
          <w:tcPr>
            <w:tcW w:w="1672" w:type="dxa"/>
            <w:tcBorders/>
            <w:vAlign w:val="center"/>
          </w:tcPr>
          <w:p>
            <w:pPr>
              <w:pStyle w:val="TableContents"/>
              <w:bidi w:val="0"/>
              <w:spacing w:before="0" w:after="283"/>
              <w:jc w:val="left"/>
              <w:rPr/>
            </w:pPr>
            <w:r>
              <w:rPr/>
              <w:t>Note 03</w:t>
            </w:r>
          </w:p>
        </w:tc>
      </w:tr>
    </w:tbl>
    <w:p>
      <w:pPr>
        <w:pStyle w:val="BodyText"/>
        <w:bidi w:val="0"/>
        <w:jc w:val="left"/>
        <w:rPr/>
      </w:pPr>
      <w:r>
        <w:rPr>
          <w:rStyle w:val="Strong"/>
        </w:rPr>
        <w:t>Two words that sound the same and are not:</w:t>
      </w:r>
      <w:r>
        <w:rPr/>
        <w:t xml:space="preserve"> </w:t>
      </w:r>
      <w:r>
        <w:rPr>
          <w:rStyle w:val="SourceText"/>
        </w:rPr>
        <w:t>enforceSchema=false</w:t>
      </w:r>
      <w:r>
        <w:rPr/>
        <w:t xml:space="preserve"> is a </w:t>
      </w:r>
      <w:r>
        <w:rPr>
          <w:rStyle w:val="Emphasis"/>
        </w:rPr>
        <w:t>Spark CSV option</w:t>
      </w:r>
      <w:r>
        <w:rPr/>
        <w:t xml:space="preserve"> meaning "read the file's header and check it matches mine". "Don't enforce types in bronze" is </w:t>
      </w:r>
      <w:r>
        <w:rPr>
          <w:rStyle w:val="Emphasis"/>
        </w:rPr>
        <w:t>medallion guidance</w:t>
      </w:r>
      <w:r>
        <w:rPr/>
        <w:t xml:space="preserve"> meaning "don't cast to double/int". We follow both.</w:t>
      </w:r>
    </w:p>
    <w:p>
      <w:pPr>
        <w:pStyle w:val="BodyText"/>
        <w:bidi w:val="0"/>
        <w:spacing w:before="0" w:after="120"/>
        <w:ind w:hanging="0" w:left="0" w:right="0"/>
        <w:jc w:val="left"/>
        <w:rPr/>
      </w:pPr>
      <w:r>
        <w:rPr>
          <w:rStyle w:val="Strong"/>
          <w:bdr w:val="single" w:sz="2" w:space="14" w:color="000000"/>
        </w:rPr>
        <w:t>Contents</w:t>
      </w:r>
      <w:r>
        <w:rPr>
          <w:bdr w:val="single" w:sz="2" w:space="14" w:color="000000"/>
        </w:rPr>
        <w:t xml:space="preserve"> · </w:t>
      </w:r>
      <w:r>
        <w:rPr>
          <w:rStyle w:val="Emphasis"/>
          <w:bdr w:val="single" w:sz="2" w:space="14" w:color="000000"/>
        </w:rPr>
        <w:t>each note = one lesson, chronological; superseded parts are marked, not deleted</w:t>
      </w:r>
      <w:r>
        <w:rPr>
          <w:bdr w:val="single" w:sz="2" w:space="14" w:color="000000"/>
        </w:rPr>
        <w:br/>
        <w:br/>
      </w:r>
      <w:r>
        <w:rPr>
          <w:rStyle w:val="Strong"/>
          <w:bdr w:val="single" w:sz="2" w:space="14" w:color="000000"/>
        </w:rPr>
        <w:t>Setting up</w:t>
      </w:r>
      <w:r>
        <w:rPr>
          <w:bdr w:val="single" w:sz="2" w:space="14" w:color="000000"/>
        </w:rPr>
        <w:br/>
      </w:r>
      <w:hyperlink w:anchor="note01">
        <w:r>
          <w:rPr>
            <w:rStyle w:val="Hyperlink"/>
            <w:bdr w:val="single" w:sz="2" w:space="14" w:color="000000"/>
          </w:rPr>
          <w:t>Note 01 — Project Skeleton &amp; the Databricks CLI</w:t>
        </w:r>
      </w:hyperlink>
      <w:r>
        <w:rPr>
          <w:bdr w:val="single" w:sz="2" w:space="14" w:color="000000"/>
        </w:rPr>
        <w:t xml:space="preserve"> · why the repo looks like a software project</w:t>
        <w:br/>
      </w:r>
      <w:hyperlink w:anchor="note02">
        <w:r>
          <w:rPr>
            <w:rStyle w:val="Hyperlink"/>
            <w:bdr w:val="single" w:sz="2" w:space="14" w:color="000000"/>
          </w:rPr>
          <w:t>Note 02 — Learning Roadmap</w:t>
        </w:r>
      </w:hyperlink>
      <w:r>
        <w:rPr>
          <w:bdr w:val="single" w:sz="2" w:space="14" w:color="000000"/>
        </w:rPr>
        <w:t xml:space="preserve"> · the five phases, dataset choice, platform decisions</w:t>
        <w:br/>
      </w:r>
      <w:r>
        <w:rPr>
          <w:rStyle w:val="Strong"/>
          <w:bdr w:val="single" w:sz="2" w:space="14" w:color="000000"/>
        </w:rPr>
        <w:t>Understanding the source</w:t>
      </w:r>
      <w:r>
        <w:rPr>
          <w:bdr w:val="single" w:sz="2" w:space="14" w:color="000000"/>
        </w:rPr>
        <w:br/>
      </w:r>
      <w:hyperlink w:anchor="note03">
        <w:r>
          <w:rPr>
            <w:rStyle w:val="Hyperlink"/>
            <w:bdr w:val="single" w:sz="2" w:space="14" w:color="000000"/>
          </w:rPr>
          <w:t>Note 03 — Source Interview &amp; Bronze Design</w:t>
        </w:r>
      </w:hyperlink>
      <w:r>
        <w:rPr>
          <w:bdr w:val="single" w:sz="2" w:space="14" w:color="000000"/>
        </w:rPr>
        <w:t xml:space="preserve"> · what the data is, fraud pattern, bronze contract, profiling checklist</w:t>
        <w:br/>
      </w:r>
      <w:r>
        <w:rPr>
          <w:rStyle w:val="Strong"/>
          <w:bdr w:val="single" w:sz="2" w:space="14" w:color="000000"/>
        </w:rPr>
        <w:t>Building bronze</w:t>
      </w:r>
      <w:r>
        <w:rPr>
          <w:bdr w:val="single" w:sz="2" w:space="14" w:color="000000"/>
        </w:rPr>
        <w:br/>
      </w:r>
      <w:hyperlink w:anchor="note04">
        <w:r>
          <w:rPr>
            <w:rStyle w:val="Hyperlink"/>
            <w:bdr w:val="single" w:sz="2" w:space="14" w:color="000000"/>
          </w:rPr>
          <w:t xml:space="preserve">Note 04 — Notebook Structure &amp; the </w:t>
        </w:r>
        <w:r>
          <w:rPr>
            <w:rStyle w:val="Hyperlink"/>
            <w:rFonts w:ascii="Consolas;Courier New;monospace" w:hAnsi="Consolas;Courier New;monospace" w:eastAsia="Consolas;Courier New;monospace" w:cs="Consolas;Courier New;monospace"/>
            <w:bdr w:val="single" w:sz="2" w:space="14" w:color="000000"/>
          </w:rPr>
          <w:t>%run</w:t>
        </w:r>
        <w:r>
          <w:rPr>
            <w:rStyle w:val="Hyperlink"/>
            <w:bdr w:val="single" w:sz="2" w:space="14" w:color="000000"/>
          </w:rPr>
          <w:t xml:space="preserve"> Path Error</w:t>
        </w:r>
      </w:hyperlink>
      <w:r>
        <w:rPr>
          <w:bdr w:val="single" w:sz="2" w:space="14" w:color="000000"/>
        </w:rPr>
        <w:t xml:space="preserve"> · config notebook, naming hygiene</w:t>
        <w:br/>
      </w:r>
      <w:hyperlink w:anchor="note05">
        <w:r>
          <w:rPr>
            <w:rStyle w:val="Hyperlink"/>
            <w:bdr w:val="single" w:sz="2" w:space="14" w:color="000000"/>
          </w:rPr>
          <w:t>Note 05 — First Read: Everything Is a String</w:t>
        </w:r>
      </w:hyperlink>
      <w:r>
        <w:rPr>
          <w:bdr w:val="single" w:sz="2" w:space="14" w:color="000000"/>
        </w:rPr>
        <w:t xml:space="preserve"> · why CSV types lie, lexicographic sorting trap</w:t>
        <w:br/>
      </w:r>
      <w:hyperlink w:anchor="note06">
        <w:r>
          <w:rPr>
            <w:rStyle w:val="Hyperlink"/>
            <w:bdr w:val="single" w:sz="2" w:space="14" w:color="000000"/>
          </w:rPr>
          <w:t>Note 06 — When the Source Changes: Schema Evolution</w:t>
        </w:r>
      </w:hyperlink>
      <w:r>
        <w:rPr>
          <w:bdr w:val="single" w:sz="2" w:space="14" w:color="000000"/>
        </w:rPr>
        <w:t xml:space="preserve"> · three silent failure modes, enforceSchema guard</w:t>
        <w:br/>
      </w:r>
      <w:hyperlink w:anchor="note07">
        <w:r>
          <w:rPr>
            <w:rStyle w:val="Hyperlink"/>
            <w:bdr w:val="single" w:sz="2" w:space="14" w:color="000000"/>
          </w:rPr>
          <w:t>Note 07 — Correction: Bronze Stores Text, Not Types</w:t>
        </w:r>
      </w:hyperlink>
      <w:r>
        <w:rPr>
          <w:bdr w:val="single" w:sz="2" w:space="14" w:color="000000"/>
        </w:rPr>
        <w:t xml:space="preserve"> · supersedes Note 03's typed schema</w:t>
        <w:br/>
      </w:r>
      <w:hyperlink w:anchor="note08">
        <w:r>
          <w:rPr>
            <w:rStyle w:val="Hyperlink"/>
            <w:bdr w:val="single" w:sz="2" w:space="14" w:color="000000"/>
          </w:rPr>
          <w:t>Note 08 — Idempotency: Breaking Append, Choosing replaceWhere</w:t>
        </w:r>
      </w:hyperlink>
      <w:r>
        <w:rPr>
          <w:bdr w:val="single" w:sz="2" w:space="14" w:color="000000"/>
        </w:rPr>
        <w:t xml:space="preserve"> · the triple-load, batch vs UPSERT, how replaceWhere works</w:t>
        <w:br/>
      </w:r>
      <w:r>
        <w:rPr>
          <w:rStyle w:val="Strong"/>
          <w:bdr w:val="single" w:sz="2" w:space="14" w:color="000000"/>
        </w:rPr>
        <w:t>Understanding the data</w:t>
      </w:r>
      <w:r>
        <w:rPr>
          <w:bdr w:val="single" w:sz="2" w:space="14" w:color="000000"/>
        </w:rPr>
        <w:br/>
      </w:r>
      <w:hyperlink w:anchor="note09">
        <w:r>
          <w:rPr>
            <w:rStyle w:val="Hyperlink"/>
            <w:bdr w:val="single" w:sz="2" w:space="14" w:color="000000"/>
          </w:rPr>
          <w:t>Note 09 — Profiling Results &amp; What Fraud Actually Means</w:t>
        </w:r>
      </w:hyperlink>
      <w:r>
        <w:rPr>
          <w:bdr w:val="single" w:sz="2" w:space="14" w:color="000000"/>
        </w:rPr>
        <w:t xml:space="preserve"> · eight findings, SQL patterns, fraud definitions in real banks</w:t>
        <w:br/>
      </w:r>
      <w:hyperlink w:anchor="note10">
        <w:r>
          <w:rPr>
            <w:rStyle w:val="Hyperlink"/>
            <w:bdr w:val="single" w:sz="2" w:space="14" w:color="000000"/>
          </w:rPr>
          <w:t>Note 10 — Silver Design Specification</w:t>
        </w:r>
      </w:hyperlink>
      <w:r>
        <w:rPr>
          <w:bdr w:val="single" w:sz="2" w:space="14" w:color="000000"/>
        </w:rPr>
        <w:t xml:space="preserve"> · every column, every derived rule, and where each came from </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01 — Project Skeleton &amp; the Databricks CLI </w:t>
      </w:r>
      <w:r>
        <w:rPr>
          <w:b w:val="false"/>
          <w:color w:val="FFFFFF"/>
        </w:rPr>
        <w:t>· July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1. What we're building (30-second recap)</w:t>
      </w:r>
    </w:p>
    <w:p>
      <w:pPr>
        <w:pStyle w:val="BodyText"/>
        <w:bidi w:val="0"/>
        <w:jc w:val="left"/>
        <w:rPr/>
      </w:pPr>
      <w:r>
        <w:rPr/>
        <w:t xml:space="preserve">A fraud-detection data pipeline on Databricks Free Edition using the </w:t>
      </w:r>
      <w:r>
        <w:rPr>
          <w:rStyle w:val="Strong"/>
        </w:rPr>
        <w:t>medallion architecture</w:t>
      </w:r>
      <w:r>
        <w:rPr/>
        <w:t xml:space="preserve">: raw transaction data lands in </w:t>
      </w:r>
      <w:r>
        <w:rPr>
          <w:rStyle w:val="Strong"/>
        </w:rPr>
        <w:t>bronze</w:t>
      </w:r>
      <w:r>
        <w:rPr/>
        <w:t xml:space="preserve">, gets cleaned and validated into </w:t>
      </w:r>
      <w:r>
        <w:rPr>
          <w:rStyle w:val="Strong"/>
        </w:rPr>
        <w:t>silver</w:t>
      </w:r>
      <w:r>
        <w:rPr/>
        <w:t xml:space="preserve">, and is aggregated into </w:t>
      </w:r>
      <w:r>
        <w:rPr>
          <w:rStyle w:val="Strong"/>
        </w:rPr>
        <w:t>gold</w:t>
      </w:r>
      <w:r>
        <w:rPr/>
        <w:t xml:space="preserve"> tables that feed an ML fraud model. Everything is stored as Delta tables, versioned in GitHub, and deployed with Databricks Asset Bundles.</w:t>
      </w:r>
    </w:p>
    <w:p>
      <w:pPr>
        <w:pStyle w:val="Heading2"/>
        <w:bidi w:val="0"/>
        <w:jc w:val="left"/>
        <w:rPr/>
      </w:pPr>
      <w:r>
        <w:rPr/>
        <w:t>2. The project skeleton — what each file is and why it exists</w:t>
      </w:r>
    </w:p>
    <w:p>
      <w:pPr>
        <w:pStyle w:val="BodyText"/>
        <w:bidi w:val="0"/>
        <w:spacing w:before="300" w:after="300"/>
        <w:ind w:hanging="0" w:left="300" w:right="300"/>
        <w:jc w:val="left"/>
        <w:rPr/>
      </w:pPr>
      <w:r>
        <w:rPr>
          <w:rStyle w:val="Strong"/>
          <w:bdr w:val="single" w:sz="2" w:space="12" w:color="000000"/>
        </w:rPr>
        <w:t>The core idea:</w:t>
      </w:r>
      <w:r>
        <w:rPr>
          <w:bdr w:val="single" w:sz="2" w:space="12" w:color="000000"/>
        </w:rPr>
        <w:t xml:space="preserve"> treat the pipeline like a real software project from day one, not a pile of notebooks. Code lives in git, logic is testable, deployment is repeatable, and nothing is clicked together by hand in the Databricks UI. This is exactly what employers mean by "data engineering best practices."</w:t>
      </w:r>
    </w:p>
    <w:p>
      <w:pPr>
        <w:pStyle w:val="PreformattedTexttree"/>
        <w:bidi w:val="0"/>
        <w:ind w:hanging="0"/>
        <w:jc w:val="left"/>
        <w:rPr/>
      </w:pPr>
      <w:r>
        <w:rPr/>
        <w:t>databricks-finance-data-pipeline/</w:t>
      </w:r>
    </w:p>
    <w:p>
      <w:pPr>
        <w:pStyle w:val="PreformattedTexttree"/>
        <w:bidi w:val="0"/>
        <w:jc w:val="left"/>
        <w:rPr/>
      </w:pPr>
      <w:r>
        <w:rPr/>
        <w:t xml:space="preserve">├── </w:t>
      </w:r>
      <w:r>
        <w:rPr/>
        <w:t>CLAUDE.md                  ← project context/instructions for AI assistants</w:t>
      </w:r>
    </w:p>
    <w:p>
      <w:pPr>
        <w:pStyle w:val="PreformattedTexttree"/>
        <w:bidi w:val="0"/>
        <w:jc w:val="left"/>
        <w:rPr/>
      </w:pPr>
      <w:r>
        <w:rPr/>
        <w:t xml:space="preserve">├── </w:t>
      </w:r>
      <w:r>
        <w:rPr/>
        <w:t>README.md                  ← human-facing project description</w:t>
      </w:r>
    </w:p>
    <w:p>
      <w:pPr>
        <w:pStyle w:val="PreformattedTexttree"/>
        <w:bidi w:val="0"/>
        <w:jc w:val="left"/>
        <w:rPr/>
      </w:pPr>
      <w:r>
        <w:rPr/>
        <w:t xml:space="preserve">├── </w:t>
      </w:r>
      <w:r>
        <w:rPr/>
        <w:t>databricks.yml             ← Asset Bundle config (the deployment "recipe")</w:t>
      </w:r>
    </w:p>
    <w:p>
      <w:pPr>
        <w:pStyle w:val="PreformattedTexttree"/>
        <w:bidi w:val="0"/>
        <w:jc w:val="left"/>
        <w:rPr/>
      </w:pPr>
      <w:r>
        <w:rPr/>
        <w:t xml:space="preserve">├── </w:t>
      </w:r>
      <w:r>
        <w:rPr/>
        <w:t>pyproject.toml             ← Python project config (lint + test settings)</w:t>
      </w:r>
    </w:p>
    <w:p>
      <w:pPr>
        <w:pStyle w:val="PreformattedTexttree"/>
        <w:bidi w:val="0"/>
        <w:jc w:val="left"/>
        <w:rPr/>
      </w:pPr>
      <w:r>
        <w:rPr/>
        <w:t xml:space="preserve">├── </w:t>
      </w:r>
      <w:r>
        <w:rPr/>
        <w:t>.gitignore                 ← keeps secrets &amp; junk out of the public repo</w:t>
      </w:r>
    </w:p>
    <w:p>
      <w:pPr>
        <w:pStyle w:val="PreformattedTexttree"/>
        <w:bidi w:val="0"/>
        <w:jc w:val="left"/>
        <w:rPr/>
      </w:pPr>
      <w:r>
        <w:rPr/>
        <w:t xml:space="preserve">├── </w:t>
      </w:r>
      <w:r>
        <w:rPr/>
        <w:t>.github/workflows/ci.yml   ← GitHub Actions: auto lint + test on push</w:t>
      </w:r>
    </w:p>
    <w:p>
      <w:pPr>
        <w:pStyle w:val="PreformattedTexttree"/>
        <w:bidi w:val="0"/>
        <w:jc w:val="left"/>
        <w:rPr/>
      </w:pPr>
      <w:r>
        <w:rPr/>
        <w:t xml:space="preserve">├── </w:t>
      </w:r>
      <w:r>
        <w:rPr/>
        <w:t>src/                       ← reusable Python transform functions</w:t>
      </w:r>
    </w:p>
    <w:p>
      <w:pPr>
        <w:pStyle w:val="PreformattedTexttree"/>
        <w:bidi w:val="0"/>
        <w:jc w:val="left"/>
        <w:rPr/>
      </w:pPr>
      <w:r>
        <w:rPr/>
        <w:t xml:space="preserve">├── </w:t>
      </w:r>
      <w:r>
        <w:rPr/>
        <w:t>pipelines/                 ← pipeline &amp; job definitions (the "what runs")</w:t>
      </w:r>
    </w:p>
    <w:p>
      <w:pPr>
        <w:pStyle w:val="PreformattedTexttree"/>
        <w:bidi w:val="0"/>
        <w:jc w:val="left"/>
        <w:rPr/>
      </w:pPr>
      <w:r>
        <w:rPr/>
        <w:t xml:space="preserve">├── </w:t>
      </w:r>
      <w:r>
        <w:rPr/>
        <w:t>resources/                 ← bundle YAML for jobs/pipelines (the "how it runs")</w:t>
      </w:r>
    </w:p>
    <w:p>
      <w:pPr>
        <w:pStyle w:val="PreformattedTexttree"/>
        <w:bidi w:val="0"/>
        <w:spacing w:before="0" w:after="283"/>
        <w:jc w:val="left"/>
        <w:rPr/>
      </w:pPr>
      <w:r>
        <w:rPr/>
        <w:t xml:space="preserve">└── </w:t>
      </w:r>
      <w:r>
        <w:rPr/>
        <w:t>tests/                     ← pytest unit tests for src/ code</w:t>
      </w:r>
    </w:p>
    <w:p>
      <w:pPr>
        <w:pStyle w:val="Heading3"/>
        <w:bidi w:val="0"/>
        <w:jc w:val="left"/>
        <w:rPr/>
      </w:pPr>
      <w:r>
        <w:rPr/>
        <w:t>File-by-file thought process</w:t>
      </w:r>
    </w:p>
    <w:tbl>
      <w:tblPr>
        <w:tblW w:w="8982" w:type="dxa"/>
        <w:jc w:val="left"/>
        <w:tblInd w:w="28" w:type="dxa"/>
        <w:tblLayout w:type="fixed"/>
        <w:tblCellMar>
          <w:top w:w="28" w:type="dxa"/>
          <w:left w:w="28" w:type="dxa"/>
          <w:bottom w:w="28" w:type="dxa"/>
          <w:right w:w="28" w:type="dxa"/>
        </w:tblCellMar>
      </w:tblPr>
      <w:tblGrid>
        <w:gridCol w:w="2351"/>
        <w:gridCol w:w="6631"/>
      </w:tblGrid>
      <w:tr>
        <w:trPr/>
        <w:tc>
          <w:tcPr>
            <w:tcW w:w="2351" w:type="dxa"/>
            <w:tcBorders/>
            <w:vAlign w:val="center"/>
          </w:tcPr>
          <w:p>
            <w:pPr>
              <w:pStyle w:val="TableHeading"/>
              <w:suppressLineNumbers/>
              <w:bidi w:val="0"/>
              <w:spacing w:before="0" w:after="283"/>
              <w:jc w:val="left"/>
              <w:rPr/>
            </w:pPr>
            <w:r>
              <w:rPr/>
              <w:t>File / folder</w:t>
            </w:r>
          </w:p>
        </w:tc>
        <w:tc>
          <w:tcPr>
            <w:tcW w:w="6631" w:type="dxa"/>
            <w:tcBorders/>
            <w:vAlign w:val="center"/>
          </w:tcPr>
          <w:p>
            <w:pPr>
              <w:pStyle w:val="TableHeading"/>
              <w:suppressLineNumbers/>
              <w:bidi w:val="0"/>
              <w:spacing w:before="0" w:after="283"/>
              <w:jc w:val="left"/>
              <w:rPr/>
            </w:pPr>
            <w:r>
              <w:rPr/>
              <w:t>Why it exists</w:t>
            </w:r>
          </w:p>
        </w:tc>
      </w:tr>
      <w:tr>
        <w:trPr/>
        <w:tc>
          <w:tcPr>
            <w:tcW w:w="2351" w:type="dxa"/>
            <w:tcBorders/>
            <w:vAlign w:val="center"/>
          </w:tcPr>
          <w:p>
            <w:pPr>
              <w:pStyle w:val="TableContents"/>
              <w:bidi w:val="0"/>
              <w:spacing w:before="0" w:after="283"/>
              <w:jc w:val="left"/>
              <w:rPr/>
            </w:pPr>
            <w:r>
              <w:rPr>
                <w:rStyle w:val="SourceText"/>
              </w:rPr>
              <w:t>databricks.yml</w:t>
            </w:r>
          </w:p>
        </w:tc>
        <w:tc>
          <w:tcPr>
            <w:tcW w:w="6631" w:type="dxa"/>
            <w:tcBorders/>
            <w:vAlign w:val="center"/>
          </w:tcPr>
          <w:p>
            <w:pPr>
              <w:pStyle w:val="TableContents"/>
              <w:bidi w:val="0"/>
              <w:spacing w:before="0" w:after="283"/>
              <w:ind w:hanging="0" w:left="0" w:right="0"/>
              <w:jc w:val="left"/>
              <w:rPr/>
            </w:pPr>
            <w:r>
              <w:rPr>
                <w:b/>
              </w:rPr>
              <w:t>Deployment as code.</w:t>
            </w:r>
            <w:r>
              <w:rPr/>
              <w:t xml:space="preserve"> Defines the "bundle" — a package of jobs, pipelines, and code that can be deployed to any workspace with one command. Ours points at the </w:t>
            </w:r>
            <w:r>
              <w:rPr>
                <w:rStyle w:val="SourceText"/>
              </w:rPr>
              <w:t>free</w:t>
            </w:r>
            <w:r>
              <w:rPr/>
              <w:t xml:space="preserve"> auth profile and a </w:t>
            </w:r>
            <w:r>
              <w:rPr>
                <w:rStyle w:val="SourceText"/>
              </w:rPr>
              <w:t>dev</w:t>
            </w:r>
            <w:r>
              <w:rPr/>
              <w:t xml:space="preserve"> target. No manual clicking in the UI = reproducible, reviewable deployments.</w:t>
            </w:r>
          </w:p>
        </w:tc>
      </w:tr>
      <w:tr>
        <w:trPr/>
        <w:tc>
          <w:tcPr>
            <w:tcW w:w="2351" w:type="dxa"/>
            <w:tcBorders/>
            <w:vAlign w:val="center"/>
          </w:tcPr>
          <w:p>
            <w:pPr>
              <w:pStyle w:val="TableContents"/>
              <w:bidi w:val="0"/>
              <w:spacing w:before="0" w:after="283"/>
              <w:jc w:val="left"/>
              <w:rPr/>
            </w:pPr>
            <w:r>
              <w:rPr>
                <w:rStyle w:val="SourceText"/>
              </w:rPr>
              <w:t>src/</w:t>
            </w:r>
          </w:p>
        </w:tc>
        <w:tc>
          <w:tcPr>
            <w:tcW w:w="6631" w:type="dxa"/>
            <w:tcBorders/>
            <w:vAlign w:val="center"/>
          </w:tcPr>
          <w:p>
            <w:pPr>
              <w:pStyle w:val="TableContents"/>
              <w:bidi w:val="0"/>
              <w:spacing w:before="0" w:after="283"/>
              <w:ind w:hanging="0" w:left="0" w:right="0"/>
              <w:jc w:val="left"/>
              <w:rPr/>
            </w:pPr>
            <w:r>
              <w:rPr>
                <w:b/>
              </w:rPr>
              <w:t>Testable logic.</w:t>
            </w:r>
            <w:r>
              <w:rPr/>
              <w:t xml:space="preserve"> Transformations (e.g. "flag transactions over $10k from a new device") are plain Python functions here — importable by both notebooks and tests. If logic lived only inside notebooks, you couldn't unit-test it.</w:t>
            </w:r>
          </w:p>
        </w:tc>
      </w:tr>
      <w:tr>
        <w:trPr/>
        <w:tc>
          <w:tcPr>
            <w:tcW w:w="2351" w:type="dxa"/>
            <w:tcBorders/>
            <w:vAlign w:val="center"/>
          </w:tcPr>
          <w:p>
            <w:pPr>
              <w:pStyle w:val="TableContents"/>
              <w:bidi w:val="0"/>
              <w:spacing w:before="0" w:after="283"/>
              <w:jc w:val="left"/>
              <w:rPr/>
            </w:pPr>
            <w:r>
              <w:rPr>
                <w:rStyle w:val="SourceText"/>
              </w:rPr>
              <w:t>tests/</w:t>
            </w:r>
          </w:p>
        </w:tc>
        <w:tc>
          <w:tcPr>
            <w:tcW w:w="6631" w:type="dxa"/>
            <w:tcBorders/>
            <w:vAlign w:val="center"/>
          </w:tcPr>
          <w:p>
            <w:pPr>
              <w:pStyle w:val="TableContents"/>
              <w:bidi w:val="0"/>
              <w:spacing w:before="0" w:after="283"/>
              <w:ind w:hanging="0" w:left="0" w:right="0"/>
              <w:jc w:val="left"/>
              <w:rPr/>
            </w:pPr>
            <w:r>
              <w:rPr>
                <w:b/>
              </w:rPr>
              <w:t>Trust.</w:t>
            </w:r>
            <w:r>
              <w:rPr/>
              <w:t xml:space="preserve"> Pytest tests prove transforms work before they ever touch real data. Currently one placeholder test so CI has something to run.</w:t>
            </w:r>
          </w:p>
        </w:tc>
      </w:tr>
      <w:tr>
        <w:trPr/>
        <w:tc>
          <w:tcPr>
            <w:tcW w:w="2351" w:type="dxa"/>
            <w:tcBorders/>
            <w:vAlign w:val="center"/>
          </w:tcPr>
          <w:p>
            <w:pPr>
              <w:pStyle w:val="TableContents"/>
              <w:bidi w:val="0"/>
              <w:spacing w:before="0" w:after="283"/>
              <w:jc w:val="left"/>
              <w:rPr/>
            </w:pPr>
            <w:r>
              <w:rPr>
                <w:rStyle w:val="SourceText"/>
              </w:rPr>
              <w:t>pipelines/</w:t>
            </w:r>
            <w:r>
              <w:rPr/>
              <w:t xml:space="preserve"> &amp; </w:t>
            </w:r>
            <w:r>
              <w:rPr>
                <w:rStyle w:val="SourceText"/>
              </w:rPr>
              <w:t>resources/</w:t>
            </w:r>
          </w:p>
        </w:tc>
        <w:tc>
          <w:tcPr>
            <w:tcW w:w="6631" w:type="dxa"/>
            <w:tcBorders/>
            <w:vAlign w:val="center"/>
          </w:tcPr>
          <w:p>
            <w:pPr>
              <w:pStyle w:val="TableContents"/>
              <w:bidi w:val="0"/>
              <w:spacing w:before="0" w:after="283"/>
              <w:ind w:hanging="0" w:left="0" w:right="0"/>
              <w:jc w:val="left"/>
              <w:rPr/>
            </w:pPr>
            <w:r>
              <w:rPr>
                <w:b/>
              </w:rPr>
              <w:t>Separation of concerns.</w:t>
            </w:r>
            <w:r>
              <w:rPr/>
              <w:t xml:space="preserve"> </w:t>
            </w:r>
            <w:r>
              <w:rPr>
                <w:rStyle w:val="SourceText"/>
              </w:rPr>
              <w:t>pipelines/</w:t>
            </w:r>
            <w:r>
              <w:rPr/>
              <w:t xml:space="preserve"> holds pipeline source (what transformations run); </w:t>
            </w:r>
            <w:r>
              <w:rPr>
                <w:rStyle w:val="SourceText"/>
              </w:rPr>
              <w:t>resources/*.yml</w:t>
            </w:r>
            <w:r>
              <w:rPr/>
              <w:t xml:space="preserve"> holds bundle definitions (schedules, targets, settings). </w:t>
            </w:r>
            <w:r>
              <w:rPr>
                <w:rStyle w:val="SourceText"/>
              </w:rPr>
              <w:t>databricks.yml</w:t>
            </w:r>
            <w:r>
              <w:rPr/>
              <w:t xml:space="preserve"> auto-includes everything in </w:t>
            </w:r>
            <w:r>
              <w:rPr>
                <w:rStyle w:val="SourceText"/>
              </w:rPr>
              <w:t>resources/</w:t>
            </w:r>
            <w:r>
              <w:rPr/>
              <w:t>.</w:t>
            </w:r>
          </w:p>
        </w:tc>
      </w:tr>
      <w:tr>
        <w:trPr/>
        <w:tc>
          <w:tcPr>
            <w:tcW w:w="2351" w:type="dxa"/>
            <w:tcBorders/>
            <w:vAlign w:val="center"/>
          </w:tcPr>
          <w:p>
            <w:pPr>
              <w:pStyle w:val="TableContents"/>
              <w:bidi w:val="0"/>
              <w:spacing w:before="0" w:after="283"/>
              <w:jc w:val="left"/>
              <w:rPr/>
            </w:pPr>
            <w:r>
              <w:rPr>
                <w:rStyle w:val="SourceText"/>
              </w:rPr>
              <w:t>.github/workflows/ci.yml</w:t>
            </w:r>
          </w:p>
        </w:tc>
        <w:tc>
          <w:tcPr>
            <w:tcW w:w="6631" w:type="dxa"/>
            <w:tcBorders/>
            <w:vAlign w:val="center"/>
          </w:tcPr>
          <w:p>
            <w:pPr>
              <w:pStyle w:val="TableContents"/>
              <w:bidi w:val="0"/>
              <w:spacing w:before="0" w:after="283"/>
              <w:ind w:hanging="0" w:left="0" w:right="0"/>
              <w:jc w:val="left"/>
              <w:rPr/>
            </w:pPr>
            <w:r>
              <w:rPr>
                <w:b/>
              </w:rPr>
              <w:t>Safety net.</w:t>
            </w:r>
            <w:r>
              <w:rPr/>
              <w:t xml:space="preserve"> Every push runs </w:t>
            </w:r>
            <w:r>
              <w:rPr>
                <w:rStyle w:val="SourceText"/>
              </w:rPr>
              <w:t>ruff</w:t>
            </w:r>
            <w:r>
              <w:rPr/>
              <w:t xml:space="preserve"> (linter — catches sloppy code) and </w:t>
            </w:r>
            <w:r>
              <w:rPr>
                <w:rStyle w:val="SourceText"/>
              </w:rPr>
              <w:t>pytest</w:t>
            </w:r>
            <w:r>
              <w:rPr/>
              <w:t xml:space="preserve"> automatically on GitHub's servers. A green check means the repo is always in a known-good state.</w:t>
            </w:r>
          </w:p>
        </w:tc>
      </w:tr>
      <w:tr>
        <w:trPr/>
        <w:tc>
          <w:tcPr>
            <w:tcW w:w="2351" w:type="dxa"/>
            <w:tcBorders/>
            <w:vAlign w:val="center"/>
          </w:tcPr>
          <w:p>
            <w:pPr>
              <w:pStyle w:val="TableContents"/>
              <w:bidi w:val="0"/>
              <w:spacing w:before="0" w:after="283"/>
              <w:jc w:val="left"/>
              <w:rPr/>
            </w:pPr>
            <w:r>
              <w:rPr>
                <w:rStyle w:val="SourceText"/>
              </w:rPr>
              <w:t>pyproject.toml</w:t>
            </w:r>
          </w:p>
        </w:tc>
        <w:tc>
          <w:tcPr>
            <w:tcW w:w="6631" w:type="dxa"/>
            <w:tcBorders/>
            <w:vAlign w:val="center"/>
          </w:tcPr>
          <w:p>
            <w:pPr>
              <w:pStyle w:val="TableContents"/>
              <w:bidi w:val="0"/>
              <w:spacing w:before="0" w:after="283"/>
              <w:ind w:hanging="0" w:left="0" w:right="0"/>
              <w:jc w:val="left"/>
              <w:rPr/>
            </w:pPr>
            <w:r>
              <w:rPr>
                <w:b/>
              </w:rPr>
              <w:t>One config to rule them all.</w:t>
            </w:r>
            <w:r>
              <w:rPr/>
              <w:t xml:space="preserve"> Declares the project name, Python version, and settings for ruff and pytest — so tools behave identically on your laptop and in CI.</w:t>
            </w:r>
          </w:p>
        </w:tc>
      </w:tr>
      <w:tr>
        <w:trPr/>
        <w:tc>
          <w:tcPr>
            <w:tcW w:w="2351" w:type="dxa"/>
            <w:tcBorders/>
            <w:vAlign w:val="center"/>
          </w:tcPr>
          <w:p>
            <w:pPr>
              <w:pStyle w:val="TableContents"/>
              <w:bidi w:val="0"/>
              <w:spacing w:before="0" w:after="283"/>
              <w:jc w:val="left"/>
              <w:rPr/>
            </w:pPr>
            <w:r>
              <w:rPr>
                <w:rStyle w:val="SourceText"/>
              </w:rPr>
              <w:t>.gitignore</w:t>
            </w:r>
          </w:p>
        </w:tc>
        <w:tc>
          <w:tcPr>
            <w:tcW w:w="6631" w:type="dxa"/>
            <w:tcBorders/>
            <w:vAlign w:val="center"/>
          </w:tcPr>
          <w:p>
            <w:pPr>
              <w:pStyle w:val="TableContents"/>
              <w:bidi w:val="0"/>
              <w:spacing w:before="0" w:after="283"/>
              <w:ind w:hanging="0" w:left="0" w:right="0"/>
              <w:jc w:val="left"/>
              <w:rPr/>
            </w:pPr>
            <w:r>
              <w:rPr>
                <w:b/>
              </w:rPr>
              <w:t>Secret hygiene.</w:t>
            </w:r>
            <w:r>
              <w:rPr/>
              <w:t xml:space="preserve"> The repo is public. This blocks </w:t>
            </w:r>
            <w:r>
              <w:rPr>
                <w:rStyle w:val="SourceText"/>
              </w:rPr>
              <w:t>.databrickscfg</w:t>
            </w:r>
            <w:r>
              <w:rPr/>
              <w:t xml:space="preserve"> (your auth tokens), virtualenvs, and caches from ever being committed.</w:t>
            </w:r>
          </w:p>
        </w:tc>
      </w:tr>
      <w:tr>
        <w:trPr/>
        <w:tc>
          <w:tcPr>
            <w:tcW w:w="2351" w:type="dxa"/>
            <w:tcBorders/>
            <w:vAlign w:val="center"/>
          </w:tcPr>
          <w:p>
            <w:pPr>
              <w:pStyle w:val="TableContents"/>
              <w:bidi w:val="0"/>
              <w:spacing w:before="0" w:after="283"/>
              <w:jc w:val="left"/>
              <w:rPr/>
            </w:pPr>
            <w:r>
              <w:rPr>
                <w:rStyle w:val="SourceText"/>
              </w:rPr>
              <w:t>CLAUDE.md</w:t>
            </w:r>
          </w:p>
        </w:tc>
        <w:tc>
          <w:tcPr>
            <w:tcW w:w="6631" w:type="dxa"/>
            <w:tcBorders/>
            <w:vAlign w:val="center"/>
          </w:tcPr>
          <w:p>
            <w:pPr>
              <w:pStyle w:val="TableContents"/>
              <w:bidi w:val="0"/>
              <w:spacing w:before="0" w:after="283"/>
              <w:ind w:hanging="0" w:left="0" w:right="0"/>
              <w:jc w:val="left"/>
              <w:rPr/>
            </w:pPr>
            <w:r>
              <w:rPr>
                <w:b/>
              </w:rPr>
              <w:t>Context file.</w:t>
            </w:r>
            <w:r>
              <w:rPr/>
              <w:t xml:space="preserve"> Captures architecture and conventions so any AI assistant (or human) picks up the project with full context.</w:t>
            </w:r>
          </w:p>
        </w:tc>
      </w:tr>
    </w:tbl>
    <w:p>
      <w:pPr>
        <w:pStyle w:val="Heading2"/>
        <w:bidi w:val="0"/>
        <w:jc w:val="left"/>
        <w:rPr/>
      </w:pPr>
      <w:r>
        <w:rPr/>
        <w:t>3. Why we installed the Databricks CLI</w:t>
      </w:r>
    </w:p>
    <w:p>
      <w:pPr>
        <w:pStyle w:val="BodyText"/>
        <w:bidi w:val="0"/>
        <w:spacing w:before="300" w:after="300"/>
        <w:ind w:hanging="0" w:left="300" w:right="300"/>
        <w:jc w:val="left"/>
        <w:rPr/>
      </w:pPr>
      <w:r>
        <w:rPr>
          <w:rStyle w:val="Strong"/>
          <w:bdr w:val="single" w:sz="2" w:space="12" w:color="000000"/>
        </w:rPr>
        <w:t>In one sentence:</w:t>
      </w:r>
      <w:r>
        <w:rPr>
          <w:bdr w:val="single" w:sz="2" w:space="12" w:color="000000"/>
        </w:rPr>
        <w:t xml:space="preserve"> the CLI is the bridge between your laptop/GitHub repo and the Databricks workspace in the cloud — it's how code gets from VS Code into Databricks without copy-pasting into notebooks.</w:t>
      </w:r>
    </w:p>
    <w:p>
      <w:pPr>
        <w:pStyle w:val="Heading3"/>
        <w:bidi w:val="0"/>
        <w:ind w:hanging="0"/>
        <w:jc w:val="left"/>
        <w:rPr/>
      </w:pPr>
      <w:r>
        <w:rPr/>
        <w:t>What we'll use it for</w:t>
      </w:r>
    </w:p>
    <w:tbl>
      <w:tblPr>
        <w:tblW w:w="8982" w:type="dxa"/>
        <w:jc w:val="left"/>
        <w:tblInd w:w="28" w:type="dxa"/>
        <w:tblLayout w:type="fixed"/>
        <w:tblCellMar>
          <w:top w:w="28" w:type="dxa"/>
          <w:left w:w="28" w:type="dxa"/>
          <w:bottom w:w="28" w:type="dxa"/>
          <w:right w:w="28" w:type="dxa"/>
        </w:tblCellMar>
      </w:tblPr>
      <w:tblGrid>
        <w:gridCol w:w="2088"/>
        <w:gridCol w:w="5272"/>
        <w:gridCol w:w="1622"/>
      </w:tblGrid>
      <w:tr>
        <w:trPr/>
        <w:tc>
          <w:tcPr>
            <w:tcW w:w="2088" w:type="dxa"/>
            <w:tcBorders/>
            <w:vAlign w:val="center"/>
          </w:tcPr>
          <w:p>
            <w:pPr>
              <w:pStyle w:val="TableHeading"/>
              <w:suppressLineNumbers/>
              <w:bidi w:val="0"/>
              <w:spacing w:before="0" w:after="283"/>
              <w:jc w:val="left"/>
              <w:rPr/>
            </w:pPr>
            <w:r>
              <w:rPr/>
              <w:t>Command</w:t>
            </w:r>
          </w:p>
        </w:tc>
        <w:tc>
          <w:tcPr>
            <w:tcW w:w="5272" w:type="dxa"/>
            <w:tcBorders/>
            <w:vAlign w:val="center"/>
          </w:tcPr>
          <w:p>
            <w:pPr>
              <w:pStyle w:val="TableHeading"/>
              <w:suppressLineNumbers/>
              <w:bidi w:val="0"/>
              <w:spacing w:before="0" w:after="283"/>
              <w:jc w:val="left"/>
              <w:rPr/>
            </w:pPr>
            <w:r>
              <w:rPr/>
              <w:t>What it does</w:t>
            </w:r>
          </w:p>
        </w:tc>
        <w:tc>
          <w:tcPr>
            <w:tcW w:w="1622" w:type="dxa"/>
            <w:tcBorders/>
            <w:vAlign w:val="center"/>
          </w:tcPr>
          <w:p>
            <w:pPr>
              <w:pStyle w:val="TableHeading"/>
              <w:suppressLineNumbers/>
              <w:bidi w:val="0"/>
              <w:spacing w:before="0" w:after="283"/>
              <w:jc w:val="left"/>
              <w:rPr/>
            </w:pPr>
            <w:r>
              <w:rPr/>
              <w:t>When</w:t>
            </w:r>
          </w:p>
        </w:tc>
      </w:tr>
      <w:tr>
        <w:trPr/>
        <w:tc>
          <w:tcPr>
            <w:tcW w:w="2088" w:type="dxa"/>
            <w:tcBorders/>
            <w:vAlign w:val="center"/>
          </w:tcPr>
          <w:p>
            <w:pPr>
              <w:pStyle w:val="TableContents"/>
              <w:bidi w:val="0"/>
              <w:spacing w:before="0" w:after="283"/>
              <w:jc w:val="left"/>
              <w:rPr/>
            </w:pPr>
            <w:r>
              <w:rPr>
                <w:rStyle w:val="SourceText"/>
              </w:rPr>
              <w:t>databricks auth login</w:t>
            </w:r>
          </w:p>
        </w:tc>
        <w:tc>
          <w:tcPr>
            <w:tcW w:w="5272" w:type="dxa"/>
            <w:tcBorders/>
            <w:vAlign w:val="center"/>
          </w:tcPr>
          <w:p>
            <w:pPr>
              <w:pStyle w:val="TableContents"/>
              <w:bidi w:val="0"/>
              <w:spacing w:before="0" w:after="283"/>
              <w:jc w:val="left"/>
              <w:rPr/>
            </w:pPr>
            <w:r>
              <w:rPr/>
              <w:t xml:space="preserve">Authenticates via browser (OAuth) and saves the connection as the </w:t>
            </w:r>
            <w:r>
              <w:rPr>
                <w:rStyle w:val="SourceText"/>
              </w:rPr>
              <w:t>free</w:t>
            </w:r>
            <w:r>
              <w:rPr/>
              <w:t xml:space="preserve"> profile in </w:t>
            </w:r>
            <w:r>
              <w:rPr>
                <w:rStyle w:val="SourceText"/>
              </w:rPr>
              <w:t>~/.databrickscfg</w:t>
            </w:r>
            <w:r>
              <w:rPr/>
              <w:t>. No tokens pasted into files.</w:t>
            </w:r>
          </w:p>
        </w:tc>
        <w:tc>
          <w:tcPr>
            <w:tcW w:w="1622" w:type="dxa"/>
            <w:tcBorders/>
            <w:vAlign w:val="center"/>
          </w:tcPr>
          <w:p>
            <w:pPr>
              <w:pStyle w:val="TableContents"/>
              <w:bidi w:val="0"/>
              <w:spacing w:before="0" w:after="283"/>
              <w:jc w:val="left"/>
              <w:rPr/>
            </w:pPr>
            <w:r>
              <w:rPr/>
              <w:t>Once (done ✓)</w:t>
            </w:r>
          </w:p>
        </w:tc>
      </w:tr>
      <w:tr>
        <w:trPr/>
        <w:tc>
          <w:tcPr>
            <w:tcW w:w="2088" w:type="dxa"/>
            <w:tcBorders/>
            <w:vAlign w:val="center"/>
          </w:tcPr>
          <w:p>
            <w:pPr>
              <w:pStyle w:val="TableContents"/>
              <w:bidi w:val="0"/>
              <w:spacing w:before="0" w:after="283"/>
              <w:jc w:val="left"/>
              <w:rPr/>
            </w:pPr>
            <w:r>
              <w:rPr>
                <w:rStyle w:val="SourceText"/>
              </w:rPr>
              <w:t>databricks bundle validate</w:t>
            </w:r>
          </w:p>
        </w:tc>
        <w:tc>
          <w:tcPr>
            <w:tcW w:w="5272" w:type="dxa"/>
            <w:tcBorders/>
            <w:vAlign w:val="center"/>
          </w:tcPr>
          <w:p>
            <w:pPr>
              <w:pStyle w:val="TableContents"/>
              <w:bidi w:val="0"/>
              <w:spacing w:before="0" w:after="283"/>
              <w:jc w:val="left"/>
              <w:rPr/>
            </w:pPr>
            <w:r>
              <w:rPr/>
              <w:t xml:space="preserve">Checks </w:t>
            </w:r>
            <w:r>
              <w:rPr>
                <w:rStyle w:val="SourceText"/>
              </w:rPr>
              <w:t>databricks.yml</w:t>
            </w:r>
            <w:r>
              <w:rPr/>
              <w:t xml:space="preserve"> + </w:t>
            </w:r>
            <w:r>
              <w:rPr>
                <w:rStyle w:val="SourceText"/>
              </w:rPr>
              <w:t>resources/</w:t>
            </w:r>
            <w:r>
              <w:rPr/>
              <w:t xml:space="preserve"> for errors and confirms the workspace connection works.</w:t>
            </w:r>
          </w:p>
        </w:tc>
        <w:tc>
          <w:tcPr>
            <w:tcW w:w="1622" w:type="dxa"/>
            <w:tcBorders/>
            <w:vAlign w:val="center"/>
          </w:tcPr>
          <w:p>
            <w:pPr>
              <w:pStyle w:val="TableContents"/>
              <w:bidi w:val="0"/>
              <w:spacing w:before="0" w:after="283"/>
              <w:jc w:val="left"/>
              <w:rPr/>
            </w:pPr>
            <w:r>
              <w:rPr/>
              <w:t>Before every deploy</w:t>
            </w:r>
          </w:p>
        </w:tc>
      </w:tr>
      <w:tr>
        <w:trPr/>
        <w:tc>
          <w:tcPr>
            <w:tcW w:w="2088" w:type="dxa"/>
            <w:tcBorders/>
            <w:vAlign w:val="center"/>
          </w:tcPr>
          <w:p>
            <w:pPr>
              <w:pStyle w:val="TableContents"/>
              <w:bidi w:val="0"/>
              <w:spacing w:before="0" w:after="283"/>
              <w:jc w:val="left"/>
              <w:rPr/>
            </w:pPr>
            <w:r>
              <w:rPr>
                <w:rStyle w:val="SourceText"/>
              </w:rPr>
              <w:t>databricks bundle deploy</w:t>
            </w:r>
          </w:p>
        </w:tc>
        <w:tc>
          <w:tcPr>
            <w:tcW w:w="5272" w:type="dxa"/>
            <w:tcBorders/>
            <w:vAlign w:val="center"/>
          </w:tcPr>
          <w:p>
            <w:pPr>
              <w:pStyle w:val="TableContents"/>
              <w:bidi w:val="0"/>
              <w:spacing w:before="0" w:after="283"/>
              <w:jc w:val="left"/>
              <w:rPr/>
            </w:pPr>
            <w:r>
              <w:rPr/>
              <w:t>Uploads your code and creates/updates the jobs &amp; pipelines defined in the bundle. The workhorse command.</w:t>
            </w:r>
          </w:p>
        </w:tc>
        <w:tc>
          <w:tcPr>
            <w:tcW w:w="1622" w:type="dxa"/>
            <w:tcBorders/>
            <w:vAlign w:val="center"/>
          </w:tcPr>
          <w:p>
            <w:pPr>
              <w:pStyle w:val="TableContents"/>
              <w:bidi w:val="0"/>
              <w:spacing w:before="0" w:after="283"/>
              <w:jc w:val="left"/>
              <w:rPr/>
            </w:pPr>
            <w:r>
              <w:rPr/>
              <w:t>Every time code changes</w:t>
            </w:r>
          </w:p>
        </w:tc>
      </w:tr>
      <w:tr>
        <w:trPr/>
        <w:tc>
          <w:tcPr>
            <w:tcW w:w="2088" w:type="dxa"/>
            <w:tcBorders/>
            <w:vAlign w:val="center"/>
          </w:tcPr>
          <w:p>
            <w:pPr>
              <w:pStyle w:val="TableContents"/>
              <w:bidi w:val="0"/>
              <w:spacing w:before="0" w:after="283"/>
              <w:jc w:val="left"/>
              <w:rPr/>
            </w:pPr>
            <w:r>
              <w:rPr>
                <w:rStyle w:val="SourceText"/>
              </w:rPr>
              <w:t>databricks bundle run</w:t>
            </w:r>
          </w:p>
        </w:tc>
        <w:tc>
          <w:tcPr>
            <w:tcW w:w="5272" w:type="dxa"/>
            <w:tcBorders/>
            <w:vAlign w:val="center"/>
          </w:tcPr>
          <w:p>
            <w:pPr>
              <w:pStyle w:val="TableContents"/>
              <w:bidi w:val="0"/>
              <w:spacing w:before="0" w:after="283"/>
              <w:jc w:val="left"/>
              <w:rPr/>
            </w:pPr>
            <w:r>
              <w:rPr/>
              <w:t>Triggers a job/pipeline from the terminal and streams status back.</w:t>
            </w:r>
          </w:p>
        </w:tc>
        <w:tc>
          <w:tcPr>
            <w:tcW w:w="1622" w:type="dxa"/>
            <w:tcBorders/>
            <w:vAlign w:val="center"/>
          </w:tcPr>
          <w:p>
            <w:pPr>
              <w:pStyle w:val="TableContents"/>
              <w:bidi w:val="0"/>
              <w:spacing w:before="0" w:after="283"/>
              <w:jc w:val="left"/>
              <w:rPr/>
            </w:pPr>
            <w:r>
              <w:rPr/>
              <w:t>Testing runs</w:t>
            </w:r>
          </w:p>
        </w:tc>
      </w:tr>
    </w:tbl>
    <w:p>
      <w:pPr>
        <w:pStyle w:val="BodyText"/>
        <w:bidi w:val="0"/>
        <w:jc w:val="left"/>
        <w:rPr/>
      </w:pPr>
      <w:r>
        <w:rPr/>
        <w:t xml:space="preserve">The development loop this enables: </w:t>
      </w:r>
      <w:r>
        <w:rPr>
          <w:rStyle w:val="Strong"/>
        </w:rPr>
        <w:t xml:space="preserve">edit in VS Code → commit to git → </w:t>
      </w:r>
      <w:r>
        <w:rPr>
          <w:rStyle w:val="SourceText"/>
        </w:rPr>
        <w:t>bundle deploy</w:t>
      </w:r>
      <w:r>
        <w:rPr>
          <w:rStyle w:val="Strong"/>
        </w:rPr>
        <w:t xml:space="preserve"> → </w:t>
      </w:r>
      <w:r>
        <w:rPr>
          <w:rStyle w:val="SourceText"/>
        </w:rPr>
        <w:t>bundle run</w:t>
      </w:r>
      <w:r>
        <w:rPr>
          <w:rStyle w:val="Strong"/>
        </w:rPr>
        <w:t xml:space="preserve"> → check results</w:t>
      </w:r>
      <w:r>
        <w:rPr/>
        <w:t xml:space="preserve">. Later, CI can even run </w:t>
      </w:r>
      <w:r>
        <w:rPr>
          <w:rStyle w:val="SourceText"/>
        </w:rPr>
        <w:t>bundle deploy</w:t>
      </w:r>
      <w:r>
        <w:rPr/>
        <w:t xml:space="preserve"> automatically — that's real CI/CD for data pipelines.</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02 — Learning Roadmap </w:t>
      </w:r>
      <w:r>
        <w:rPr>
          <w:b w:val="false"/>
          <w:color w:val="FFFFFF"/>
        </w:rPr>
        <w:t>· July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Guiding principles</w:t>
      </w:r>
    </w:p>
    <w:p>
      <w:pPr>
        <w:pStyle w:val="BodyText"/>
        <w:bidi w:val="0"/>
        <w:spacing w:before="300" w:after="300"/>
        <w:ind w:hanging="0" w:left="300" w:right="300"/>
        <w:jc w:val="left"/>
        <w:rPr/>
      </w:pPr>
      <w:r>
        <w:rPr>
          <w:rStyle w:val="Strong"/>
          <w:bdr w:val="single" w:sz="2" w:space="12" w:color="000000"/>
        </w:rPr>
        <w:t>1. Data model first, ML last.</w:t>
      </w:r>
      <w:r>
        <w:rPr>
          <w:bdr w:val="single" w:sz="2" w:space="12" w:color="000000"/>
        </w:rPr>
        <w:t xml:space="preserve"> Bronze → silver → gold is the real project; the fraud model is the payoff chapter that proves the pipeline delivers something usable.</w:t>
      </w:r>
    </w:p>
    <w:p>
      <w:pPr>
        <w:pStyle w:val="BodyText"/>
        <w:bidi w:val="0"/>
        <w:spacing w:before="300" w:after="300"/>
        <w:ind w:hanging="0" w:left="300" w:right="300"/>
        <w:jc w:val="left"/>
        <w:rPr/>
      </w:pPr>
      <w:r>
        <w:rPr>
          <w:rStyle w:val="Strong"/>
          <w:bdr w:val="single" w:sz="2" w:space="12" w:color="000000"/>
        </w:rPr>
        <w:t>2. Medium data to build, big data to optimize.</w:t>
      </w:r>
      <w:r>
        <w:rPr>
          <w:bdr w:val="single" w:sz="2" w:space="12" w:color="000000"/>
        </w:rPr>
        <w:t xml:space="preserve"> Start on ~1M rows so mistakes cost seconds; scale up only when it's time to feel (and fix) slow queries.</w:t>
      </w:r>
    </w:p>
    <w:p>
      <w:pPr>
        <w:pStyle w:val="BodyText"/>
        <w:bidi w:val="0"/>
        <w:spacing w:before="300" w:after="300"/>
        <w:ind w:hanging="0" w:left="300" w:right="300"/>
        <w:jc w:val="left"/>
        <w:rPr/>
      </w:pPr>
      <w:r>
        <w:rPr>
          <w:rStyle w:val="Strong"/>
          <w:bdr w:val="single" w:sz="2" w:space="12" w:color="000000"/>
        </w:rPr>
        <w:t>3. One new concept per phase.</w:t>
      </w:r>
      <w:r>
        <w:rPr>
          <w:bdr w:val="single" w:sz="2" w:space="12" w:color="000000"/>
        </w:rPr>
        <w:t xml:space="preserve"> Formats, streaming, and optimization arrive one at a time — never overwhelming, always compounding.</w:t>
      </w:r>
    </w:p>
    <w:p>
      <w:pPr>
        <w:pStyle w:val="BodyText"/>
        <w:bidi w:val="0"/>
        <w:spacing w:before="300" w:after="300"/>
        <w:ind w:hanging="0" w:left="300" w:right="300"/>
        <w:jc w:val="left"/>
        <w:rPr/>
      </w:pPr>
      <w:r>
        <w:rPr>
          <w:rStyle w:val="Strong"/>
          <w:bdr w:val="single" w:sz="2" w:space="12" w:color="000000"/>
        </w:rPr>
        <w:t>4. Every phase ends the same way:</w:t>
      </w:r>
      <w:r>
        <w:rPr>
          <w:bdr w:val="single" w:sz="2" w:space="12" w:color="000000"/>
        </w:rPr>
        <w:t xml:space="preserve"> commit + push, CI green, note appended to this file.</w:t>
      </w:r>
    </w:p>
    <w:p>
      <w:pPr>
        <w:pStyle w:val="Heading2"/>
        <w:bidi w:val="0"/>
        <w:ind w:hanging="0"/>
        <w:jc w:val="left"/>
        <w:rPr/>
      </w:pPr>
      <w:r>
        <w:rPr/>
        <w:t>Dataset decision</w:t>
      </w:r>
    </w:p>
    <w:p>
      <w:pPr>
        <w:pStyle w:val="BodyText"/>
        <w:bidi w:val="0"/>
        <w:jc w:val="left"/>
        <w:rPr/>
      </w:pPr>
      <w:r>
        <w:rPr>
          <w:rStyle w:val="Strong"/>
        </w:rPr>
        <w:t>PaySim</w:t>
      </w:r>
      <w:r>
        <w:rPr/>
        <w:t xml:space="preserve"> (Kaggle) — ~6.3M simulated mobile-money transactions modeled on real financial logs. Chosen because its columns are human-readable (type, amount, sender, receiver, balances), it carries real fraud labels for the ML phase, and its </w:t>
      </w:r>
      <w:r>
        <w:rPr>
          <w:rStyle w:val="SourceText"/>
        </w:rPr>
        <w:t>step</w:t>
      </w:r>
      <w:r>
        <w:rPr/>
        <w:t xml:space="preserve"> column (1 step = 1 hour of simulated time) lets us split one static file into hourly/daily arrivals — real data, but arriving like production data would.</w:t>
      </w:r>
    </w:p>
    <w:p>
      <w:pPr>
        <w:pStyle w:val="BodyText"/>
        <w:bidi w:val="0"/>
        <w:jc w:val="left"/>
        <w:rPr/>
      </w:pPr>
      <w:r>
        <w:rPr/>
        <w:t>Rejected alternatives: IEEE-CIS and ULB Credit Card (PCA-anonymized columns — can't practice data modeling on meaningless features); Bank Account Fraud NeurIPS (restrictive license).</w:t>
      </w:r>
    </w:p>
    <w:p>
      <w:pPr>
        <w:pStyle w:val="Heading2"/>
        <w:bidi w:val="0"/>
        <w:jc w:val="left"/>
        <w:rPr/>
      </w:pPr>
      <w:r>
        <w:rPr/>
        <w:t>The five phases</w:t>
      </w:r>
    </w:p>
    <w:p>
      <w:pPr>
        <w:pStyle w:val="Heading3"/>
        <w:bidi w:val="0"/>
        <w:spacing w:before="360" w:after="360"/>
        <w:ind w:hanging="0" w:left="360" w:right="360"/>
        <w:jc w:val="left"/>
        <w:rPr>
          <w:bdr w:val="single" w:sz="2" w:space="15" w:color="000000"/>
        </w:rPr>
      </w:pPr>
      <w:r>
        <w:rPr>
          <w:bdr w:val="single" w:sz="2" w:space="15" w:color="000000"/>
        </w:rPr>
        <w:t xml:space="preserve">Phase 1 — Base data model </w:t>
      </w:r>
      <w:r>
        <w:rPr>
          <w:b w:val="false"/>
          <w:bdr w:val="single" w:sz="2" w:space="15" w:color="000000"/>
        </w:rPr>
        <w:t>(batch · CSV · ~1M rows)</w:t>
      </w:r>
    </w:p>
    <w:p>
      <w:pPr>
        <w:pStyle w:val="BodyText"/>
        <w:bidi w:val="0"/>
        <w:spacing w:before="360" w:after="360"/>
        <w:ind w:hanging="0" w:left="360" w:right="360"/>
        <w:jc w:val="left"/>
        <w:rPr/>
      </w:pPr>
      <w:r>
        <w:rPr>
          <w:bdr w:val="single" w:sz="2" w:space="15" w:color="000000"/>
        </w:rPr>
        <w:t xml:space="preserve">Slice PaySim into daily CSV batches in a landing volume. Build the full medallion: bronze ingestion, silver cleaning transforms as tested Python functions in </w:t>
      </w:r>
      <w:r>
        <w:rPr>
          <w:rStyle w:val="SourceText"/>
          <w:bdr w:val="single" w:sz="2" w:space="15" w:color="000000"/>
        </w:rPr>
        <w:t>src/</w:t>
      </w:r>
      <w:r>
        <w:rPr>
          <w:bdr w:val="single" w:sz="2" w:space="15" w:color="000000"/>
        </w:rPr>
        <w:t>, quality expectations with quarantine (bad rows kept, not dropped), gold aggregates.</w:t>
      </w:r>
    </w:p>
    <w:p>
      <w:pPr>
        <w:pStyle w:val="BodyText"/>
        <w:bidi w:val="0"/>
        <w:spacing w:before="360" w:after="360"/>
        <w:ind w:hanging="0" w:left="360" w:right="360"/>
        <w:jc w:val="left"/>
        <w:rPr/>
      </w:pPr>
      <w:r>
        <w:rPr>
          <w:rStyle w:val="Strong"/>
          <w:bdr w:val="single" w:sz="2" w:space="15" w:color="000000"/>
        </w:rPr>
        <w:t>Ingestion is learned by hand first — a ladder where each rung solves the previous rung's problem:</w:t>
      </w:r>
    </w:p>
    <w:tbl>
      <w:tblPr>
        <w:tblW w:w="8262" w:type="dxa"/>
        <w:jc w:val="left"/>
        <w:tblInd w:w="388" w:type="dxa"/>
        <w:tblLayout w:type="fixed"/>
        <w:tblCellMar>
          <w:top w:w="28" w:type="dxa"/>
          <w:left w:w="28" w:type="dxa"/>
          <w:bottom w:w="28" w:type="dxa"/>
          <w:right w:w="28" w:type="dxa"/>
        </w:tblCellMar>
      </w:tblPr>
      <w:tblGrid>
        <w:gridCol w:w="837"/>
        <w:gridCol w:w="1950"/>
        <w:gridCol w:w="5475"/>
      </w:tblGrid>
      <w:tr>
        <w:trPr/>
        <w:tc>
          <w:tcPr>
            <w:tcW w:w="837" w:type="dxa"/>
            <w:tcBorders/>
            <w:vAlign w:val="center"/>
          </w:tcPr>
          <w:p>
            <w:pPr>
              <w:pStyle w:val="TableHeading"/>
              <w:suppressLineNumbers/>
              <w:bidi w:val="0"/>
              <w:spacing w:before="0" w:after="283"/>
              <w:jc w:val="left"/>
              <w:rPr/>
            </w:pPr>
            <w:r>
              <w:rPr/>
              <w:t>Rung</w:t>
            </w:r>
          </w:p>
        </w:tc>
        <w:tc>
          <w:tcPr>
            <w:tcW w:w="1950" w:type="dxa"/>
            <w:tcBorders/>
            <w:vAlign w:val="center"/>
          </w:tcPr>
          <w:p>
            <w:pPr>
              <w:pStyle w:val="TableHeading"/>
              <w:suppressLineNumbers/>
              <w:bidi w:val="0"/>
              <w:spacing w:before="0" w:after="283"/>
              <w:jc w:val="left"/>
              <w:rPr/>
            </w:pPr>
            <w:r>
              <w:rPr/>
              <w:t>Method</w:t>
            </w:r>
          </w:p>
        </w:tc>
        <w:tc>
          <w:tcPr>
            <w:tcW w:w="5475" w:type="dxa"/>
            <w:tcBorders/>
            <w:vAlign w:val="center"/>
          </w:tcPr>
          <w:p>
            <w:pPr>
              <w:pStyle w:val="TableHeading"/>
              <w:suppressLineNumbers/>
              <w:bidi w:val="0"/>
              <w:spacing w:before="0" w:after="283"/>
              <w:jc w:val="left"/>
              <w:rPr/>
            </w:pPr>
            <w:r>
              <w:rPr/>
              <w:t>The lesson</w:t>
            </w:r>
          </w:p>
        </w:tc>
      </w:tr>
      <w:tr>
        <w:trPr/>
        <w:tc>
          <w:tcPr>
            <w:tcW w:w="837" w:type="dxa"/>
            <w:tcBorders/>
            <w:vAlign w:val="center"/>
          </w:tcPr>
          <w:p>
            <w:pPr>
              <w:pStyle w:val="TableContents"/>
              <w:bidi w:val="0"/>
              <w:spacing w:before="0" w:after="283"/>
              <w:jc w:val="left"/>
              <w:rPr/>
            </w:pPr>
            <w:r>
              <w:rPr/>
              <w:t>1</w:t>
            </w:r>
          </w:p>
        </w:tc>
        <w:tc>
          <w:tcPr>
            <w:tcW w:w="1950" w:type="dxa"/>
            <w:tcBorders/>
            <w:vAlign w:val="center"/>
          </w:tcPr>
          <w:p>
            <w:pPr>
              <w:pStyle w:val="TableContents"/>
              <w:bidi w:val="0"/>
              <w:spacing w:before="0" w:after="283"/>
              <w:jc w:val="left"/>
              <w:rPr/>
            </w:pPr>
            <w:r>
              <w:rPr/>
              <w:t xml:space="preserve">Plain </w:t>
            </w:r>
            <w:r>
              <w:rPr>
                <w:rStyle w:val="SourceText"/>
              </w:rPr>
              <w:t>spark.read</w:t>
            </w:r>
            <w:r>
              <w:rPr/>
              <w:t xml:space="preserve"> + append</w:t>
            </w:r>
          </w:p>
        </w:tc>
        <w:tc>
          <w:tcPr>
            <w:tcW w:w="5475" w:type="dxa"/>
            <w:tcBorders/>
            <w:vAlign w:val="center"/>
          </w:tcPr>
          <w:p>
            <w:pPr>
              <w:pStyle w:val="TableContents"/>
              <w:bidi w:val="0"/>
              <w:spacing w:before="0" w:after="283"/>
              <w:jc w:val="left"/>
              <w:rPr/>
            </w:pPr>
            <w:r>
              <w:rPr/>
              <w:t>Run it twice → duplicates. Ingestion has no memory of what's been processed.</w:t>
            </w:r>
          </w:p>
        </w:tc>
      </w:tr>
      <w:tr>
        <w:trPr/>
        <w:tc>
          <w:tcPr>
            <w:tcW w:w="837" w:type="dxa"/>
            <w:tcBorders/>
            <w:vAlign w:val="center"/>
          </w:tcPr>
          <w:p>
            <w:pPr>
              <w:pStyle w:val="TableContents"/>
              <w:bidi w:val="0"/>
              <w:spacing w:before="0" w:after="283"/>
              <w:jc w:val="left"/>
              <w:rPr/>
            </w:pPr>
            <w:r>
              <w:rPr/>
              <w:t>2</w:t>
            </w:r>
          </w:p>
        </w:tc>
        <w:tc>
          <w:tcPr>
            <w:tcW w:w="1950" w:type="dxa"/>
            <w:tcBorders/>
            <w:vAlign w:val="center"/>
          </w:tcPr>
          <w:p>
            <w:pPr>
              <w:pStyle w:val="TableContents"/>
              <w:bidi w:val="0"/>
              <w:spacing w:before="0" w:after="283"/>
              <w:jc w:val="left"/>
              <w:rPr/>
            </w:pPr>
            <w:r>
              <w:rPr/>
              <w:t>Hand-rolled incremental</w:t>
            </w:r>
          </w:p>
        </w:tc>
        <w:tc>
          <w:tcPr>
            <w:tcW w:w="5475" w:type="dxa"/>
            <w:tcBorders/>
            <w:vAlign w:val="center"/>
          </w:tcPr>
          <w:p>
            <w:pPr>
              <w:pStyle w:val="TableContents"/>
              <w:bidi w:val="0"/>
              <w:spacing w:before="0" w:after="283"/>
              <w:jc w:val="left"/>
              <w:rPr/>
            </w:pPr>
            <w:r>
              <w:rPr/>
              <w:t xml:space="preserve">Fix it yourself: a log table tracking processed files, ingest only new ones, </w:t>
            </w:r>
            <w:r>
              <w:rPr>
                <w:rStyle w:val="SourceText"/>
              </w:rPr>
              <w:t>MERGE</w:t>
            </w:r>
            <w:r>
              <w:rPr/>
              <w:t xml:space="preserve"> for idempotent writes. This is the core logic Auto Loader automates — checkpointing, exactly-once, dedup — built by hand.</w:t>
            </w:r>
          </w:p>
        </w:tc>
      </w:tr>
      <w:tr>
        <w:trPr/>
        <w:tc>
          <w:tcPr>
            <w:tcW w:w="837" w:type="dxa"/>
            <w:tcBorders/>
            <w:vAlign w:val="center"/>
          </w:tcPr>
          <w:p>
            <w:pPr>
              <w:pStyle w:val="TableContents"/>
              <w:bidi w:val="0"/>
              <w:spacing w:before="0" w:after="283"/>
              <w:jc w:val="left"/>
              <w:rPr/>
            </w:pPr>
            <w:r>
              <w:rPr/>
              <w:t>3</w:t>
            </w:r>
          </w:p>
        </w:tc>
        <w:tc>
          <w:tcPr>
            <w:tcW w:w="1950" w:type="dxa"/>
            <w:tcBorders/>
            <w:vAlign w:val="center"/>
          </w:tcPr>
          <w:p>
            <w:pPr>
              <w:pStyle w:val="TableContents"/>
              <w:bidi w:val="0"/>
              <w:spacing w:before="0" w:after="283"/>
              <w:jc w:val="left"/>
              <w:rPr/>
            </w:pPr>
            <w:r>
              <w:rPr>
                <w:rStyle w:val="SourceText"/>
              </w:rPr>
              <w:t>COPY INTO</w:t>
            </w:r>
          </w:p>
        </w:tc>
        <w:tc>
          <w:tcPr>
            <w:tcW w:w="5475" w:type="dxa"/>
            <w:tcBorders/>
            <w:vAlign w:val="center"/>
          </w:tcPr>
          <w:p>
            <w:pPr>
              <w:pStyle w:val="TableContents"/>
              <w:bidi w:val="0"/>
              <w:spacing w:before="0" w:after="283"/>
              <w:jc w:val="left"/>
              <w:rPr/>
            </w:pPr>
            <w:r>
              <w:rPr/>
              <w:t>Databricks' built-in SQL command that does the file tracking for you. Recognizable, because you just built it.</w:t>
            </w:r>
          </w:p>
        </w:tc>
      </w:tr>
      <w:tr>
        <w:trPr/>
        <w:tc>
          <w:tcPr>
            <w:tcW w:w="837" w:type="dxa"/>
            <w:tcBorders/>
            <w:vAlign w:val="center"/>
          </w:tcPr>
          <w:p>
            <w:pPr>
              <w:pStyle w:val="TableContents"/>
              <w:bidi w:val="0"/>
              <w:spacing w:before="0" w:after="283"/>
              <w:jc w:val="left"/>
              <w:rPr/>
            </w:pPr>
            <w:r>
              <w:rPr/>
              <w:t>4</w:t>
            </w:r>
          </w:p>
        </w:tc>
        <w:tc>
          <w:tcPr>
            <w:tcW w:w="1950" w:type="dxa"/>
            <w:tcBorders/>
            <w:vAlign w:val="center"/>
          </w:tcPr>
          <w:p>
            <w:pPr>
              <w:pStyle w:val="TableContents"/>
              <w:bidi w:val="0"/>
              <w:spacing w:before="0" w:after="283"/>
              <w:jc w:val="left"/>
              <w:rPr/>
            </w:pPr>
            <w:r>
              <w:rPr/>
              <w:t xml:space="preserve">Auto Loader </w:t>
            </w:r>
            <w:r>
              <w:rPr>
                <w:rStyle w:val="Emphasis"/>
              </w:rPr>
              <w:t>(deferred to Phase 3)</w:t>
            </w:r>
          </w:p>
        </w:tc>
        <w:tc>
          <w:tcPr>
            <w:tcW w:w="5475" w:type="dxa"/>
            <w:tcBorders/>
            <w:vAlign w:val="center"/>
          </w:tcPr>
          <w:p>
            <w:pPr>
              <w:pStyle w:val="TableContents"/>
              <w:bidi w:val="0"/>
              <w:spacing w:before="0" w:after="283"/>
              <w:jc w:val="left"/>
              <w:rPr/>
            </w:pPr>
            <w:r>
              <w:rPr/>
              <w:t>Adds schema evolution and scales to millions of files. Not magic by then — just a better version of your rung-2 code.</w:t>
            </w:r>
          </w:p>
        </w:tc>
      </w:tr>
    </w:tbl>
    <w:p>
      <w:pPr>
        <w:pStyle w:val="BodyTextlearn"/>
        <w:bidi w:val="0"/>
        <w:spacing w:before="360" w:after="360"/>
        <w:ind w:hanging="0" w:left="360" w:right="360"/>
        <w:jc w:val="left"/>
        <w:rPr/>
      </w:pPr>
      <w:r>
        <w:rPr>
          <w:rStyle w:val="Strong"/>
          <w:bdr w:val="single" w:sz="2" w:space="15" w:color="000000"/>
        </w:rPr>
        <w:t>You learn:</w:t>
      </w:r>
      <w:r>
        <w:rPr>
          <w:bdr w:val="single" w:sz="2" w:space="15" w:color="000000"/>
        </w:rPr>
        <w:t xml:space="preserve"> Delta tables, medallion architecture, Unity Catalog volumes, idempotent ingestion logic, Lakeflow expectations, the edit → deploy → run loop.</w:t>
      </w:r>
    </w:p>
    <w:p>
      <w:pPr>
        <w:pStyle w:val="Heading3"/>
        <w:bidi w:val="0"/>
        <w:spacing w:before="360" w:after="360"/>
        <w:ind w:hanging="0" w:left="360" w:right="360"/>
        <w:jc w:val="left"/>
        <w:rPr>
          <w:bdr w:val="single" w:sz="2" w:space="15" w:color="000000"/>
        </w:rPr>
      </w:pPr>
      <w:r>
        <w:rPr>
          <w:bdr w:val="single" w:sz="2" w:space="15" w:color="000000"/>
        </w:rPr>
        <w:t xml:space="preserve">Phase 2 — File formats </w:t>
      </w:r>
      <w:r>
        <w:rPr>
          <w:b w:val="false"/>
          <w:bdr w:val="single" w:sz="2" w:space="15" w:color="000000"/>
        </w:rPr>
        <w:t>(JSON + Parquet join CSV)</w:t>
      </w:r>
    </w:p>
    <w:p>
      <w:pPr>
        <w:pStyle w:val="BodyText"/>
        <w:bidi w:val="0"/>
        <w:spacing w:before="360" w:after="360"/>
        <w:ind w:hanging="0" w:left="360" w:right="360"/>
        <w:jc w:val="left"/>
        <w:rPr>
          <w:bdr w:val="single" w:sz="2" w:space="15" w:color="000000"/>
        </w:rPr>
      </w:pPr>
      <w:r>
        <w:rPr>
          <w:bdr w:val="single" w:sz="2" w:space="15" w:color="000000"/>
        </w:rPr>
        <w:t>Pretend three source systems deliver differently: one sends CSV, one JSON, one Parquet. Convert further PaySim slices and extend bronze to ingest all three into the same tables. Pipeline logic barely changes — that's the lesson.</w:t>
      </w:r>
    </w:p>
    <w:p>
      <w:pPr>
        <w:pStyle w:val="BodyTextlearn"/>
        <w:bidi w:val="0"/>
        <w:spacing w:before="360" w:after="360"/>
        <w:ind w:hanging="0" w:left="360" w:right="360"/>
        <w:jc w:val="left"/>
        <w:rPr/>
      </w:pPr>
      <w:r>
        <w:rPr>
          <w:rStyle w:val="Strong"/>
          <w:bdr w:val="single" w:sz="2" w:space="15" w:color="000000"/>
        </w:rPr>
        <w:t>You learn:</w:t>
      </w:r>
      <w:r>
        <w:rPr>
          <w:bdr w:val="single" w:sz="2" w:space="15" w:color="000000"/>
        </w:rPr>
        <w:t xml:space="preserve"> schema handling per format, schema evolution, why Parquet is the columnar favorite.</w:t>
      </w:r>
    </w:p>
    <w:p>
      <w:pPr>
        <w:pStyle w:val="Heading3"/>
        <w:bidi w:val="0"/>
        <w:spacing w:before="360" w:after="360"/>
        <w:ind w:hanging="0" w:left="360" w:right="360"/>
        <w:jc w:val="left"/>
        <w:rPr>
          <w:bdr w:val="single" w:sz="2" w:space="15" w:color="000000"/>
        </w:rPr>
      </w:pPr>
      <w:r>
        <w:rPr>
          <w:bdr w:val="single" w:sz="2" w:space="15" w:color="000000"/>
        </w:rPr>
        <w:t xml:space="preserve">Phase 3 — Streaming </w:t>
      </w:r>
      <w:r>
        <w:rPr>
          <w:b w:val="false"/>
          <w:bdr w:val="single" w:sz="2" w:space="15" w:color="000000"/>
        </w:rPr>
        <w:t>(Auto Loader + AvailableNow)</w:t>
      </w:r>
    </w:p>
    <w:p>
      <w:pPr>
        <w:pStyle w:val="BodyText"/>
        <w:bidi w:val="0"/>
        <w:spacing w:before="360" w:after="360"/>
        <w:ind w:hanging="0" w:left="360" w:right="360"/>
        <w:jc w:val="left"/>
        <w:rPr>
          <w:bdr w:val="single" w:sz="2" w:space="15" w:color="000000"/>
        </w:rPr>
      </w:pPr>
      <w:r>
        <w:rPr>
          <w:bdr w:val="single" w:sz="2" w:space="15" w:color="000000"/>
        </w:rPr>
        <w:t>Same tables, new arrival mode. A drip-feed script drops files continuously; Auto Loader (rung 4 of the ingestion ladder) picks them up incrementally with exactly-once guarantees. A file-arrival trigger fires the job automatically when data lands.</w:t>
      </w:r>
    </w:p>
    <w:p>
      <w:pPr>
        <w:pStyle w:val="BodyTextlearn"/>
        <w:bidi w:val="0"/>
        <w:spacing w:before="360" w:after="360"/>
        <w:ind w:hanging="0" w:left="360" w:right="360"/>
        <w:jc w:val="left"/>
        <w:rPr/>
      </w:pPr>
      <w:r>
        <w:rPr>
          <w:rStyle w:val="Strong"/>
          <w:bdr w:val="single" w:sz="2" w:space="15" w:color="000000"/>
        </w:rPr>
        <w:t>You learn:</w:t>
      </w:r>
      <w:r>
        <w:rPr>
          <w:bdr w:val="single" w:sz="2" w:space="15" w:color="000000"/>
        </w:rPr>
        <w:t xml:space="preserve"> Structured Streaming, checkpoints, triggers, Auto Loader — and that batch vs streaming is almost the same code in Databricks.</w:t>
      </w:r>
    </w:p>
    <w:p>
      <w:pPr>
        <w:pStyle w:val="Heading3"/>
        <w:bidi w:val="0"/>
        <w:spacing w:before="360" w:after="360"/>
        <w:ind w:hanging="0" w:left="360" w:right="360"/>
        <w:jc w:val="left"/>
        <w:rPr>
          <w:bdr w:val="single" w:sz="2" w:space="15" w:color="000000"/>
        </w:rPr>
      </w:pPr>
      <w:r>
        <w:rPr>
          <w:bdr w:val="single" w:sz="2" w:space="15" w:color="000000"/>
        </w:rPr>
        <w:t xml:space="preserve">Phase 4 — Scale &amp; optimization </w:t>
      </w:r>
      <w:r>
        <w:rPr>
          <w:b w:val="false"/>
          <w:bdr w:val="single" w:sz="2" w:space="15" w:color="000000"/>
        </w:rPr>
        <w:t>(full 6.3M rows +)</w:t>
      </w:r>
    </w:p>
    <w:p>
      <w:pPr>
        <w:pStyle w:val="BodyText"/>
        <w:bidi w:val="0"/>
        <w:spacing w:before="360" w:after="360"/>
        <w:ind w:hanging="0" w:left="360" w:right="360"/>
        <w:jc w:val="left"/>
        <w:rPr/>
      </w:pPr>
      <w:r>
        <w:rPr>
          <w:bdr w:val="single" w:sz="2" w:space="15" w:color="000000"/>
        </w:rPr>
        <w:t xml:space="preserve">Load everything (and synthetically multiply if needed). Measure slow queries, then fix them: liquid clustering / partitioning, </w:t>
      </w:r>
      <w:r>
        <w:rPr>
          <w:rStyle w:val="SourceText"/>
          <w:bdr w:val="single" w:sz="2" w:space="15" w:color="000000"/>
        </w:rPr>
        <w:t>OPTIMIZE</w:t>
      </w:r>
      <w:r>
        <w:rPr>
          <w:bdr w:val="single" w:sz="2" w:space="15" w:color="000000"/>
        </w:rPr>
        <w:t xml:space="preserve">, incremental </w:t>
      </w:r>
      <w:r>
        <w:rPr>
          <w:rStyle w:val="SourceText"/>
          <w:bdr w:val="single" w:sz="2" w:space="15" w:color="000000"/>
        </w:rPr>
        <w:t>MERGE</w:t>
      </w:r>
      <w:r>
        <w:rPr>
          <w:bdr w:val="single" w:sz="2" w:space="15" w:color="000000"/>
        </w:rPr>
        <w:t xml:space="preserve"> instead of full rewrites.</w:t>
      </w:r>
    </w:p>
    <w:p>
      <w:pPr>
        <w:pStyle w:val="BodyTextlearn"/>
        <w:bidi w:val="0"/>
        <w:spacing w:before="360" w:after="360"/>
        <w:ind w:hanging="0" w:left="360" w:right="360"/>
        <w:jc w:val="left"/>
        <w:rPr/>
      </w:pPr>
      <w:r>
        <w:rPr>
          <w:rStyle w:val="Strong"/>
          <w:bdr w:val="single" w:sz="2" w:space="15" w:color="000000"/>
        </w:rPr>
        <w:t>You learn:</w:t>
      </w:r>
      <w:r>
        <w:rPr>
          <w:bdr w:val="single" w:sz="2" w:space="15" w:color="000000"/>
        </w:rPr>
        <w:t xml:space="preserve"> Delta performance tuning, file compaction, incremental upserts — with data big enough to feel the difference.</w:t>
      </w:r>
    </w:p>
    <w:p>
      <w:pPr>
        <w:pStyle w:val="Heading3"/>
        <w:bidi w:val="0"/>
        <w:spacing w:before="360" w:after="360"/>
        <w:ind w:hanging="0" w:left="360" w:right="360"/>
        <w:jc w:val="left"/>
        <w:rPr>
          <w:bdr w:val="single" w:sz="2" w:space="15" w:color="000000"/>
        </w:rPr>
      </w:pPr>
      <w:r>
        <w:rPr>
          <w:bdr w:val="single" w:sz="2" w:space="15" w:color="000000"/>
        </w:rPr>
        <w:t xml:space="preserve">Phase 5 — ML &amp; automation </w:t>
      </w:r>
      <w:r>
        <w:rPr>
          <w:b w:val="false"/>
          <w:bdr w:val="single" w:sz="2" w:space="15" w:color="000000"/>
        </w:rPr>
        <w:t>(MLflow fraud model)</w:t>
      </w:r>
    </w:p>
    <w:p>
      <w:pPr>
        <w:pStyle w:val="BodyText"/>
        <w:bidi w:val="0"/>
        <w:spacing w:before="360" w:after="360"/>
        <w:ind w:hanging="0" w:left="360" w:right="360"/>
        <w:jc w:val="left"/>
        <w:rPr>
          <w:bdr w:val="single" w:sz="2" w:space="15" w:color="000000"/>
        </w:rPr>
      </w:pPr>
      <w:r>
        <w:rPr>
          <w:bdr w:val="single" w:sz="2" w:space="15" w:color="000000"/>
        </w:rPr>
        <w:t>Train the fraud model on gold-layer features, track experiments with MLflow, and automate data-quality monitoring. The smallest phase — the gold features are what made it possible.</w:t>
      </w:r>
    </w:p>
    <w:p>
      <w:pPr>
        <w:pStyle w:val="BodyTextlearn"/>
        <w:bidi w:val="0"/>
        <w:spacing w:before="360" w:after="360"/>
        <w:ind w:hanging="0" w:left="360" w:right="360"/>
        <w:jc w:val="left"/>
        <w:rPr/>
      </w:pPr>
      <w:r>
        <w:rPr>
          <w:rStyle w:val="Strong"/>
          <w:bdr w:val="single" w:sz="2" w:space="15" w:color="000000"/>
        </w:rPr>
        <w:t>You learn:</w:t>
      </w:r>
      <w:r>
        <w:rPr>
          <w:bdr w:val="single" w:sz="2" w:space="15" w:color="000000"/>
        </w:rPr>
        <w:t xml:space="preserve"> MLflow tracking, feature engineering from gold tables, quality automation.</w:t>
      </w:r>
    </w:p>
    <w:p>
      <w:pPr>
        <w:pStyle w:val="Heading2"/>
        <w:bidi w:val="0"/>
        <w:ind w:hanging="0"/>
        <w:jc w:val="left"/>
        <w:rPr/>
      </w:pPr>
      <w:r>
        <w:rPr/>
        <w:t>Platform decisions (and why)</w:t>
      </w:r>
    </w:p>
    <w:tbl>
      <w:tblPr>
        <w:tblW w:w="8982" w:type="dxa"/>
        <w:jc w:val="left"/>
        <w:tblInd w:w="28" w:type="dxa"/>
        <w:tblLayout w:type="fixed"/>
        <w:tblCellMar>
          <w:top w:w="28" w:type="dxa"/>
          <w:left w:w="28" w:type="dxa"/>
          <w:bottom w:w="28" w:type="dxa"/>
          <w:right w:w="28" w:type="dxa"/>
        </w:tblCellMar>
      </w:tblPr>
      <w:tblGrid>
        <w:gridCol w:w="2112"/>
        <w:gridCol w:w="6870"/>
      </w:tblGrid>
      <w:tr>
        <w:trPr/>
        <w:tc>
          <w:tcPr>
            <w:tcW w:w="2112" w:type="dxa"/>
            <w:tcBorders/>
            <w:vAlign w:val="center"/>
          </w:tcPr>
          <w:p>
            <w:pPr>
              <w:pStyle w:val="TableHeading"/>
              <w:suppressLineNumbers/>
              <w:bidi w:val="0"/>
              <w:spacing w:before="0" w:after="283"/>
              <w:jc w:val="left"/>
              <w:rPr/>
            </w:pPr>
            <w:r>
              <w:rPr/>
              <w:t>Decision</w:t>
            </w:r>
          </w:p>
        </w:tc>
        <w:tc>
          <w:tcPr>
            <w:tcW w:w="6870" w:type="dxa"/>
            <w:tcBorders/>
            <w:vAlign w:val="center"/>
          </w:tcPr>
          <w:p>
            <w:pPr>
              <w:pStyle w:val="TableHeading"/>
              <w:suppressLineNumbers/>
              <w:bidi w:val="0"/>
              <w:spacing w:before="0" w:after="283"/>
              <w:jc w:val="left"/>
              <w:rPr/>
            </w:pPr>
            <w:r>
              <w:rPr/>
              <w:t>Reasoning</w:t>
            </w:r>
          </w:p>
        </w:tc>
      </w:tr>
      <w:tr>
        <w:trPr/>
        <w:tc>
          <w:tcPr>
            <w:tcW w:w="2112" w:type="dxa"/>
            <w:tcBorders/>
            <w:vAlign w:val="center"/>
          </w:tcPr>
          <w:p>
            <w:pPr>
              <w:pStyle w:val="TableContents"/>
              <w:bidi w:val="0"/>
              <w:spacing w:before="0" w:after="283"/>
              <w:jc w:val="left"/>
              <w:rPr/>
            </w:pPr>
            <w:r>
              <w:rPr/>
              <w:t xml:space="preserve">Databricks </w:t>
            </w:r>
            <w:r>
              <w:rPr>
                <w:rStyle w:val="Strong"/>
              </w:rPr>
              <w:t>Free Edition</w:t>
            </w:r>
            <w:r>
              <w:rPr/>
              <w:t>, not the Azure 14-day trial</w:t>
            </w:r>
          </w:p>
        </w:tc>
        <w:tc>
          <w:tcPr>
            <w:tcW w:w="6870" w:type="dxa"/>
            <w:tcBorders/>
            <w:vAlign w:val="center"/>
          </w:tcPr>
          <w:p>
            <w:pPr>
              <w:pStyle w:val="TableContents"/>
              <w:bidi w:val="0"/>
              <w:spacing w:before="0" w:after="283"/>
              <w:jc w:val="left"/>
              <w:rPr/>
            </w:pPr>
            <w:r>
              <w:rPr/>
              <w:t>No clock, no cost. The Azure trial gives free DBUs but VMs still bill against the $50 credit — it would evaporate in days and pressure a rushed pace.</w:t>
            </w:r>
          </w:p>
        </w:tc>
      </w:tr>
      <w:tr>
        <w:trPr/>
        <w:tc>
          <w:tcPr>
            <w:tcW w:w="2112" w:type="dxa"/>
            <w:tcBorders/>
            <w:vAlign w:val="center"/>
          </w:tcPr>
          <w:p>
            <w:pPr>
              <w:pStyle w:val="TableContents"/>
              <w:bidi w:val="0"/>
              <w:spacing w:before="0" w:after="283"/>
              <w:jc w:val="left"/>
              <w:rPr/>
            </w:pPr>
            <w:r>
              <w:rPr/>
              <w:t>Auto Loader is fine on Free Edition</w:t>
            </w:r>
          </w:p>
        </w:tc>
        <w:tc>
          <w:tcPr>
            <w:tcW w:w="6870" w:type="dxa"/>
            <w:tcBorders/>
            <w:vAlign w:val="center"/>
          </w:tcPr>
          <w:p>
            <w:pPr>
              <w:pStyle w:val="TableContents"/>
              <w:bidi w:val="0"/>
              <w:spacing w:before="0" w:after="283"/>
              <w:jc w:val="left"/>
              <w:rPr/>
            </w:pPr>
            <w:r>
              <w:rPr/>
              <w:t>It's a built-in feature (</w:t>
            </w:r>
            <w:r>
              <w:rPr>
                <w:rStyle w:val="SourceText"/>
              </w:rPr>
              <w:t>cloudFiles</w:t>
            </w:r>
            <w:r>
              <w:rPr/>
              <w:t xml:space="preserve">), not a paid add-on. Serverless supports it with </w:t>
            </w:r>
            <w:r>
              <w:rPr>
                <w:rStyle w:val="SourceText"/>
              </w:rPr>
              <w:t>Trigger.AvailableNow()</w:t>
            </w:r>
            <w:r>
              <w:rPr/>
              <w:t>: wake → process everything new since last checkpoint → shut down. Paired with file-arrival triggers, that's real streaming architecture at zero cost.</w:t>
            </w:r>
          </w:p>
        </w:tc>
      </w:tr>
      <w:tr>
        <w:trPr/>
        <w:tc>
          <w:tcPr>
            <w:tcW w:w="2112" w:type="dxa"/>
            <w:tcBorders/>
            <w:vAlign w:val="center"/>
          </w:tcPr>
          <w:p>
            <w:pPr>
              <w:pStyle w:val="TableContents"/>
              <w:bidi w:val="0"/>
              <w:spacing w:before="0" w:after="283"/>
              <w:jc w:val="left"/>
              <w:rPr/>
            </w:pPr>
            <w:r>
              <w:rPr/>
              <w:t>Always-on continuous streaming: skipped</w:t>
            </w:r>
          </w:p>
        </w:tc>
        <w:tc>
          <w:tcPr>
            <w:tcW w:w="6870" w:type="dxa"/>
            <w:tcBorders/>
            <w:vAlign w:val="center"/>
          </w:tcPr>
          <w:p>
            <w:pPr>
              <w:pStyle w:val="TableContents"/>
              <w:bidi w:val="0"/>
              <w:spacing w:before="0" w:after="283"/>
              <w:jc w:val="left"/>
              <w:rPr/>
            </w:pPr>
            <w:r>
              <w:rPr/>
              <w:t>Would burn Free Edition quotas; cost-conscious real teams use AvailableNow + triggers anyway.</w:t>
            </w:r>
          </w:p>
        </w:tc>
      </w:tr>
      <w:tr>
        <w:trPr/>
        <w:tc>
          <w:tcPr>
            <w:tcW w:w="2112" w:type="dxa"/>
            <w:tcBorders/>
            <w:vAlign w:val="center"/>
          </w:tcPr>
          <w:p>
            <w:pPr>
              <w:pStyle w:val="TableContents"/>
              <w:bidi w:val="0"/>
              <w:spacing w:before="0" w:after="283"/>
              <w:jc w:val="left"/>
              <w:rPr/>
            </w:pPr>
            <w:r>
              <w:rPr/>
              <w:t>$50 Azure credit: reserved</w:t>
            </w:r>
          </w:p>
        </w:tc>
        <w:tc>
          <w:tcPr>
            <w:tcW w:w="6870" w:type="dxa"/>
            <w:tcBorders/>
            <w:vAlign w:val="center"/>
          </w:tcPr>
          <w:p>
            <w:pPr>
              <w:pStyle w:val="TableContents"/>
              <w:bidi w:val="0"/>
              <w:spacing w:before="0" w:after="283"/>
              <w:jc w:val="left"/>
              <w:rPr/>
            </w:pPr>
            <w:r>
              <w:rPr/>
              <w:t>Optional later phase — land raw files in ADLS (pennies) so the project legitimately touches Azure without burning credit on compute.</w:t>
            </w:r>
          </w:p>
        </w:tc>
      </w:tr>
    </w:tbl>
    <w:p>
      <w:pPr>
        <w:pStyle w:val="Heading2"/>
        <w:bidi w:val="0"/>
        <w:jc w:val="left"/>
        <w:rPr/>
      </w:pPr>
      <w:r>
        <w:rPr/>
        <w:t>Where we are</w:t>
      </w:r>
    </w:p>
    <w:tbl>
      <w:tblPr>
        <w:tblW w:w="7450" w:type="dxa"/>
        <w:jc w:val="left"/>
        <w:tblInd w:w="28" w:type="dxa"/>
        <w:tblLayout w:type="fixed"/>
        <w:tblCellMar>
          <w:top w:w="28" w:type="dxa"/>
          <w:left w:w="28" w:type="dxa"/>
          <w:bottom w:w="28" w:type="dxa"/>
          <w:right w:w="28" w:type="dxa"/>
        </w:tblCellMar>
      </w:tblPr>
      <w:tblGrid>
        <w:gridCol w:w="6143"/>
        <w:gridCol w:w="1307"/>
      </w:tblGrid>
      <w:tr>
        <w:trPr/>
        <w:tc>
          <w:tcPr>
            <w:tcW w:w="6143" w:type="dxa"/>
            <w:tcBorders/>
            <w:vAlign w:val="center"/>
          </w:tcPr>
          <w:p>
            <w:pPr>
              <w:pStyle w:val="TableHeading"/>
              <w:suppressLineNumbers/>
              <w:bidi w:val="0"/>
              <w:spacing w:before="0" w:after="283"/>
              <w:jc w:val="left"/>
              <w:rPr/>
            </w:pPr>
            <w:r>
              <w:rPr/>
              <w:t>Milestone</w:t>
            </w:r>
          </w:p>
        </w:tc>
        <w:tc>
          <w:tcPr>
            <w:tcW w:w="1307" w:type="dxa"/>
            <w:tcBorders/>
            <w:vAlign w:val="center"/>
          </w:tcPr>
          <w:p>
            <w:pPr>
              <w:pStyle w:val="TableHeading"/>
              <w:suppressLineNumbers/>
              <w:bidi w:val="0"/>
              <w:spacing w:before="0" w:after="283"/>
              <w:jc w:val="left"/>
              <w:rPr/>
            </w:pPr>
            <w:r>
              <w:rPr/>
              <w:t>Status</w:t>
            </w:r>
          </w:p>
        </w:tc>
      </w:tr>
      <w:tr>
        <w:trPr/>
        <w:tc>
          <w:tcPr>
            <w:tcW w:w="6143" w:type="dxa"/>
            <w:tcBorders/>
            <w:vAlign w:val="center"/>
          </w:tcPr>
          <w:p>
            <w:pPr>
              <w:pStyle w:val="TableContents"/>
              <w:bidi w:val="0"/>
              <w:spacing w:before="0" w:after="283"/>
              <w:ind w:hanging="0" w:left="0" w:right="0"/>
              <w:jc w:val="left"/>
              <w:rPr/>
            </w:pPr>
            <w:r>
              <w:rPr/>
              <w:t>Repo + skeleton + CI pushed to GitHub</w:t>
            </w:r>
          </w:p>
        </w:tc>
        <w:tc>
          <w:tcPr>
            <w:tcW w:w="1307" w:type="dxa"/>
            <w:tcBorders/>
            <w:vAlign w:val="center"/>
          </w:tcPr>
          <w:p>
            <w:pPr>
              <w:pStyle w:val="TableContents"/>
              <w:bidi w:val="0"/>
              <w:spacing w:before="0" w:after="283"/>
              <w:jc w:val="left"/>
              <w:rPr>
                <w:color w:val="2E7D32"/>
              </w:rPr>
            </w:pPr>
            <w:r>
              <w:rPr>
                <w:color w:val="2E7D32"/>
              </w:rPr>
              <w:t xml:space="preserve">✔ </w:t>
            </w:r>
            <w:r>
              <w:rPr>
                <w:color w:val="2E7D32"/>
              </w:rPr>
              <w:t>done</w:t>
            </w:r>
          </w:p>
        </w:tc>
      </w:tr>
      <w:tr>
        <w:trPr/>
        <w:tc>
          <w:tcPr>
            <w:tcW w:w="6143" w:type="dxa"/>
            <w:tcBorders/>
            <w:vAlign w:val="center"/>
          </w:tcPr>
          <w:p>
            <w:pPr>
              <w:pStyle w:val="TableContents"/>
              <w:bidi w:val="0"/>
              <w:spacing w:before="0" w:after="283"/>
              <w:ind w:hanging="0" w:left="0" w:right="0"/>
              <w:jc w:val="left"/>
              <w:rPr/>
            </w:pPr>
            <w:r>
              <w:rPr/>
              <w:t xml:space="preserve">Free Edition workspace + CLI auth (profile </w:t>
            </w:r>
            <w:r>
              <w:rPr>
                <w:rStyle w:val="SourceText"/>
              </w:rPr>
              <w:t>free</w:t>
            </w:r>
            <w:r>
              <w:rPr/>
              <w:t>)</w:t>
            </w:r>
          </w:p>
        </w:tc>
        <w:tc>
          <w:tcPr>
            <w:tcW w:w="1307" w:type="dxa"/>
            <w:tcBorders/>
            <w:vAlign w:val="center"/>
          </w:tcPr>
          <w:p>
            <w:pPr>
              <w:pStyle w:val="TableContents"/>
              <w:bidi w:val="0"/>
              <w:spacing w:before="0" w:after="283"/>
              <w:jc w:val="left"/>
              <w:rPr>
                <w:color w:val="2E7D32"/>
              </w:rPr>
            </w:pPr>
            <w:r>
              <w:rPr>
                <w:color w:val="2E7D32"/>
              </w:rPr>
              <w:t xml:space="preserve">✔ </w:t>
            </w:r>
            <w:r>
              <w:rPr>
                <w:color w:val="2E7D32"/>
              </w:rPr>
              <w:t>done</w:t>
            </w:r>
          </w:p>
        </w:tc>
      </w:tr>
      <w:tr>
        <w:trPr/>
        <w:tc>
          <w:tcPr>
            <w:tcW w:w="6143" w:type="dxa"/>
            <w:tcBorders/>
            <w:vAlign w:val="center"/>
          </w:tcPr>
          <w:p>
            <w:pPr>
              <w:pStyle w:val="TableContents"/>
              <w:bidi w:val="0"/>
              <w:spacing w:before="0" w:after="283"/>
              <w:jc w:val="left"/>
              <w:rPr/>
            </w:pPr>
            <w:r>
              <w:rPr>
                <w:rStyle w:val="SourceText"/>
              </w:rPr>
              <w:t>databricks bundle validate</w:t>
            </w:r>
            <w:r>
              <w:rPr/>
              <w:t xml:space="preserve"> passes</w:t>
            </w:r>
          </w:p>
        </w:tc>
        <w:tc>
          <w:tcPr>
            <w:tcW w:w="1307" w:type="dxa"/>
            <w:tcBorders/>
            <w:vAlign w:val="center"/>
          </w:tcPr>
          <w:p>
            <w:pPr>
              <w:pStyle w:val="TableContents"/>
              <w:bidi w:val="0"/>
              <w:spacing w:before="0" w:after="283"/>
              <w:jc w:val="left"/>
              <w:rPr/>
            </w:pPr>
            <w:r>
              <w:rPr/>
              <w:t xml:space="preserve">⬜ </w:t>
            </w:r>
            <w:r>
              <w:rPr/>
              <w:t>confirm</w:t>
            </w:r>
          </w:p>
        </w:tc>
      </w:tr>
      <w:tr>
        <w:trPr/>
        <w:tc>
          <w:tcPr>
            <w:tcW w:w="6143" w:type="dxa"/>
            <w:tcBorders/>
            <w:vAlign w:val="center"/>
          </w:tcPr>
          <w:p>
            <w:pPr>
              <w:pStyle w:val="TableContents"/>
              <w:bidi w:val="0"/>
              <w:spacing w:before="0" w:after="283"/>
              <w:jc w:val="left"/>
              <w:rPr/>
            </w:pPr>
            <w:r>
              <w:rPr/>
              <w:t>Phase 1: PaySim download + daily slicer script</w:t>
            </w:r>
          </w:p>
        </w:tc>
        <w:tc>
          <w:tcPr>
            <w:tcW w:w="1307" w:type="dxa"/>
            <w:tcBorders/>
            <w:vAlign w:val="center"/>
          </w:tcPr>
          <w:p>
            <w:pPr>
              <w:pStyle w:val="TableContents"/>
              <w:bidi w:val="0"/>
              <w:spacing w:before="0" w:after="283"/>
              <w:jc w:val="left"/>
              <w:rPr/>
            </w:pPr>
            <w:r>
              <w:rPr/>
              <w:t xml:space="preserve">⬜ </w:t>
            </w:r>
            <w:r>
              <w:rPr/>
              <w:t>next up</w:t>
            </w:r>
          </w:p>
        </w:tc>
      </w:tr>
    </w:tbl>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03 — Knowing the Data: Source Interview &amp; Bronze Design </w:t>
      </w:r>
      <w:r>
        <w:rPr>
          <w:b w:val="false"/>
          <w:color w:val="FFFFFF"/>
        </w:rPr>
        <w:t>· July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The dataset, in plain words</w:t>
      </w:r>
    </w:p>
    <w:p>
      <w:pPr>
        <w:pStyle w:val="BodyText"/>
        <w:bidi w:val="0"/>
        <w:jc w:val="left"/>
        <w:rPr/>
      </w:pPr>
      <w:r>
        <w:rPr/>
        <w:t xml:space="preserve">PaySim simulates a </w:t>
      </w:r>
      <w:r>
        <w:rPr>
          <w:rStyle w:val="Strong"/>
        </w:rPr>
        <w:t>mobile money service</w:t>
      </w:r>
      <w:r>
        <w:rPr/>
        <w:t xml:space="preserve"> (like M-Pesa or a Paytm wallet): your phone number is your wallet. 6.36M rows over 31 simulated days; one row = one money movement. The five types: </w:t>
      </w:r>
      <w:r>
        <w:rPr>
          <w:rStyle w:val="SourceText"/>
        </w:rPr>
        <w:t>CASH_IN</w:t>
      </w:r>
      <w:r>
        <w:rPr/>
        <w:t xml:space="preserve"> (deposit), </w:t>
      </w:r>
      <w:r>
        <w:rPr>
          <w:rStyle w:val="SourceText"/>
        </w:rPr>
        <w:t>CASH_OUT</w:t>
      </w:r>
      <w:r>
        <w:rPr/>
        <w:t xml:space="preserve"> (withdraw), </w:t>
      </w:r>
      <w:r>
        <w:rPr>
          <w:rStyle w:val="SourceText"/>
        </w:rPr>
        <w:t>PAYMENT</w:t>
      </w:r>
      <w:r>
        <w:rPr/>
        <w:t xml:space="preserve"> (pay a merchant), </w:t>
      </w:r>
      <w:r>
        <w:rPr>
          <w:rStyle w:val="SourceText"/>
        </w:rPr>
        <w:t>TRANSFER</w:t>
      </w:r>
      <w:r>
        <w:rPr/>
        <w:t xml:space="preserve"> (send to a customer), </w:t>
      </w:r>
      <w:r>
        <w:rPr>
          <w:rStyle w:val="SourceText"/>
        </w:rPr>
        <w:t>DEBIT</w:t>
      </w:r>
      <w:r>
        <w:rPr/>
        <w:t xml:space="preserve"> (send to a bank).</w:t>
      </w:r>
    </w:p>
    <w:p>
      <w:pPr>
        <w:pStyle w:val="BodyText"/>
        <w:bidi w:val="0"/>
        <w:jc w:val="left"/>
        <w:rPr/>
      </w:pPr>
      <w:r>
        <w:rPr>
          <w:rStyle w:val="Strong"/>
        </w:rPr>
        <w:t xml:space="preserve">The </w:t>
      </w:r>
      <w:r>
        <w:rPr>
          <w:rStyle w:val="SourceText"/>
        </w:rPr>
        <w:t>step</w:t>
      </w:r>
      <w:r>
        <w:rPr>
          <w:rStyle w:val="Strong"/>
        </w:rPr>
        <w:t xml:space="preserve"> column is the only timestamp:</w:t>
      </w:r>
      <w:r>
        <w:rPr/>
        <w:t xml:space="preserve"> hours since simulation start (1–744). </w:t>
      </w:r>
      <w:r>
        <w:rPr>
          <w:rStyle w:val="SourceText"/>
        </w:rPr>
        <w:t>step=50</w:t>
      </w:r>
      <w:r>
        <w:rPr/>
        <w:t xml:space="preserve"> = day 3, ~2am. Day = </w:t>
      </w:r>
      <w:r>
        <w:rPr>
          <w:rStyle w:val="SourceText"/>
        </w:rPr>
        <w:t>(step-1)//24 + 1</w:t>
      </w:r>
      <w:r>
        <w:rPr/>
        <w:t>. No minutes, no seconds — a real limitation of this source.</w:t>
      </w:r>
    </w:p>
    <w:p>
      <w:pPr>
        <w:pStyle w:val="Heading2"/>
        <w:bidi w:val="0"/>
        <w:jc w:val="left"/>
        <w:rPr/>
      </w:pPr>
      <w:r>
        <w:rPr/>
        <w:t>The fraud pattern (why single rows can't reveal it)</w:t>
      </w:r>
    </w:p>
    <w:p>
      <w:pPr>
        <w:pStyle w:val="BodyText"/>
        <w:bidi w:val="0"/>
        <w:jc w:val="left"/>
        <w:rPr/>
      </w:pPr>
      <w:r>
        <w:rPr/>
        <w:t xml:space="preserve">A fraudster hijacks an account, transfers the </w:t>
      </w:r>
      <w:r>
        <w:rPr>
          <w:rStyle w:val="Strong"/>
        </w:rPr>
        <w:t>entire balance</w:t>
      </w:r>
      <w:r>
        <w:rPr/>
        <w:t xml:space="preserve"> (amount = old balance, new balance = 0.0) to a mule account, which cashes out within the hour. Each transaction alone looks innocent — millions of people do transfer → cash-out daily. The fraud is only visible in </w:t>
      </w:r>
      <w:r>
        <w:rPr>
          <w:rStyle w:val="Emphasis"/>
        </w:rPr>
        <w:t>context</w:t>
      </w:r>
      <w:r>
        <w:rPr/>
        <w:t xml:space="preserve">: amount vs balance ratio, paired transactions, speed. </w:t>
      </w:r>
      <w:r>
        <w:rPr>
          <w:rStyle w:val="Strong"/>
        </w:rPr>
        <w:t>That context is what the gold layer exists to compute.</w:t>
      </w:r>
      <w:r>
        <w:rPr/>
        <w:t xml:space="preserve"> The bank's old rule (</w:t>
      </w:r>
      <w:r>
        <w:rPr>
          <w:rStyle w:val="SourceText"/>
        </w:rPr>
        <w:t>isFlaggedFraud</w:t>
      </w:r>
      <w:r>
        <w:rPr/>
        <w:t>, flags only transfers &gt; 200k) catches almost nothing — which is why this project exists.</w:t>
      </w:r>
    </w:p>
    <w:p>
      <w:pPr>
        <w:pStyle w:val="Heading2"/>
        <w:bidi w:val="0"/>
        <w:jc w:val="left"/>
        <w:rPr/>
      </w:pPr>
      <w:r>
        <w:rPr/>
        <w:t>Source system interview (Fundamentals of DE, generation stage)</w:t>
      </w:r>
    </w:p>
    <w:tbl>
      <w:tblPr>
        <w:tblW w:w="8982" w:type="dxa"/>
        <w:jc w:val="left"/>
        <w:tblInd w:w="28" w:type="dxa"/>
        <w:tblLayout w:type="fixed"/>
        <w:tblCellMar>
          <w:top w:w="28" w:type="dxa"/>
          <w:left w:w="28" w:type="dxa"/>
          <w:bottom w:w="28" w:type="dxa"/>
          <w:right w:w="28" w:type="dxa"/>
        </w:tblCellMar>
      </w:tblPr>
      <w:tblGrid>
        <w:gridCol w:w="2259"/>
        <w:gridCol w:w="3533"/>
        <w:gridCol w:w="3190"/>
      </w:tblGrid>
      <w:tr>
        <w:trPr/>
        <w:tc>
          <w:tcPr>
            <w:tcW w:w="2259" w:type="dxa"/>
            <w:tcBorders/>
            <w:vAlign w:val="center"/>
          </w:tcPr>
          <w:p>
            <w:pPr>
              <w:pStyle w:val="TableHeading"/>
              <w:suppressLineNumbers/>
              <w:bidi w:val="0"/>
              <w:spacing w:before="0" w:after="283"/>
              <w:jc w:val="left"/>
              <w:rPr/>
            </w:pPr>
            <w:r>
              <w:rPr/>
              <w:t>Question</w:t>
            </w:r>
          </w:p>
        </w:tc>
        <w:tc>
          <w:tcPr>
            <w:tcW w:w="3533" w:type="dxa"/>
            <w:tcBorders/>
            <w:vAlign w:val="center"/>
          </w:tcPr>
          <w:p>
            <w:pPr>
              <w:pStyle w:val="TableHeading"/>
              <w:suppressLineNumbers/>
              <w:bidi w:val="0"/>
              <w:spacing w:before="0" w:after="283"/>
              <w:jc w:val="left"/>
              <w:rPr/>
            </w:pPr>
            <w:r>
              <w:rPr/>
              <w:t>Our answer</w:t>
            </w:r>
          </w:p>
        </w:tc>
        <w:tc>
          <w:tcPr>
            <w:tcW w:w="3190" w:type="dxa"/>
            <w:tcBorders/>
            <w:vAlign w:val="center"/>
          </w:tcPr>
          <w:p>
            <w:pPr>
              <w:pStyle w:val="TableHeading"/>
              <w:suppressLineNumbers/>
              <w:bidi w:val="0"/>
              <w:spacing w:before="0" w:after="283"/>
              <w:jc w:val="left"/>
              <w:rPr/>
            </w:pPr>
            <w:r>
              <w:rPr/>
              <w:t>Design consequence</w:t>
            </w:r>
          </w:p>
        </w:tc>
      </w:tr>
      <w:tr>
        <w:trPr/>
        <w:tc>
          <w:tcPr>
            <w:tcW w:w="2259" w:type="dxa"/>
            <w:tcBorders/>
            <w:vAlign w:val="center"/>
          </w:tcPr>
          <w:p>
            <w:pPr>
              <w:pStyle w:val="TableContents"/>
              <w:bidi w:val="0"/>
              <w:spacing w:before="0" w:after="283"/>
              <w:jc w:val="left"/>
              <w:rPr/>
            </w:pPr>
            <w:r>
              <w:rPr/>
              <w:t>Source characteristics?</w:t>
            </w:r>
          </w:p>
        </w:tc>
        <w:tc>
          <w:tcPr>
            <w:tcW w:w="3533" w:type="dxa"/>
            <w:tcBorders/>
            <w:vAlign w:val="center"/>
          </w:tcPr>
          <w:p>
            <w:pPr>
              <w:pStyle w:val="TableContents"/>
              <w:bidi w:val="0"/>
              <w:spacing w:before="0" w:after="283"/>
              <w:jc w:val="left"/>
              <w:rPr/>
            </w:pPr>
            <w:r>
              <w:rPr/>
              <w:t>Behaves like an application DB export delivered as daily CSV file drops.</w:t>
            </w:r>
          </w:p>
        </w:tc>
        <w:tc>
          <w:tcPr>
            <w:tcW w:w="3190" w:type="dxa"/>
            <w:tcBorders/>
            <w:vAlign w:val="center"/>
          </w:tcPr>
          <w:p>
            <w:pPr>
              <w:pStyle w:val="TableContents"/>
              <w:bidi w:val="0"/>
              <w:spacing w:before="0" w:after="283"/>
              <w:jc w:val="left"/>
              <w:rPr/>
            </w:pPr>
            <w:r>
              <w:rPr/>
              <w:t>File-based, batch-first ingestion.</w:t>
            </w:r>
          </w:p>
        </w:tc>
      </w:tr>
      <w:tr>
        <w:trPr/>
        <w:tc>
          <w:tcPr>
            <w:tcW w:w="2259" w:type="dxa"/>
            <w:tcBorders/>
            <w:vAlign w:val="center"/>
          </w:tcPr>
          <w:p>
            <w:pPr>
              <w:pStyle w:val="TableContents"/>
              <w:bidi w:val="0"/>
              <w:spacing w:before="0" w:after="283"/>
              <w:jc w:val="left"/>
              <w:rPr/>
            </w:pPr>
            <w:r>
              <w:rPr/>
              <w:t>Snapshot or event data?</w:t>
            </w:r>
          </w:p>
        </w:tc>
        <w:tc>
          <w:tcPr>
            <w:tcW w:w="3533" w:type="dxa"/>
            <w:tcBorders/>
            <w:vAlign w:val="center"/>
          </w:tcPr>
          <w:p>
            <w:pPr>
              <w:pStyle w:val="TableContents"/>
              <w:bidi w:val="0"/>
              <w:spacing w:before="0" w:after="283"/>
              <w:jc w:val="left"/>
              <w:rPr/>
            </w:pPr>
            <w:r>
              <w:rPr/>
              <w:t>Event (one row per transaction) — with snapshot-ish balance fields smuggled in.</w:t>
            </w:r>
          </w:p>
        </w:tc>
        <w:tc>
          <w:tcPr>
            <w:tcW w:w="3190" w:type="dxa"/>
            <w:tcBorders/>
            <w:vAlign w:val="center"/>
          </w:tcPr>
          <w:p>
            <w:pPr>
              <w:pStyle w:val="TableContents"/>
              <w:bidi w:val="0"/>
              <w:spacing w:before="0" w:after="283"/>
              <w:jc w:val="left"/>
              <w:rPr/>
            </w:pPr>
            <w:r>
              <w:rPr/>
              <w:t>Append-only ingestion: new events only, never updates to old rows.</w:t>
            </w:r>
          </w:p>
        </w:tc>
      </w:tr>
      <w:tr>
        <w:trPr/>
        <w:tc>
          <w:tcPr>
            <w:tcW w:w="2259" w:type="dxa"/>
            <w:tcBorders/>
            <w:vAlign w:val="center"/>
          </w:tcPr>
          <w:p>
            <w:pPr>
              <w:pStyle w:val="TableContents"/>
              <w:bidi w:val="0"/>
              <w:spacing w:before="0" w:after="283"/>
              <w:jc w:val="left"/>
              <w:rPr/>
            </w:pPr>
            <w:r>
              <w:rPr/>
              <w:t>Rate of generation?</w:t>
            </w:r>
          </w:p>
        </w:tc>
        <w:tc>
          <w:tcPr>
            <w:tcW w:w="3533" w:type="dxa"/>
            <w:tcBorders/>
            <w:vAlign w:val="center"/>
          </w:tcPr>
          <w:p>
            <w:pPr>
              <w:pStyle w:val="TableContents"/>
              <w:bidi w:val="0"/>
              <w:spacing w:before="0" w:after="283"/>
              <w:jc w:val="left"/>
              <w:rPr/>
            </w:pPr>
            <w:r>
              <w:rPr/>
              <w:t>~205k rows/day average, but wildly uneven: 574k on day 1, 272 on day 31.</w:t>
            </w:r>
          </w:p>
        </w:tc>
        <w:tc>
          <w:tcPr>
            <w:tcW w:w="3190" w:type="dxa"/>
            <w:tcBorders/>
            <w:vAlign w:val="center"/>
          </w:tcPr>
          <w:p>
            <w:pPr>
              <w:pStyle w:val="TableContents"/>
              <w:bidi w:val="0"/>
              <w:spacing w:before="0" w:after="283"/>
              <w:jc w:val="left"/>
              <w:rPr/>
            </w:pPr>
            <w:r>
              <w:rPr/>
              <w:t>Size and test for peak days, not average. Test ingestion with day 1.</w:t>
            </w:r>
          </w:p>
        </w:tc>
      </w:tr>
      <w:tr>
        <w:trPr/>
        <w:tc>
          <w:tcPr>
            <w:tcW w:w="2259" w:type="dxa"/>
            <w:tcBorders/>
            <w:vAlign w:val="center"/>
          </w:tcPr>
          <w:p>
            <w:pPr>
              <w:pStyle w:val="TableContents"/>
              <w:bidi w:val="0"/>
              <w:spacing w:before="0" w:after="283"/>
              <w:jc w:val="left"/>
              <w:rPr/>
            </w:pPr>
            <w:r>
              <w:rPr/>
              <w:t>Persistence — can landing files be deleted?</w:t>
            </w:r>
          </w:p>
        </w:tc>
        <w:tc>
          <w:tcPr>
            <w:tcW w:w="3533" w:type="dxa"/>
            <w:tcBorders/>
            <w:vAlign w:val="center"/>
          </w:tcPr>
          <w:p>
            <w:pPr>
              <w:pStyle w:val="TableContents"/>
              <w:bidi w:val="0"/>
              <w:spacing w:before="0" w:after="283"/>
              <w:jc w:val="left"/>
              <w:rPr/>
            </w:pPr>
            <w:r>
              <w:rPr/>
              <w:t xml:space="preserve">Once bronze holds a faithful as-is copy, </w:t>
            </w:r>
            <w:r>
              <w:rPr>
                <w:rStyle w:val="Strong"/>
              </w:rPr>
              <w:t>bronze becomes source of truth</w:t>
            </w:r>
            <w:r>
              <w:rPr/>
              <w:t>; landing gets a retention window (7–30 days) then expires.</w:t>
            </w:r>
          </w:p>
        </w:tc>
        <w:tc>
          <w:tcPr>
            <w:tcW w:w="3190" w:type="dxa"/>
            <w:tcBorders/>
            <w:vAlign w:val="center"/>
          </w:tcPr>
          <w:p>
            <w:pPr>
              <w:pStyle w:val="TableContents"/>
              <w:bidi w:val="0"/>
              <w:spacing w:before="0" w:after="283"/>
              <w:jc w:val="left"/>
              <w:rPr/>
            </w:pPr>
            <w:r>
              <w:rPr/>
              <w:t xml:space="preserve">This is </w:t>
            </w:r>
            <w:r>
              <w:rPr>
                <w:rStyle w:val="Emphasis"/>
              </w:rPr>
              <w:t>why</w:t>
            </w:r>
            <w:r>
              <w:rPr/>
              <w:t xml:space="preserve"> bronze stores data untouched. Needing landing after ingestion = you don't trust bronze = bronze was built wrong.</w:t>
            </w:r>
          </w:p>
        </w:tc>
      </w:tr>
      <w:tr>
        <w:trPr/>
        <w:tc>
          <w:tcPr>
            <w:tcW w:w="2259" w:type="dxa"/>
            <w:tcBorders/>
            <w:vAlign w:val="center"/>
          </w:tcPr>
          <w:p>
            <w:pPr>
              <w:pStyle w:val="TableContents"/>
              <w:bidi w:val="0"/>
              <w:spacing w:before="0" w:after="283"/>
              <w:jc w:val="left"/>
              <w:rPr/>
            </w:pPr>
            <w:r>
              <w:rPr/>
              <w:t>Provider data quality?</w:t>
            </w:r>
          </w:p>
        </w:tc>
        <w:tc>
          <w:tcPr>
            <w:tcW w:w="3533" w:type="dxa"/>
            <w:tcBorders/>
            <w:vAlign w:val="center"/>
          </w:tcPr>
          <w:p>
            <w:pPr>
              <w:pStyle w:val="TableContents"/>
              <w:bidi w:val="0"/>
              <w:spacing w:before="0" w:after="283"/>
              <w:jc w:val="left"/>
              <w:rPr/>
            </w:pPr>
            <w:r>
              <w:rPr/>
              <w:t xml:space="preserve">(1) Balance columns often don't reconcile (e.g. receivers showing 0.0 after receiving money). (2) </w:t>
            </w:r>
            <w:r>
              <w:rPr>
                <w:rStyle w:val="SourceText"/>
              </w:rPr>
              <w:t>isFlaggedFraud</w:t>
            </w:r>
            <w:r>
              <w:rPr/>
              <w:t xml:space="preserve"> is nearly useless.</w:t>
            </w:r>
          </w:p>
        </w:tc>
        <w:tc>
          <w:tcPr>
            <w:tcW w:w="3190" w:type="dxa"/>
            <w:tcBorders/>
            <w:vAlign w:val="center"/>
          </w:tcPr>
          <w:p>
            <w:pPr>
              <w:pStyle w:val="TableContents"/>
              <w:bidi w:val="0"/>
              <w:spacing w:before="0" w:after="283"/>
              <w:jc w:val="left"/>
              <w:rPr/>
            </w:pPr>
            <w:r>
              <w:rPr/>
              <w:t>(1) becomes silver cleaning rules. (2) motivates the whole gold/ML build.</w:t>
            </w:r>
          </w:p>
        </w:tc>
      </w:tr>
      <w:tr>
        <w:trPr/>
        <w:tc>
          <w:tcPr>
            <w:tcW w:w="2259" w:type="dxa"/>
            <w:tcBorders/>
            <w:vAlign w:val="center"/>
          </w:tcPr>
          <w:p>
            <w:pPr>
              <w:pStyle w:val="TableContents"/>
              <w:bidi w:val="0"/>
              <w:spacing w:before="0" w:after="283"/>
              <w:jc w:val="left"/>
              <w:rPr/>
            </w:pPr>
            <w:r>
              <w:rPr/>
              <w:t>Are the fraud labels trustworthy?</w:t>
            </w:r>
          </w:p>
        </w:tc>
        <w:tc>
          <w:tcPr>
            <w:tcW w:w="3533" w:type="dxa"/>
            <w:tcBorders/>
            <w:vAlign w:val="center"/>
          </w:tcPr>
          <w:p>
            <w:pPr>
              <w:pStyle w:val="TableContents"/>
              <w:bidi w:val="0"/>
              <w:spacing w:before="0" w:after="283"/>
              <w:jc w:val="left"/>
              <w:rPr/>
            </w:pPr>
            <w:r>
              <w:rPr/>
              <w:t xml:space="preserve">In real banks, labels arrive weeks late and incomplete (undetected fraud stays 0). PaySim's </w:t>
            </w:r>
            <w:r>
              <w:rPr>
                <w:rStyle w:val="SourceText"/>
              </w:rPr>
              <w:t>isFraud</w:t>
            </w:r>
            <w:r>
              <w:rPr/>
              <w:t xml:space="preserve"> is simulation ground truth — perfect.</w:t>
            </w:r>
          </w:p>
        </w:tc>
        <w:tc>
          <w:tcPr>
            <w:tcW w:w="3190" w:type="dxa"/>
            <w:tcBorders/>
            <w:vAlign w:val="center"/>
          </w:tcPr>
          <w:p>
            <w:pPr>
              <w:pStyle w:val="TableContents"/>
              <w:bidi w:val="0"/>
              <w:spacing w:before="0" w:after="283"/>
              <w:jc w:val="left"/>
              <w:rPr/>
            </w:pPr>
            <w:r>
              <w:rPr/>
              <w:t>A luxury unique to synthetic data. Note as a known unrealism of the project.</w:t>
            </w:r>
          </w:p>
        </w:tc>
      </w:tr>
    </w:tbl>
    <w:p>
      <w:pPr>
        <w:pStyle w:val="Heading2"/>
        <w:bidi w:val="0"/>
        <w:jc w:val="left"/>
        <w:rPr/>
      </w:pPr>
      <w:r>
        <w:rPr/>
        <w:t>Key concept learned: grain</w:t>
      </w:r>
    </w:p>
    <w:p>
      <w:pPr>
        <w:pStyle w:val="BodyText"/>
        <w:bidi w:val="0"/>
        <w:jc w:val="left"/>
        <w:rPr/>
      </w:pPr>
      <w:r>
        <w:rPr>
          <w:rStyle w:val="Strong"/>
        </w:rPr>
        <w:t>Grain = what one row represents.</w:t>
      </w:r>
      <w:r>
        <w:rPr/>
        <w:t xml:space="preserve"> Declaring "row = customer" then listing transaction-level fields (amount, balance before/after) mixes grains — the classic data modeling mistake. At customer grain, every field must be an </w:t>
      </w:r>
      <w:r>
        <w:rPr>
          <w:rStyle w:val="Emphasis"/>
        </w:rPr>
        <w:t>aggregation</w:t>
      </w:r>
      <w:r>
        <w:rPr/>
        <w:t xml:space="preserve">: counts, sums, maxes, ratios ("max % of balance moved in one transaction today"). Rule of thumb: </w:t>
      </w:r>
      <w:r>
        <w:rPr>
          <w:rStyle w:val="Emphasis"/>
        </w:rPr>
        <w:t>design backwards (gold's grain comes from the consumer's questions), build forwards (bronze → silver → gold).</w:t>
      </w:r>
    </w:p>
    <w:p>
      <w:pPr>
        <w:pStyle w:val="Heading2"/>
        <w:bidi w:val="0"/>
        <w:jc w:val="left"/>
        <w:rPr/>
      </w:pPr>
      <w:r>
        <w:rPr/>
        <w:t>Bronze design (decided)</w:t>
      </w:r>
    </w:p>
    <w:tbl>
      <w:tblPr>
        <w:tblW w:w="8982" w:type="dxa"/>
        <w:jc w:val="left"/>
        <w:tblInd w:w="28" w:type="dxa"/>
        <w:tblLayout w:type="fixed"/>
        <w:tblCellMar>
          <w:top w:w="28" w:type="dxa"/>
          <w:left w:w="28" w:type="dxa"/>
          <w:bottom w:w="28" w:type="dxa"/>
          <w:right w:w="28" w:type="dxa"/>
        </w:tblCellMar>
      </w:tblPr>
      <w:tblGrid>
        <w:gridCol w:w="2484"/>
        <w:gridCol w:w="1917"/>
        <w:gridCol w:w="4581"/>
      </w:tblGrid>
      <w:tr>
        <w:trPr/>
        <w:tc>
          <w:tcPr>
            <w:tcW w:w="2484" w:type="dxa"/>
            <w:tcBorders/>
            <w:vAlign w:val="center"/>
          </w:tcPr>
          <w:p>
            <w:pPr>
              <w:pStyle w:val="TableHeading"/>
              <w:suppressLineNumbers/>
              <w:bidi w:val="0"/>
              <w:spacing w:before="0" w:after="283"/>
              <w:jc w:val="left"/>
              <w:rPr/>
            </w:pPr>
            <w:r>
              <w:rPr/>
              <w:t>Property</w:t>
            </w:r>
          </w:p>
        </w:tc>
        <w:tc>
          <w:tcPr>
            <w:tcW w:w="1917" w:type="dxa"/>
            <w:tcBorders/>
            <w:vAlign w:val="center"/>
          </w:tcPr>
          <w:p>
            <w:pPr>
              <w:pStyle w:val="TableHeading"/>
              <w:suppressLineNumbers/>
              <w:bidi w:val="0"/>
              <w:spacing w:before="0" w:after="283"/>
              <w:jc w:val="left"/>
              <w:rPr/>
            </w:pPr>
            <w:r>
              <w:rPr/>
              <w:t>Decision</w:t>
            </w:r>
          </w:p>
        </w:tc>
        <w:tc>
          <w:tcPr>
            <w:tcW w:w="4581" w:type="dxa"/>
            <w:tcBorders/>
            <w:vAlign w:val="center"/>
          </w:tcPr>
          <w:p>
            <w:pPr>
              <w:pStyle w:val="TableHeading"/>
              <w:suppressLineNumbers/>
              <w:bidi w:val="0"/>
              <w:spacing w:before="0" w:after="283"/>
              <w:jc w:val="left"/>
              <w:rPr/>
            </w:pPr>
            <w:r>
              <w:rPr/>
              <w:t>Why</w:t>
            </w:r>
          </w:p>
        </w:tc>
      </w:tr>
      <w:tr>
        <w:trPr/>
        <w:tc>
          <w:tcPr>
            <w:tcW w:w="2484" w:type="dxa"/>
            <w:tcBorders/>
            <w:vAlign w:val="center"/>
          </w:tcPr>
          <w:p>
            <w:pPr>
              <w:pStyle w:val="TableContents"/>
              <w:bidi w:val="0"/>
              <w:spacing w:before="0" w:after="283"/>
              <w:jc w:val="left"/>
              <w:rPr/>
            </w:pPr>
            <w:r>
              <w:rPr/>
              <w:t>Grain</w:t>
            </w:r>
          </w:p>
        </w:tc>
        <w:tc>
          <w:tcPr>
            <w:tcW w:w="1917" w:type="dxa"/>
            <w:tcBorders/>
            <w:vAlign w:val="center"/>
          </w:tcPr>
          <w:p>
            <w:pPr>
              <w:pStyle w:val="TableContents"/>
              <w:bidi w:val="0"/>
              <w:spacing w:before="0" w:after="283"/>
              <w:jc w:val="left"/>
              <w:rPr/>
            </w:pPr>
            <w:r>
              <w:rPr/>
              <w:t>One row per source row</w:t>
            </w:r>
          </w:p>
        </w:tc>
        <w:tc>
          <w:tcPr>
            <w:tcW w:w="4581" w:type="dxa"/>
            <w:tcBorders/>
            <w:vAlign w:val="center"/>
          </w:tcPr>
          <w:p>
            <w:pPr>
              <w:pStyle w:val="TableContents"/>
              <w:bidi w:val="0"/>
              <w:spacing w:before="0" w:after="283"/>
              <w:jc w:val="left"/>
              <w:rPr/>
            </w:pPr>
            <w:r>
              <w:rPr/>
              <w:t>Bronze = the source, archived. No fixes, no filters, no renames — mistakes made here are permanent, so nothing is "improved" on the way in.</w:t>
            </w:r>
          </w:p>
        </w:tc>
      </w:tr>
      <w:tr>
        <w:trPr/>
        <w:tc>
          <w:tcPr>
            <w:tcW w:w="2484" w:type="dxa"/>
            <w:tcBorders/>
            <w:vAlign w:val="center"/>
          </w:tcPr>
          <w:p>
            <w:pPr>
              <w:pStyle w:val="TableContents"/>
              <w:bidi w:val="0"/>
              <w:spacing w:before="0" w:after="283"/>
              <w:jc w:val="left"/>
              <w:rPr/>
            </w:pPr>
            <w:r>
              <w:rPr/>
              <w:t>Columns</w:t>
            </w:r>
          </w:p>
        </w:tc>
        <w:tc>
          <w:tcPr>
            <w:tcW w:w="1917" w:type="dxa"/>
            <w:tcBorders/>
            <w:vAlign w:val="center"/>
          </w:tcPr>
          <w:p>
            <w:pPr>
              <w:pStyle w:val="TableContents"/>
              <w:bidi w:val="0"/>
              <w:spacing w:before="0" w:after="283"/>
              <w:jc w:val="left"/>
              <w:rPr/>
            </w:pPr>
            <w:r>
              <w:rPr/>
              <w:t>All 11 PaySim columns, as-is</w:t>
            </w:r>
          </w:p>
        </w:tc>
        <w:tc>
          <w:tcPr>
            <w:tcW w:w="4581" w:type="dxa"/>
            <w:tcBorders/>
            <w:vAlign w:val="center"/>
          </w:tcPr>
          <w:p>
            <w:pPr>
              <w:pStyle w:val="TableContents"/>
              <w:bidi w:val="0"/>
              <w:spacing w:before="0" w:after="283"/>
              <w:jc w:val="left"/>
              <w:rPr/>
            </w:pPr>
            <w:r>
              <w:rPr/>
              <w:t>Bronze is the time machine: if silver's cleaning logic has a bug in month 3, rebuild silver from untouched bronze.</w:t>
            </w:r>
          </w:p>
        </w:tc>
      </w:tr>
      <w:tr>
        <w:trPr/>
        <w:tc>
          <w:tcPr>
            <w:tcW w:w="2484" w:type="dxa"/>
            <w:tcBorders/>
            <w:vAlign w:val="center"/>
          </w:tcPr>
          <w:p>
            <w:pPr>
              <w:pStyle w:val="TableContents"/>
              <w:bidi w:val="0"/>
              <w:spacing w:before="0" w:after="283"/>
              <w:jc w:val="left"/>
              <w:rPr/>
            </w:pPr>
            <w:r>
              <w:rPr/>
              <w:t xml:space="preserve">+ </w:t>
            </w:r>
            <w:r>
              <w:rPr>
                <w:rStyle w:val="SourceText"/>
              </w:rPr>
              <w:t>source_file</w:t>
            </w:r>
          </w:p>
        </w:tc>
        <w:tc>
          <w:tcPr>
            <w:tcW w:w="1917" w:type="dxa"/>
            <w:tcBorders/>
            <w:vAlign w:val="center"/>
          </w:tcPr>
          <w:p>
            <w:pPr>
              <w:pStyle w:val="TableContents"/>
              <w:bidi w:val="0"/>
              <w:spacing w:before="0" w:after="283"/>
              <w:jc w:val="left"/>
              <w:rPr/>
            </w:pPr>
            <w:r>
              <w:rPr/>
              <w:t>Which landing file the row came from</w:t>
            </w:r>
          </w:p>
        </w:tc>
        <w:tc>
          <w:tcPr>
            <w:tcW w:w="4581" w:type="dxa"/>
            <w:tcBorders/>
            <w:vAlign w:val="center"/>
          </w:tcPr>
          <w:p>
            <w:pPr>
              <w:pStyle w:val="TableContents"/>
              <w:bidi w:val="0"/>
              <w:spacing w:before="0" w:after="283"/>
              <w:jc w:val="left"/>
              <w:rPr/>
            </w:pPr>
            <w:r>
              <w:rPr/>
              <w:t>Landing files are disposable → each row must remember its origin for tracing.</w:t>
            </w:r>
          </w:p>
        </w:tc>
      </w:tr>
      <w:tr>
        <w:trPr/>
        <w:tc>
          <w:tcPr>
            <w:tcW w:w="2484" w:type="dxa"/>
            <w:tcBorders/>
            <w:vAlign w:val="center"/>
          </w:tcPr>
          <w:p>
            <w:pPr>
              <w:pStyle w:val="TableContents"/>
              <w:bidi w:val="0"/>
              <w:spacing w:before="0" w:after="283"/>
              <w:jc w:val="left"/>
              <w:rPr/>
            </w:pPr>
            <w:r>
              <w:rPr/>
              <w:t xml:space="preserve">+ </w:t>
            </w:r>
            <w:r>
              <w:rPr>
                <w:rStyle w:val="SourceText"/>
              </w:rPr>
              <w:t>ingest_timestamp</w:t>
            </w:r>
          </w:p>
        </w:tc>
        <w:tc>
          <w:tcPr>
            <w:tcW w:w="1917" w:type="dxa"/>
            <w:tcBorders/>
            <w:vAlign w:val="center"/>
          </w:tcPr>
          <w:p>
            <w:pPr>
              <w:pStyle w:val="TableContents"/>
              <w:bidi w:val="0"/>
              <w:spacing w:before="0" w:after="283"/>
              <w:jc w:val="left"/>
              <w:rPr/>
            </w:pPr>
            <w:r>
              <w:rPr/>
              <w:t>When we loaded the row</w:t>
            </w:r>
          </w:p>
        </w:tc>
        <w:tc>
          <w:tcPr>
            <w:tcW w:w="4581" w:type="dxa"/>
            <w:tcBorders/>
            <w:vAlign w:val="center"/>
          </w:tcPr>
          <w:p>
            <w:pPr>
              <w:pStyle w:val="TableContents"/>
              <w:bidi w:val="0"/>
              <w:spacing w:before="0" w:after="283"/>
              <w:jc w:val="left"/>
              <w:rPr/>
            </w:pPr>
            <w:r>
              <w:rPr/>
              <w:t>Debugging slow/failed loads on peak days.</w:t>
            </w:r>
          </w:p>
        </w:tc>
      </w:tr>
      <w:tr>
        <w:trPr/>
        <w:tc>
          <w:tcPr>
            <w:tcW w:w="2484" w:type="dxa"/>
            <w:tcBorders/>
            <w:vAlign w:val="center"/>
          </w:tcPr>
          <w:p>
            <w:pPr>
              <w:pStyle w:val="TableContents"/>
              <w:bidi w:val="0"/>
              <w:spacing w:before="0" w:after="283"/>
              <w:jc w:val="left"/>
              <w:rPr/>
            </w:pPr>
            <w:r>
              <w:rPr/>
              <w:t xml:space="preserve">+ </w:t>
            </w:r>
            <w:r>
              <w:rPr>
                <w:rStyle w:val="SourceText"/>
              </w:rPr>
              <w:t>batch_date</w:t>
            </w:r>
          </w:p>
        </w:tc>
        <w:tc>
          <w:tcPr>
            <w:tcW w:w="1917" w:type="dxa"/>
            <w:tcBorders/>
            <w:vAlign w:val="center"/>
          </w:tcPr>
          <w:p>
            <w:pPr>
              <w:pStyle w:val="TableContents"/>
              <w:bidi w:val="0"/>
              <w:spacing w:before="0" w:after="283"/>
              <w:jc w:val="left"/>
              <w:rPr/>
            </w:pPr>
            <w:r>
              <w:rPr/>
              <w:t>Which daily batch it belongs to</w:t>
            </w:r>
          </w:p>
        </w:tc>
        <w:tc>
          <w:tcPr>
            <w:tcW w:w="4581" w:type="dxa"/>
            <w:tcBorders/>
            <w:vAlign w:val="center"/>
          </w:tcPr>
          <w:p>
            <w:pPr>
              <w:pStyle w:val="TableContents"/>
              <w:bidi w:val="0"/>
              <w:spacing w:before="0" w:after="283"/>
              <w:jc w:val="left"/>
              <w:rPr/>
            </w:pPr>
            <w:r>
              <w:rPr/>
              <w:t>Files arrive per-day; lets us reprocess exactly one day.</w:t>
            </w:r>
          </w:p>
        </w:tc>
      </w:tr>
    </w:tbl>
    <w:p>
      <w:pPr>
        <w:pStyle w:val="BodyText"/>
        <w:bidi w:val="0"/>
        <w:jc w:val="left"/>
        <w:rPr/>
      </w:pPr>
      <w:r>
        <w:rPr/>
        <w:t xml:space="preserve">Every audit column exists because of a source-interview answer. </w:t>
      </w:r>
      <w:r>
        <w:rPr>
          <w:rStyle w:val="Strong"/>
        </w:rPr>
        <w:t>Nothing in a pipeline is arbitrary: source facts → design decisions.</w:t>
      </w:r>
    </w:p>
    <w:p>
      <w:pPr>
        <w:pStyle w:val="Heading2"/>
        <w:bidi w:val="0"/>
        <w:ind w:hanging="0" w:left="0" w:right="0"/>
        <w:jc w:val="left"/>
        <w:rPr/>
      </w:pPr>
      <w:r>
        <w:rPr/>
        <w:t xml:space="preserve">Bronze schema — </w:t>
      </w:r>
      <w:r>
        <w:rPr>
          <w:b/>
        </w:rPr>
        <w:t>SUPERSEDED, see Note 07</w:t>
      </w:r>
      <w:r>
        <w:rPr/>
        <w:t xml:space="preserve">: </w:t>
      </w:r>
      <w:r>
        <w:rPr>
          <w:rStyle w:val="SourceText"/>
        </w:rPr>
        <w:t>workspace.bronze.transactions</w:t>
      </w:r>
    </w:p>
    <w:p>
      <w:pPr>
        <w:pStyle w:val="BodyText"/>
        <w:bidi w:val="0"/>
        <w:spacing w:before="300" w:after="300"/>
        <w:ind w:hanging="0" w:left="300" w:right="300"/>
        <w:jc w:val="left"/>
        <w:rPr/>
      </w:pPr>
      <w:r>
        <w:rPr>
          <w:b/>
          <w:bdr w:val="single" w:sz="2" w:space="12" w:color="000000"/>
        </w:rPr>
        <w:t>Revised in Note 07.</w:t>
      </w:r>
      <w:r>
        <w:rPr>
          <w:bdr w:val="single" w:sz="2" w:space="12" w:color="000000"/>
        </w:rPr>
        <w:t xml:space="preserve"> The column types below (DOUBLE / INT) were replaced with all-STRING. Casting values while reading is itself a transformation, which contradicts the "no fixes" rule stated in the same note — and a value that fails to parse is silently lost. The column </w:t>
      </w:r>
      <w:r>
        <w:rPr>
          <w:rStyle w:val="Emphasis"/>
          <w:bdr w:val="single" w:sz="2" w:space="12" w:color="000000"/>
        </w:rPr>
        <w:t>names</w:t>
      </w:r>
      <w:r>
        <w:rPr>
          <w:bdr w:val="single" w:sz="2" w:space="12" w:color="000000"/>
        </w:rPr>
        <w:t xml:space="preserve"> and </w:t>
      </w:r>
      <w:r>
        <w:rPr>
          <w:rStyle w:val="Emphasis"/>
          <w:bdr w:val="single" w:sz="2" w:space="12" w:color="000000"/>
        </w:rPr>
        <w:t>order</w:t>
      </w:r>
      <w:r>
        <w:rPr>
          <w:bdr w:val="single" w:sz="2" w:space="12" w:color="000000"/>
        </w:rPr>
        <w:t xml:space="preserve"> below still stand.</w:t>
      </w:r>
    </w:p>
    <w:tbl>
      <w:tblPr>
        <w:tblW w:w="8982" w:type="dxa"/>
        <w:jc w:val="left"/>
        <w:tblInd w:w="28" w:type="dxa"/>
        <w:tblLayout w:type="fixed"/>
        <w:tblCellMar>
          <w:top w:w="28" w:type="dxa"/>
          <w:left w:w="28" w:type="dxa"/>
          <w:bottom w:w="28" w:type="dxa"/>
          <w:right w:w="28" w:type="dxa"/>
        </w:tblCellMar>
      </w:tblPr>
      <w:tblGrid>
        <w:gridCol w:w="2432"/>
        <w:gridCol w:w="1686"/>
        <w:gridCol w:w="4864"/>
      </w:tblGrid>
      <w:tr>
        <w:trPr/>
        <w:tc>
          <w:tcPr>
            <w:tcW w:w="2432" w:type="dxa"/>
            <w:tcBorders/>
            <w:vAlign w:val="center"/>
          </w:tcPr>
          <w:p>
            <w:pPr>
              <w:pStyle w:val="TableHeading"/>
              <w:suppressLineNumbers/>
              <w:bidi w:val="0"/>
              <w:spacing w:before="0" w:after="283"/>
              <w:jc w:val="left"/>
              <w:rPr/>
            </w:pPr>
            <w:r>
              <w:rPr/>
              <w:t>Column</w:t>
            </w:r>
          </w:p>
        </w:tc>
        <w:tc>
          <w:tcPr>
            <w:tcW w:w="1686" w:type="dxa"/>
            <w:tcBorders/>
            <w:vAlign w:val="center"/>
          </w:tcPr>
          <w:p>
            <w:pPr>
              <w:pStyle w:val="TableHeading"/>
              <w:suppressLineNumbers/>
              <w:bidi w:val="0"/>
              <w:spacing w:before="0" w:after="283"/>
              <w:jc w:val="left"/>
              <w:rPr/>
            </w:pPr>
            <w:r>
              <w:rPr/>
              <w:t>Type</w:t>
            </w:r>
          </w:p>
        </w:tc>
        <w:tc>
          <w:tcPr>
            <w:tcW w:w="4864" w:type="dxa"/>
            <w:tcBorders/>
            <w:vAlign w:val="center"/>
          </w:tcPr>
          <w:p>
            <w:pPr>
              <w:pStyle w:val="TableHeading"/>
              <w:suppressLineNumbers/>
              <w:bidi w:val="0"/>
              <w:spacing w:before="0" w:after="283"/>
              <w:jc w:val="left"/>
              <w:rPr/>
            </w:pPr>
            <w:r>
              <w:rPr/>
              <w:t>Notes</w:t>
            </w:r>
          </w:p>
        </w:tc>
      </w:tr>
      <w:tr>
        <w:trPr/>
        <w:tc>
          <w:tcPr>
            <w:tcW w:w="2432" w:type="dxa"/>
            <w:tcBorders/>
            <w:vAlign w:val="center"/>
          </w:tcPr>
          <w:p>
            <w:pPr>
              <w:pStyle w:val="TableContents"/>
              <w:bidi w:val="0"/>
              <w:spacing w:before="0" w:after="283"/>
              <w:jc w:val="left"/>
              <w:rPr/>
            </w:pPr>
            <w:r>
              <w:rPr>
                <w:rStyle w:val="SourceText"/>
              </w:rPr>
              <w:t>step</w:t>
            </w:r>
          </w:p>
        </w:tc>
        <w:tc>
          <w:tcPr>
            <w:tcW w:w="1686" w:type="dxa"/>
            <w:tcBorders/>
            <w:vAlign w:val="center"/>
          </w:tcPr>
          <w:p>
            <w:pPr>
              <w:pStyle w:val="TableContents"/>
              <w:bidi w:val="0"/>
              <w:spacing w:before="0" w:after="283"/>
              <w:jc w:val="left"/>
              <w:rPr/>
            </w:pPr>
            <w:r>
              <w:rPr/>
              <w:t>INT</w:t>
            </w:r>
          </w:p>
        </w:tc>
        <w:tc>
          <w:tcPr>
            <w:tcW w:w="4864" w:type="dxa"/>
            <w:tcBorders/>
            <w:vAlign w:val="center"/>
          </w:tcPr>
          <w:p>
            <w:pPr>
              <w:pStyle w:val="TableContents"/>
              <w:bidi w:val="0"/>
              <w:spacing w:before="0" w:after="283"/>
              <w:jc w:val="left"/>
              <w:rPr/>
            </w:pPr>
            <w:r>
              <w:rPr/>
              <w:t>Hours since sim start (1–744). Only time signal we get.</w:t>
            </w:r>
          </w:p>
        </w:tc>
      </w:tr>
      <w:tr>
        <w:trPr/>
        <w:tc>
          <w:tcPr>
            <w:tcW w:w="2432" w:type="dxa"/>
            <w:tcBorders/>
            <w:vAlign w:val="center"/>
          </w:tcPr>
          <w:p>
            <w:pPr>
              <w:pStyle w:val="TableContents"/>
              <w:bidi w:val="0"/>
              <w:spacing w:before="0" w:after="283"/>
              <w:jc w:val="left"/>
              <w:rPr/>
            </w:pPr>
            <w:r>
              <w:rPr>
                <w:rStyle w:val="SourceText"/>
              </w:rPr>
              <w:t>type</w:t>
            </w:r>
          </w:p>
        </w:tc>
        <w:tc>
          <w:tcPr>
            <w:tcW w:w="1686" w:type="dxa"/>
            <w:tcBorders/>
            <w:vAlign w:val="center"/>
          </w:tcPr>
          <w:p>
            <w:pPr>
              <w:pStyle w:val="TableContents"/>
              <w:bidi w:val="0"/>
              <w:spacing w:before="0" w:after="283"/>
              <w:jc w:val="left"/>
              <w:rPr/>
            </w:pPr>
            <w:r>
              <w:rPr/>
              <w:t>STRING</w:t>
            </w:r>
          </w:p>
        </w:tc>
        <w:tc>
          <w:tcPr>
            <w:tcW w:w="4864" w:type="dxa"/>
            <w:tcBorders/>
            <w:vAlign w:val="center"/>
          </w:tcPr>
          <w:p>
            <w:pPr>
              <w:pStyle w:val="TableContents"/>
              <w:bidi w:val="0"/>
              <w:spacing w:before="0" w:after="283"/>
              <w:jc w:val="left"/>
              <w:rPr/>
            </w:pPr>
            <w:r>
              <w:rPr/>
              <w:t>CASH_IN / CASH_OUT / PAYMENT / TRANSFER / DEBIT</w:t>
            </w:r>
          </w:p>
        </w:tc>
      </w:tr>
      <w:tr>
        <w:trPr/>
        <w:tc>
          <w:tcPr>
            <w:tcW w:w="2432" w:type="dxa"/>
            <w:tcBorders/>
            <w:vAlign w:val="center"/>
          </w:tcPr>
          <w:p>
            <w:pPr>
              <w:pStyle w:val="TableContents"/>
              <w:bidi w:val="0"/>
              <w:spacing w:before="0" w:after="283"/>
              <w:jc w:val="left"/>
              <w:rPr/>
            </w:pPr>
            <w:r>
              <w:rPr>
                <w:rStyle w:val="SourceText"/>
              </w:rPr>
              <w:t>amount</w:t>
            </w:r>
          </w:p>
        </w:tc>
        <w:tc>
          <w:tcPr>
            <w:tcW w:w="1686" w:type="dxa"/>
            <w:tcBorders/>
            <w:vAlign w:val="center"/>
          </w:tcPr>
          <w:p>
            <w:pPr>
              <w:pStyle w:val="TableContents"/>
              <w:bidi w:val="0"/>
              <w:spacing w:before="0" w:after="283"/>
              <w:jc w:val="left"/>
              <w:rPr/>
            </w:pPr>
            <w:r>
              <w:rPr/>
              <w:t>DOUBLE</w:t>
            </w:r>
          </w:p>
        </w:tc>
        <w:tc>
          <w:tcPr>
            <w:tcW w:w="4864" w:type="dxa"/>
            <w:tcBorders/>
            <w:vAlign w:val="center"/>
          </w:tcPr>
          <w:p>
            <w:pPr>
              <w:pStyle w:val="TableContents"/>
              <w:bidi w:val="0"/>
              <w:spacing w:before="0" w:after="283"/>
              <w:jc w:val="left"/>
              <w:rPr>
                <w:sz w:val="4"/>
                <w:szCs w:val="4"/>
              </w:rPr>
            </w:pPr>
            <w:r>
              <w:rPr>
                <w:sz w:val="4"/>
                <w:szCs w:val="4"/>
              </w:rPr>
            </w:r>
          </w:p>
        </w:tc>
      </w:tr>
      <w:tr>
        <w:trPr/>
        <w:tc>
          <w:tcPr>
            <w:tcW w:w="2432" w:type="dxa"/>
            <w:tcBorders/>
            <w:vAlign w:val="center"/>
          </w:tcPr>
          <w:p>
            <w:pPr>
              <w:pStyle w:val="TableContents"/>
              <w:bidi w:val="0"/>
              <w:spacing w:before="0" w:after="283"/>
              <w:jc w:val="left"/>
              <w:rPr/>
            </w:pPr>
            <w:r>
              <w:rPr>
                <w:rStyle w:val="SourceText"/>
              </w:rPr>
              <w:t>nameOrig</w:t>
            </w:r>
          </w:p>
        </w:tc>
        <w:tc>
          <w:tcPr>
            <w:tcW w:w="1686" w:type="dxa"/>
            <w:tcBorders/>
            <w:vAlign w:val="center"/>
          </w:tcPr>
          <w:p>
            <w:pPr>
              <w:pStyle w:val="TableContents"/>
              <w:bidi w:val="0"/>
              <w:spacing w:before="0" w:after="283"/>
              <w:jc w:val="left"/>
              <w:rPr/>
            </w:pPr>
            <w:r>
              <w:rPr/>
              <w:t>STRING</w:t>
            </w:r>
          </w:p>
        </w:tc>
        <w:tc>
          <w:tcPr>
            <w:tcW w:w="4864" w:type="dxa"/>
            <w:tcBorders/>
            <w:vAlign w:val="center"/>
          </w:tcPr>
          <w:p>
            <w:pPr>
              <w:pStyle w:val="TableContents"/>
              <w:bidi w:val="0"/>
              <w:spacing w:before="0" w:after="283"/>
              <w:jc w:val="left"/>
              <w:rPr/>
            </w:pPr>
            <w:r>
              <w:rPr/>
              <w:t>Sender account (C… = customer)</w:t>
            </w:r>
          </w:p>
        </w:tc>
      </w:tr>
      <w:tr>
        <w:trPr/>
        <w:tc>
          <w:tcPr>
            <w:tcW w:w="2432" w:type="dxa"/>
            <w:tcBorders/>
            <w:vAlign w:val="center"/>
          </w:tcPr>
          <w:p>
            <w:pPr>
              <w:pStyle w:val="TableContents"/>
              <w:bidi w:val="0"/>
              <w:spacing w:before="0" w:after="283"/>
              <w:jc w:val="left"/>
              <w:rPr/>
            </w:pPr>
            <w:r>
              <w:rPr>
                <w:rStyle w:val="SourceText"/>
              </w:rPr>
              <w:t>oldbalanceOrg</w:t>
            </w:r>
          </w:p>
        </w:tc>
        <w:tc>
          <w:tcPr>
            <w:tcW w:w="1686" w:type="dxa"/>
            <w:tcBorders/>
            <w:vAlign w:val="center"/>
          </w:tcPr>
          <w:p>
            <w:pPr>
              <w:pStyle w:val="TableContents"/>
              <w:bidi w:val="0"/>
              <w:spacing w:before="0" w:after="283"/>
              <w:jc w:val="left"/>
              <w:rPr/>
            </w:pPr>
            <w:r>
              <w:rPr/>
              <w:t>DOUBLE</w:t>
            </w:r>
          </w:p>
        </w:tc>
        <w:tc>
          <w:tcPr>
            <w:tcW w:w="4864" w:type="dxa"/>
            <w:tcBorders/>
            <w:vAlign w:val="center"/>
          </w:tcPr>
          <w:p>
            <w:pPr>
              <w:pStyle w:val="TableContents"/>
              <w:bidi w:val="0"/>
              <w:spacing w:before="0" w:after="283"/>
              <w:jc w:val="left"/>
              <w:rPr/>
            </w:pPr>
            <w:r>
              <w:rPr/>
              <w:t>Source's ugly inconsistent name — kept! Renaming is silver's job.</w:t>
            </w:r>
          </w:p>
        </w:tc>
      </w:tr>
      <w:tr>
        <w:trPr/>
        <w:tc>
          <w:tcPr>
            <w:tcW w:w="2432" w:type="dxa"/>
            <w:tcBorders/>
            <w:vAlign w:val="center"/>
          </w:tcPr>
          <w:p>
            <w:pPr>
              <w:pStyle w:val="TableContents"/>
              <w:bidi w:val="0"/>
              <w:spacing w:before="0" w:after="283"/>
              <w:jc w:val="left"/>
              <w:rPr/>
            </w:pPr>
            <w:r>
              <w:rPr>
                <w:rStyle w:val="SourceText"/>
              </w:rPr>
              <w:t>newbalanceOrig</w:t>
            </w:r>
          </w:p>
        </w:tc>
        <w:tc>
          <w:tcPr>
            <w:tcW w:w="1686" w:type="dxa"/>
            <w:tcBorders/>
            <w:vAlign w:val="center"/>
          </w:tcPr>
          <w:p>
            <w:pPr>
              <w:pStyle w:val="TableContents"/>
              <w:bidi w:val="0"/>
              <w:spacing w:before="0" w:after="283"/>
              <w:jc w:val="left"/>
              <w:rPr/>
            </w:pPr>
            <w:r>
              <w:rPr/>
              <w:t>DOUBLE</w:t>
            </w:r>
          </w:p>
        </w:tc>
        <w:tc>
          <w:tcPr>
            <w:tcW w:w="4864" w:type="dxa"/>
            <w:tcBorders/>
            <w:vAlign w:val="center"/>
          </w:tcPr>
          <w:p>
            <w:pPr>
              <w:pStyle w:val="TableContents"/>
              <w:bidi w:val="0"/>
              <w:spacing w:before="0" w:after="283"/>
              <w:jc w:val="left"/>
              <w:rPr>
                <w:sz w:val="4"/>
                <w:szCs w:val="4"/>
              </w:rPr>
            </w:pPr>
            <w:r>
              <w:rPr>
                <w:sz w:val="4"/>
                <w:szCs w:val="4"/>
              </w:rPr>
            </w:r>
          </w:p>
        </w:tc>
      </w:tr>
      <w:tr>
        <w:trPr/>
        <w:tc>
          <w:tcPr>
            <w:tcW w:w="2432" w:type="dxa"/>
            <w:tcBorders/>
            <w:vAlign w:val="center"/>
          </w:tcPr>
          <w:p>
            <w:pPr>
              <w:pStyle w:val="TableContents"/>
              <w:bidi w:val="0"/>
              <w:spacing w:before="0" w:after="283"/>
              <w:jc w:val="left"/>
              <w:rPr/>
            </w:pPr>
            <w:r>
              <w:rPr>
                <w:rStyle w:val="SourceText"/>
              </w:rPr>
              <w:t>nameDest</w:t>
            </w:r>
          </w:p>
        </w:tc>
        <w:tc>
          <w:tcPr>
            <w:tcW w:w="1686" w:type="dxa"/>
            <w:tcBorders/>
            <w:vAlign w:val="center"/>
          </w:tcPr>
          <w:p>
            <w:pPr>
              <w:pStyle w:val="TableContents"/>
              <w:bidi w:val="0"/>
              <w:spacing w:before="0" w:after="283"/>
              <w:jc w:val="left"/>
              <w:rPr/>
            </w:pPr>
            <w:r>
              <w:rPr/>
              <w:t>STRING</w:t>
            </w:r>
          </w:p>
        </w:tc>
        <w:tc>
          <w:tcPr>
            <w:tcW w:w="4864" w:type="dxa"/>
            <w:tcBorders/>
            <w:vAlign w:val="center"/>
          </w:tcPr>
          <w:p>
            <w:pPr>
              <w:pStyle w:val="TableContents"/>
              <w:bidi w:val="0"/>
              <w:spacing w:before="0" w:after="283"/>
              <w:jc w:val="left"/>
              <w:rPr/>
            </w:pPr>
            <w:r>
              <w:rPr/>
              <w:t>Receiver (C… = customer, M… = merchant)</w:t>
            </w:r>
          </w:p>
        </w:tc>
      </w:tr>
      <w:tr>
        <w:trPr/>
        <w:tc>
          <w:tcPr>
            <w:tcW w:w="2432" w:type="dxa"/>
            <w:tcBorders/>
            <w:vAlign w:val="center"/>
          </w:tcPr>
          <w:p>
            <w:pPr>
              <w:pStyle w:val="TableContents"/>
              <w:bidi w:val="0"/>
              <w:spacing w:before="0" w:after="283"/>
              <w:jc w:val="left"/>
              <w:rPr/>
            </w:pPr>
            <w:r>
              <w:rPr>
                <w:rStyle w:val="SourceText"/>
              </w:rPr>
              <w:t>oldbalanceDest</w:t>
            </w:r>
          </w:p>
        </w:tc>
        <w:tc>
          <w:tcPr>
            <w:tcW w:w="1686" w:type="dxa"/>
            <w:tcBorders/>
            <w:vAlign w:val="center"/>
          </w:tcPr>
          <w:p>
            <w:pPr>
              <w:pStyle w:val="TableContents"/>
              <w:bidi w:val="0"/>
              <w:spacing w:before="0" w:after="283"/>
              <w:jc w:val="left"/>
              <w:rPr/>
            </w:pPr>
            <w:r>
              <w:rPr/>
              <w:t>DOUBLE</w:t>
            </w:r>
          </w:p>
        </w:tc>
        <w:tc>
          <w:tcPr>
            <w:tcW w:w="4864" w:type="dxa"/>
            <w:tcBorders/>
            <w:vAlign w:val="center"/>
          </w:tcPr>
          <w:p>
            <w:pPr>
              <w:pStyle w:val="TableContents"/>
              <w:bidi w:val="0"/>
              <w:spacing w:before="0" w:after="283"/>
              <w:jc w:val="left"/>
              <w:rPr>
                <w:sz w:val="4"/>
                <w:szCs w:val="4"/>
              </w:rPr>
            </w:pPr>
            <w:r>
              <w:rPr>
                <w:sz w:val="4"/>
                <w:szCs w:val="4"/>
              </w:rPr>
            </w:r>
          </w:p>
        </w:tc>
      </w:tr>
      <w:tr>
        <w:trPr/>
        <w:tc>
          <w:tcPr>
            <w:tcW w:w="2432" w:type="dxa"/>
            <w:tcBorders/>
            <w:vAlign w:val="center"/>
          </w:tcPr>
          <w:p>
            <w:pPr>
              <w:pStyle w:val="TableContents"/>
              <w:bidi w:val="0"/>
              <w:spacing w:before="0" w:after="283"/>
              <w:jc w:val="left"/>
              <w:rPr/>
            </w:pPr>
            <w:r>
              <w:rPr>
                <w:rStyle w:val="SourceText"/>
              </w:rPr>
              <w:t>newbalanceDest</w:t>
            </w:r>
          </w:p>
        </w:tc>
        <w:tc>
          <w:tcPr>
            <w:tcW w:w="1686" w:type="dxa"/>
            <w:tcBorders/>
            <w:vAlign w:val="center"/>
          </w:tcPr>
          <w:p>
            <w:pPr>
              <w:pStyle w:val="TableContents"/>
              <w:bidi w:val="0"/>
              <w:spacing w:before="0" w:after="283"/>
              <w:jc w:val="left"/>
              <w:rPr/>
            </w:pPr>
            <w:r>
              <w:rPr/>
              <w:t>DOUBLE</w:t>
            </w:r>
          </w:p>
        </w:tc>
        <w:tc>
          <w:tcPr>
            <w:tcW w:w="4864" w:type="dxa"/>
            <w:tcBorders/>
            <w:vAlign w:val="center"/>
          </w:tcPr>
          <w:p>
            <w:pPr>
              <w:pStyle w:val="TableContents"/>
              <w:bidi w:val="0"/>
              <w:spacing w:before="0" w:after="283"/>
              <w:jc w:val="left"/>
              <w:rPr>
                <w:sz w:val="4"/>
                <w:szCs w:val="4"/>
              </w:rPr>
            </w:pPr>
            <w:r>
              <w:rPr>
                <w:sz w:val="4"/>
                <w:szCs w:val="4"/>
              </w:rPr>
            </w:r>
          </w:p>
        </w:tc>
      </w:tr>
      <w:tr>
        <w:trPr/>
        <w:tc>
          <w:tcPr>
            <w:tcW w:w="2432" w:type="dxa"/>
            <w:tcBorders/>
            <w:vAlign w:val="center"/>
          </w:tcPr>
          <w:p>
            <w:pPr>
              <w:pStyle w:val="TableContents"/>
              <w:bidi w:val="0"/>
              <w:spacing w:before="0" w:after="283"/>
              <w:jc w:val="left"/>
              <w:rPr/>
            </w:pPr>
            <w:r>
              <w:rPr>
                <w:rStyle w:val="SourceText"/>
              </w:rPr>
              <w:t>isFraud</w:t>
            </w:r>
          </w:p>
        </w:tc>
        <w:tc>
          <w:tcPr>
            <w:tcW w:w="1686" w:type="dxa"/>
            <w:tcBorders/>
            <w:vAlign w:val="center"/>
          </w:tcPr>
          <w:p>
            <w:pPr>
              <w:pStyle w:val="TableContents"/>
              <w:bidi w:val="0"/>
              <w:spacing w:before="0" w:after="283"/>
              <w:jc w:val="left"/>
              <w:rPr/>
            </w:pPr>
            <w:r>
              <w:rPr/>
              <w:t>INT</w:t>
            </w:r>
          </w:p>
        </w:tc>
        <w:tc>
          <w:tcPr>
            <w:tcW w:w="4864" w:type="dxa"/>
            <w:tcBorders/>
            <w:vAlign w:val="center"/>
          </w:tcPr>
          <w:p>
            <w:pPr>
              <w:pStyle w:val="TableContents"/>
              <w:bidi w:val="0"/>
              <w:spacing w:before="0" w:after="283"/>
              <w:jc w:val="left"/>
              <w:rPr/>
            </w:pPr>
            <w:r>
              <w:rPr/>
              <w:t>Ground-truth label (simulation luxury)</w:t>
            </w:r>
          </w:p>
        </w:tc>
      </w:tr>
      <w:tr>
        <w:trPr/>
        <w:tc>
          <w:tcPr>
            <w:tcW w:w="2432" w:type="dxa"/>
            <w:tcBorders/>
            <w:vAlign w:val="center"/>
          </w:tcPr>
          <w:p>
            <w:pPr>
              <w:pStyle w:val="TableContents"/>
              <w:bidi w:val="0"/>
              <w:spacing w:before="0" w:after="283"/>
              <w:jc w:val="left"/>
              <w:rPr/>
            </w:pPr>
            <w:r>
              <w:rPr>
                <w:rStyle w:val="SourceText"/>
              </w:rPr>
              <w:t>isFlaggedFraud</w:t>
            </w:r>
          </w:p>
        </w:tc>
        <w:tc>
          <w:tcPr>
            <w:tcW w:w="1686" w:type="dxa"/>
            <w:tcBorders/>
            <w:vAlign w:val="center"/>
          </w:tcPr>
          <w:p>
            <w:pPr>
              <w:pStyle w:val="TableContents"/>
              <w:bidi w:val="0"/>
              <w:spacing w:before="0" w:after="283"/>
              <w:jc w:val="left"/>
              <w:rPr/>
            </w:pPr>
            <w:r>
              <w:rPr/>
              <w:t>INT</w:t>
            </w:r>
          </w:p>
        </w:tc>
        <w:tc>
          <w:tcPr>
            <w:tcW w:w="4864" w:type="dxa"/>
            <w:tcBorders/>
            <w:vAlign w:val="center"/>
          </w:tcPr>
          <w:p>
            <w:pPr>
              <w:pStyle w:val="TableContents"/>
              <w:bidi w:val="0"/>
              <w:spacing w:before="0" w:after="283"/>
              <w:jc w:val="left"/>
              <w:rPr/>
            </w:pPr>
            <w:r>
              <w:rPr/>
              <w:t>Old rule engine's output (nearly useless)</w:t>
            </w:r>
          </w:p>
        </w:tc>
      </w:tr>
      <w:tr>
        <w:trPr/>
        <w:tc>
          <w:tcPr>
            <w:tcW w:w="2432" w:type="dxa"/>
            <w:tcBorders/>
            <w:vAlign w:val="center"/>
          </w:tcPr>
          <w:p>
            <w:pPr>
              <w:pStyle w:val="TableContents"/>
              <w:bidi w:val="0"/>
              <w:spacing w:before="0" w:after="283"/>
              <w:jc w:val="left"/>
              <w:rPr/>
            </w:pPr>
            <w:r>
              <w:rPr>
                <w:rStyle w:val="SourceText"/>
              </w:rPr>
              <w:t>source_file</w:t>
            </w:r>
          </w:p>
        </w:tc>
        <w:tc>
          <w:tcPr>
            <w:tcW w:w="1686" w:type="dxa"/>
            <w:tcBorders/>
            <w:vAlign w:val="center"/>
          </w:tcPr>
          <w:p>
            <w:pPr>
              <w:pStyle w:val="TableContents"/>
              <w:bidi w:val="0"/>
              <w:spacing w:before="0" w:after="283"/>
              <w:jc w:val="left"/>
              <w:rPr/>
            </w:pPr>
            <w:r>
              <w:rPr/>
              <w:t>STRING</w:t>
            </w:r>
          </w:p>
        </w:tc>
        <w:tc>
          <w:tcPr>
            <w:tcW w:w="4864" w:type="dxa"/>
            <w:tcBorders/>
            <w:vAlign w:val="center"/>
          </w:tcPr>
          <w:p>
            <w:pPr>
              <w:pStyle w:val="TableContents"/>
              <w:bidi w:val="0"/>
              <w:spacing w:before="0" w:after="283"/>
              <w:jc w:val="left"/>
              <w:rPr/>
            </w:pPr>
            <w:r>
              <w:rPr/>
              <w:t>Audit: which landing file</w:t>
            </w:r>
          </w:p>
        </w:tc>
      </w:tr>
      <w:tr>
        <w:trPr/>
        <w:tc>
          <w:tcPr>
            <w:tcW w:w="2432" w:type="dxa"/>
            <w:tcBorders/>
            <w:vAlign w:val="center"/>
          </w:tcPr>
          <w:p>
            <w:pPr>
              <w:pStyle w:val="TableContents"/>
              <w:bidi w:val="0"/>
              <w:spacing w:before="0" w:after="283"/>
              <w:jc w:val="left"/>
              <w:rPr/>
            </w:pPr>
            <w:r>
              <w:rPr>
                <w:rStyle w:val="SourceText"/>
              </w:rPr>
              <w:t>ingest_timestamp</w:t>
            </w:r>
          </w:p>
        </w:tc>
        <w:tc>
          <w:tcPr>
            <w:tcW w:w="1686" w:type="dxa"/>
            <w:tcBorders/>
            <w:vAlign w:val="center"/>
          </w:tcPr>
          <w:p>
            <w:pPr>
              <w:pStyle w:val="TableContents"/>
              <w:bidi w:val="0"/>
              <w:spacing w:before="0" w:after="283"/>
              <w:jc w:val="left"/>
              <w:rPr/>
            </w:pPr>
            <w:r>
              <w:rPr/>
              <w:t>TIMESTAMP</w:t>
            </w:r>
          </w:p>
        </w:tc>
        <w:tc>
          <w:tcPr>
            <w:tcW w:w="4864" w:type="dxa"/>
            <w:tcBorders/>
            <w:vAlign w:val="center"/>
          </w:tcPr>
          <w:p>
            <w:pPr>
              <w:pStyle w:val="TableContents"/>
              <w:bidi w:val="0"/>
              <w:spacing w:before="0" w:after="283"/>
              <w:jc w:val="left"/>
              <w:rPr/>
            </w:pPr>
            <w:r>
              <w:rPr/>
              <w:t>Audit: when loaded</w:t>
            </w:r>
          </w:p>
        </w:tc>
      </w:tr>
      <w:tr>
        <w:trPr/>
        <w:tc>
          <w:tcPr>
            <w:tcW w:w="2432" w:type="dxa"/>
            <w:tcBorders/>
            <w:vAlign w:val="center"/>
          </w:tcPr>
          <w:p>
            <w:pPr>
              <w:pStyle w:val="TableContents"/>
              <w:bidi w:val="0"/>
              <w:spacing w:before="0" w:after="283"/>
              <w:jc w:val="left"/>
              <w:rPr/>
            </w:pPr>
            <w:r>
              <w:rPr>
                <w:rStyle w:val="SourceText"/>
              </w:rPr>
              <w:t>batch_date</w:t>
            </w:r>
          </w:p>
        </w:tc>
        <w:tc>
          <w:tcPr>
            <w:tcW w:w="1686" w:type="dxa"/>
            <w:tcBorders/>
            <w:vAlign w:val="center"/>
          </w:tcPr>
          <w:p>
            <w:pPr>
              <w:pStyle w:val="TableContents"/>
              <w:bidi w:val="0"/>
              <w:spacing w:before="0" w:after="283"/>
              <w:jc w:val="left"/>
              <w:rPr/>
            </w:pPr>
            <w:r>
              <w:rPr/>
              <w:t>DATE</w:t>
            </w:r>
          </w:p>
        </w:tc>
        <w:tc>
          <w:tcPr>
            <w:tcW w:w="4864" w:type="dxa"/>
            <w:tcBorders/>
            <w:vAlign w:val="center"/>
          </w:tcPr>
          <w:p>
            <w:pPr>
              <w:pStyle w:val="TableContents"/>
              <w:bidi w:val="0"/>
              <w:spacing w:before="0" w:after="283"/>
              <w:jc w:val="left"/>
              <w:rPr/>
            </w:pPr>
            <w:r>
              <w:rPr/>
              <w:t>Audit: which daily batch; enables per-day reprocessing</w:t>
            </w:r>
          </w:p>
        </w:tc>
      </w:tr>
    </w:tbl>
    <w:p>
      <w:pPr>
        <w:pStyle w:val="BodyText"/>
        <w:bidi w:val="0"/>
        <w:jc w:val="left"/>
        <w:rPr/>
      </w:pPr>
      <w:r>
        <w:rPr/>
        <w:t xml:space="preserve">Rules: </w:t>
      </w:r>
      <w:r>
        <w:rPr>
          <w:rStyle w:val="Strong"/>
        </w:rPr>
        <w:t xml:space="preserve">explicit schema at read, never </w:t>
      </w:r>
      <w:r>
        <w:rPr>
          <w:rStyle w:val="SourceText"/>
        </w:rPr>
        <w:t>inferSchema</w:t>
      </w:r>
      <w:r>
        <w:rPr/>
        <w:t xml:space="preserve"> (inference can silently change types between files); append-only; idempotent per </w:t>
      </w:r>
      <w:r>
        <w:rPr>
          <w:rStyle w:val="SourceText"/>
        </w:rPr>
        <w:t>batch_date</w:t>
      </w:r>
      <w:r>
        <w:rPr/>
        <w:t>.</w:t>
      </w:r>
    </w:p>
    <w:p>
      <w:pPr>
        <w:pStyle w:val="Heading2"/>
        <w:bidi w:val="0"/>
        <w:jc w:val="left"/>
        <w:rPr/>
      </w:pPr>
      <w:r>
        <w:rPr/>
        <w:t>Storage conventions</w:t>
      </w:r>
    </w:p>
    <w:tbl>
      <w:tblPr>
        <w:tblW w:w="8982" w:type="dxa"/>
        <w:jc w:val="left"/>
        <w:tblInd w:w="28" w:type="dxa"/>
        <w:tblLayout w:type="fixed"/>
        <w:tblCellMar>
          <w:top w:w="28" w:type="dxa"/>
          <w:left w:w="28" w:type="dxa"/>
          <w:bottom w:w="28" w:type="dxa"/>
          <w:right w:w="28" w:type="dxa"/>
        </w:tblCellMar>
      </w:tblPr>
      <w:tblGrid>
        <w:gridCol w:w="1739"/>
        <w:gridCol w:w="7243"/>
      </w:tblGrid>
      <w:tr>
        <w:trPr/>
        <w:tc>
          <w:tcPr>
            <w:tcW w:w="1739" w:type="dxa"/>
            <w:tcBorders/>
            <w:vAlign w:val="center"/>
          </w:tcPr>
          <w:p>
            <w:pPr>
              <w:pStyle w:val="TableHeading"/>
              <w:suppressLineNumbers/>
              <w:bidi w:val="0"/>
              <w:spacing w:before="0" w:after="283"/>
              <w:jc w:val="left"/>
              <w:rPr/>
            </w:pPr>
            <w:r>
              <w:rPr/>
              <w:t>Thing</w:t>
            </w:r>
          </w:p>
        </w:tc>
        <w:tc>
          <w:tcPr>
            <w:tcW w:w="7243" w:type="dxa"/>
            <w:tcBorders/>
            <w:vAlign w:val="center"/>
          </w:tcPr>
          <w:p>
            <w:pPr>
              <w:pStyle w:val="TableHeading"/>
              <w:suppressLineNumbers/>
              <w:bidi w:val="0"/>
              <w:spacing w:before="0" w:after="283"/>
              <w:jc w:val="left"/>
              <w:rPr/>
            </w:pPr>
            <w:r>
              <w:rPr/>
              <w:t>Convention</w:t>
            </w:r>
          </w:p>
        </w:tc>
      </w:tr>
      <w:tr>
        <w:trPr/>
        <w:tc>
          <w:tcPr>
            <w:tcW w:w="1739" w:type="dxa"/>
            <w:tcBorders/>
            <w:vAlign w:val="center"/>
          </w:tcPr>
          <w:p>
            <w:pPr>
              <w:pStyle w:val="TableContents"/>
              <w:bidi w:val="0"/>
              <w:spacing w:before="0" w:after="283"/>
              <w:jc w:val="left"/>
              <w:rPr/>
            </w:pPr>
            <w:r>
              <w:rPr/>
              <w:t>Catalog</w:t>
            </w:r>
          </w:p>
        </w:tc>
        <w:tc>
          <w:tcPr>
            <w:tcW w:w="7243" w:type="dxa"/>
            <w:tcBorders/>
            <w:vAlign w:val="center"/>
          </w:tcPr>
          <w:p>
            <w:pPr>
              <w:pStyle w:val="TableContents"/>
              <w:bidi w:val="0"/>
              <w:spacing w:before="0" w:after="283"/>
              <w:jc w:val="left"/>
              <w:rPr/>
            </w:pPr>
            <w:r>
              <w:rPr>
                <w:rStyle w:val="SourceText"/>
              </w:rPr>
              <w:t>workspace</w:t>
            </w:r>
            <w:r>
              <w:rPr/>
              <w:t xml:space="preserve"> (Free Edition default)</w:t>
            </w:r>
          </w:p>
        </w:tc>
      </w:tr>
      <w:tr>
        <w:trPr/>
        <w:tc>
          <w:tcPr>
            <w:tcW w:w="1739" w:type="dxa"/>
            <w:tcBorders/>
            <w:vAlign w:val="center"/>
          </w:tcPr>
          <w:p>
            <w:pPr>
              <w:pStyle w:val="TableContents"/>
              <w:bidi w:val="0"/>
              <w:spacing w:before="0" w:after="283"/>
              <w:jc w:val="left"/>
              <w:rPr/>
            </w:pPr>
            <w:r>
              <w:rPr/>
              <w:t>Schemas</w:t>
            </w:r>
          </w:p>
        </w:tc>
        <w:tc>
          <w:tcPr>
            <w:tcW w:w="7243" w:type="dxa"/>
            <w:tcBorders/>
            <w:vAlign w:val="center"/>
          </w:tcPr>
          <w:p>
            <w:pPr>
              <w:pStyle w:val="TableContents"/>
              <w:bidi w:val="0"/>
              <w:spacing w:before="0" w:after="283"/>
              <w:jc w:val="left"/>
              <w:rPr/>
            </w:pPr>
            <w:r>
              <w:rPr>
                <w:rStyle w:val="SourceText"/>
              </w:rPr>
              <w:t>bronze</w:t>
            </w:r>
            <w:r>
              <w:rPr/>
              <w:t xml:space="preserve">, </w:t>
            </w:r>
            <w:r>
              <w:rPr>
                <w:rStyle w:val="SourceText"/>
              </w:rPr>
              <w:t>silver</w:t>
            </w:r>
            <w:r>
              <w:rPr/>
              <w:t xml:space="preserve">, </w:t>
            </w:r>
            <w:r>
              <w:rPr>
                <w:rStyle w:val="SourceText"/>
              </w:rPr>
              <w:t>gold</w:t>
            </w:r>
            <w:r>
              <w:rPr/>
              <w:t xml:space="preserve">, </w:t>
            </w:r>
            <w:r>
              <w:rPr>
                <w:rStyle w:val="SourceText"/>
              </w:rPr>
              <w:t>ops</w:t>
            </w:r>
            <w:r>
              <w:rPr/>
              <w:t xml:space="preserve"> (ingest logs + quarantine)</w:t>
            </w:r>
          </w:p>
        </w:tc>
      </w:tr>
      <w:tr>
        <w:trPr/>
        <w:tc>
          <w:tcPr>
            <w:tcW w:w="1739" w:type="dxa"/>
            <w:tcBorders/>
            <w:vAlign w:val="center"/>
          </w:tcPr>
          <w:p>
            <w:pPr>
              <w:pStyle w:val="TableContents"/>
              <w:bidi w:val="0"/>
              <w:spacing w:before="0" w:after="283"/>
              <w:jc w:val="left"/>
              <w:rPr/>
            </w:pPr>
            <w:r>
              <w:rPr/>
              <w:t>Table names</w:t>
            </w:r>
          </w:p>
        </w:tc>
        <w:tc>
          <w:tcPr>
            <w:tcW w:w="7243" w:type="dxa"/>
            <w:tcBorders/>
            <w:vAlign w:val="center"/>
          </w:tcPr>
          <w:p>
            <w:pPr>
              <w:pStyle w:val="TableContents"/>
              <w:bidi w:val="0"/>
              <w:spacing w:before="0" w:after="283"/>
              <w:jc w:val="left"/>
              <w:rPr/>
            </w:pPr>
            <w:r>
              <w:rPr/>
              <w:t xml:space="preserve">lowercase snake_case; layer expressed by schema: </w:t>
            </w:r>
            <w:r>
              <w:rPr>
                <w:rStyle w:val="SourceText"/>
              </w:rPr>
              <w:t>workspace.bronze.transactions</w:t>
            </w:r>
          </w:p>
        </w:tc>
      </w:tr>
      <w:tr>
        <w:trPr/>
        <w:tc>
          <w:tcPr>
            <w:tcW w:w="1739" w:type="dxa"/>
            <w:tcBorders/>
            <w:vAlign w:val="center"/>
          </w:tcPr>
          <w:p>
            <w:pPr>
              <w:pStyle w:val="TableContents"/>
              <w:bidi w:val="0"/>
              <w:spacing w:before="0" w:after="283"/>
              <w:jc w:val="left"/>
              <w:rPr/>
            </w:pPr>
            <w:r>
              <w:rPr/>
              <w:t>Landing volume</w:t>
            </w:r>
          </w:p>
        </w:tc>
        <w:tc>
          <w:tcPr>
            <w:tcW w:w="7243" w:type="dxa"/>
            <w:tcBorders/>
            <w:vAlign w:val="center"/>
          </w:tcPr>
          <w:p>
            <w:pPr>
              <w:pStyle w:val="TableContents"/>
              <w:bidi w:val="0"/>
              <w:spacing w:before="0" w:after="283"/>
              <w:jc w:val="left"/>
              <w:rPr/>
            </w:pPr>
            <w:r>
              <w:rPr>
                <w:rStyle w:val="SourceText"/>
              </w:rPr>
              <w:t>/Volumes/workspace/bronze/landing/date=YYYY-MM-DD/transactions.csv</w:t>
            </w:r>
          </w:p>
        </w:tc>
      </w:tr>
      <w:tr>
        <w:trPr/>
        <w:tc>
          <w:tcPr>
            <w:tcW w:w="1739" w:type="dxa"/>
            <w:tcBorders/>
            <w:vAlign w:val="center"/>
          </w:tcPr>
          <w:p>
            <w:pPr>
              <w:pStyle w:val="TableContents"/>
              <w:bidi w:val="0"/>
              <w:spacing w:before="0" w:after="283"/>
              <w:jc w:val="left"/>
              <w:rPr/>
            </w:pPr>
            <w:r>
              <w:rPr/>
              <w:t>Landing retention</w:t>
            </w:r>
          </w:p>
        </w:tc>
        <w:tc>
          <w:tcPr>
            <w:tcW w:w="7243" w:type="dxa"/>
            <w:tcBorders/>
            <w:vAlign w:val="center"/>
          </w:tcPr>
          <w:p>
            <w:pPr>
              <w:pStyle w:val="TableContents"/>
              <w:bidi w:val="0"/>
              <w:spacing w:before="0" w:after="283"/>
              <w:jc w:val="left"/>
              <w:rPr/>
            </w:pPr>
            <w:r>
              <w:rPr/>
              <w:t>Disposable 30 days after ingestion — bronze is the source of truth</w:t>
            </w:r>
          </w:p>
        </w:tc>
      </w:tr>
      <w:tr>
        <w:trPr/>
        <w:tc>
          <w:tcPr>
            <w:tcW w:w="1739" w:type="dxa"/>
            <w:tcBorders/>
            <w:vAlign w:val="center"/>
          </w:tcPr>
          <w:p>
            <w:pPr>
              <w:pStyle w:val="TableContents"/>
              <w:bidi w:val="0"/>
              <w:spacing w:before="0" w:after="283"/>
              <w:jc w:val="left"/>
              <w:rPr/>
            </w:pPr>
            <w:r>
              <w:rPr/>
              <w:t>Table format</w:t>
            </w:r>
          </w:p>
        </w:tc>
        <w:tc>
          <w:tcPr>
            <w:tcW w:w="7243" w:type="dxa"/>
            <w:tcBorders/>
            <w:vAlign w:val="center"/>
          </w:tcPr>
          <w:p>
            <w:pPr>
              <w:pStyle w:val="TableContents"/>
              <w:bidi w:val="0"/>
              <w:spacing w:before="0" w:after="283"/>
              <w:jc w:val="left"/>
              <w:rPr/>
            </w:pPr>
            <w:r>
              <w:rPr/>
              <w:t>Managed Delta tables, everywhere</w:t>
            </w:r>
          </w:p>
        </w:tc>
      </w:tr>
    </w:tbl>
    <w:p>
      <w:pPr>
        <w:pStyle w:val="Heading2"/>
        <w:bidi w:val="0"/>
        <w:jc w:val="left"/>
        <w:rPr/>
      </w:pPr>
      <w:r>
        <w:rPr/>
        <w:t>Data profiling checklist (run on bronze → becomes silver's design)</w:t>
      </w:r>
    </w:p>
    <w:p>
      <w:pPr>
        <w:pStyle w:val="BodyText"/>
        <w:bidi w:val="0"/>
        <w:jc w:val="left"/>
        <w:rPr/>
      </w:pPr>
      <w:r>
        <w:rPr/>
        <w:t>Each check produces evidence; each piece of evidence becomes (or kills) a silver cleaning rule. Predictions written before running — part of the learning.</w:t>
      </w:r>
    </w:p>
    <w:tbl>
      <w:tblPr>
        <w:tblW w:w="8982" w:type="dxa"/>
        <w:jc w:val="left"/>
        <w:tblInd w:w="28" w:type="dxa"/>
        <w:tblLayout w:type="fixed"/>
        <w:tblCellMar>
          <w:top w:w="28" w:type="dxa"/>
          <w:left w:w="28" w:type="dxa"/>
          <w:bottom w:w="28" w:type="dxa"/>
          <w:right w:w="28" w:type="dxa"/>
        </w:tblCellMar>
      </w:tblPr>
      <w:tblGrid>
        <w:gridCol w:w="426"/>
        <w:gridCol w:w="4407"/>
        <w:gridCol w:w="4149"/>
      </w:tblGrid>
      <w:tr>
        <w:trPr/>
        <w:tc>
          <w:tcPr>
            <w:tcW w:w="426" w:type="dxa"/>
            <w:tcBorders/>
            <w:vAlign w:val="center"/>
          </w:tcPr>
          <w:p>
            <w:pPr>
              <w:pStyle w:val="TableHeading"/>
              <w:suppressLineNumbers/>
              <w:bidi w:val="0"/>
              <w:spacing w:before="0" w:after="283"/>
              <w:jc w:val="left"/>
              <w:rPr/>
            </w:pPr>
            <w:r>
              <w:rPr/>
              <w:t>#</w:t>
            </w:r>
          </w:p>
        </w:tc>
        <w:tc>
          <w:tcPr>
            <w:tcW w:w="4407" w:type="dxa"/>
            <w:tcBorders/>
            <w:vAlign w:val="center"/>
          </w:tcPr>
          <w:p>
            <w:pPr>
              <w:pStyle w:val="TableHeading"/>
              <w:suppressLineNumbers/>
              <w:bidi w:val="0"/>
              <w:spacing w:before="0" w:after="283"/>
              <w:jc w:val="left"/>
              <w:rPr/>
            </w:pPr>
            <w:r>
              <w:rPr/>
              <w:t>Profiling question</w:t>
            </w:r>
          </w:p>
        </w:tc>
        <w:tc>
          <w:tcPr>
            <w:tcW w:w="4149" w:type="dxa"/>
            <w:tcBorders/>
            <w:vAlign w:val="center"/>
          </w:tcPr>
          <w:p>
            <w:pPr>
              <w:pStyle w:val="TableHeading"/>
              <w:suppressLineNumbers/>
              <w:bidi w:val="0"/>
              <w:spacing w:before="0" w:after="283"/>
              <w:jc w:val="left"/>
              <w:rPr/>
            </w:pPr>
            <w:r>
              <w:rPr/>
              <w:t>Possible silver rule it feeds</w:t>
            </w:r>
          </w:p>
        </w:tc>
      </w:tr>
      <w:tr>
        <w:trPr/>
        <w:tc>
          <w:tcPr>
            <w:tcW w:w="426" w:type="dxa"/>
            <w:tcBorders/>
            <w:vAlign w:val="center"/>
          </w:tcPr>
          <w:p>
            <w:pPr>
              <w:pStyle w:val="TableContents"/>
              <w:bidi w:val="0"/>
              <w:spacing w:before="0" w:after="283"/>
              <w:jc w:val="left"/>
              <w:rPr/>
            </w:pPr>
            <w:r>
              <w:rPr/>
              <w:t>1</w:t>
            </w:r>
          </w:p>
        </w:tc>
        <w:tc>
          <w:tcPr>
            <w:tcW w:w="4407" w:type="dxa"/>
            <w:tcBorders/>
            <w:vAlign w:val="center"/>
          </w:tcPr>
          <w:p>
            <w:pPr>
              <w:pStyle w:val="TableContents"/>
              <w:bidi w:val="0"/>
              <w:spacing w:before="0" w:after="283"/>
              <w:jc w:val="left"/>
              <w:rPr/>
            </w:pPr>
            <w:r>
              <w:rPr/>
              <w:t xml:space="preserve">Row count per </w:t>
            </w:r>
            <w:r>
              <w:rPr>
                <w:rStyle w:val="SourceText"/>
              </w:rPr>
              <w:t>batch_date</w:t>
            </w:r>
            <w:r>
              <w:rPr/>
              <w:t xml:space="preserve"> vs landing file line counts — did we lose rows?</w:t>
            </w:r>
          </w:p>
        </w:tc>
        <w:tc>
          <w:tcPr>
            <w:tcW w:w="4149" w:type="dxa"/>
            <w:tcBorders/>
            <w:vAlign w:val="center"/>
          </w:tcPr>
          <w:p>
            <w:pPr>
              <w:pStyle w:val="TableContents"/>
              <w:bidi w:val="0"/>
              <w:spacing w:before="0" w:after="283"/>
              <w:jc w:val="left"/>
              <w:rPr/>
            </w:pPr>
            <w:r>
              <w:rPr/>
              <w:t>Completeness check in ingest log</w:t>
            </w:r>
          </w:p>
        </w:tc>
      </w:tr>
      <w:tr>
        <w:trPr/>
        <w:tc>
          <w:tcPr>
            <w:tcW w:w="426" w:type="dxa"/>
            <w:tcBorders/>
            <w:vAlign w:val="center"/>
          </w:tcPr>
          <w:p>
            <w:pPr>
              <w:pStyle w:val="TableContents"/>
              <w:bidi w:val="0"/>
              <w:spacing w:before="0" w:after="283"/>
              <w:jc w:val="left"/>
              <w:rPr/>
            </w:pPr>
            <w:r>
              <w:rPr/>
              <w:t>2</w:t>
            </w:r>
          </w:p>
        </w:tc>
        <w:tc>
          <w:tcPr>
            <w:tcW w:w="4407" w:type="dxa"/>
            <w:tcBorders/>
            <w:vAlign w:val="center"/>
          </w:tcPr>
          <w:p>
            <w:pPr>
              <w:pStyle w:val="TableContents"/>
              <w:bidi w:val="0"/>
              <w:spacing w:before="0" w:after="283"/>
              <w:jc w:val="left"/>
              <w:rPr/>
            </w:pPr>
            <w:r>
              <w:rPr/>
              <w:t>Exact duplicate rows? Near-duplicates (same sender, step, amount, receiver)?</w:t>
            </w:r>
          </w:p>
        </w:tc>
        <w:tc>
          <w:tcPr>
            <w:tcW w:w="4149" w:type="dxa"/>
            <w:tcBorders/>
            <w:vAlign w:val="center"/>
          </w:tcPr>
          <w:p>
            <w:pPr>
              <w:pStyle w:val="TableContents"/>
              <w:bidi w:val="0"/>
              <w:spacing w:before="0" w:after="283"/>
              <w:jc w:val="left"/>
              <w:rPr/>
            </w:pPr>
            <w:r>
              <w:rPr/>
              <w:t>Dedup rule + defining a transaction business key</w:t>
            </w:r>
          </w:p>
        </w:tc>
      </w:tr>
      <w:tr>
        <w:trPr/>
        <w:tc>
          <w:tcPr>
            <w:tcW w:w="426" w:type="dxa"/>
            <w:tcBorders/>
            <w:vAlign w:val="center"/>
          </w:tcPr>
          <w:p>
            <w:pPr>
              <w:pStyle w:val="TableContents"/>
              <w:bidi w:val="0"/>
              <w:spacing w:before="0" w:after="283"/>
              <w:jc w:val="left"/>
              <w:rPr/>
            </w:pPr>
            <w:r>
              <w:rPr/>
              <w:t>3</w:t>
            </w:r>
          </w:p>
        </w:tc>
        <w:tc>
          <w:tcPr>
            <w:tcW w:w="4407" w:type="dxa"/>
            <w:tcBorders/>
            <w:vAlign w:val="center"/>
          </w:tcPr>
          <w:p>
            <w:pPr>
              <w:pStyle w:val="TableContents"/>
              <w:bidi w:val="0"/>
              <w:spacing w:before="0" w:after="283"/>
              <w:jc w:val="left"/>
              <w:rPr/>
            </w:pPr>
            <w:r>
              <w:rPr/>
              <w:t xml:space="preserve">Rows with </w:t>
            </w:r>
            <w:r>
              <w:rPr>
                <w:rStyle w:val="SourceText"/>
              </w:rPr>
              <w:t>amount &lt;= 0</w:t>
            </w:r>
            <w:r>
              <w:rPr/>
              <w:t>?</w:t>
            </w:r>
          </w:p>
        </w:tc>
        <w:tc>
          <w:tcPr>
            <w:tcW w:w="4149" w:type="dxa"/>
            <w:tcBorders/>
            <w:vAlign w:val="center"/>
          </w:tcPr>
          <w:p>
            <w:pPr>
              <w:pStyle w:val="TableContents"/>
              <w:bidi w:val="0"/>
              <w:spacing w:before="0" w:after="283"/>
              <w:jc w:val="left"/>
              <w:rPr/>
            </w:pPr>
            <w:r>
              <w:rPr/>
              <w:t>Expectation: amount must be positive → quarantine</w:t>
            </w:r>
          </w:p>
        </w:tc>
      </w:tr>
      <w:tr>
        <w:trPr/>
        <w:tc>
          <w:tcPr>
            <w:tcW w:w="426" w:type="dxa"/>
            <w:tcBorders/>
            <w:vAlign w:val="center"/>
          </w:tcPr>
          <w:p>
            <w:pPr>
              <w:pStyle w:val="TableContents"/>
              <w:bidi w:val="0"/>
              <w:spacing w:before="0" w:after="283"/>
              <w:jc w:val="left"/>
              <w:rPr/>
            </w:pPr>
            <w:r>
              <w:rPr/>
              <w:t>4</w:t>
            </w:r>
          </w:p>
        </w:tc>
        <w:tc>
          <w:tcPr>
            <w:tcW w:w="4407" w:type="dxa"/>
            <w:tcBorders/>
            <w:vAlign w:val="center"/>
          </w:tcPr>
          <w:p>
            <w:pPr>
              <w:pStyle w:val="TableContents"/>
              <w:bidi w:val="0"/>
              <w:spacing w:before="0" w:after="283"/>
              <w:jc w:val="left"/>
              <w:rPr/>
            </w:pPr>
            <w:r>
              <w:rPr/>
              <w:t xml:space="preserve">Balance math: how often does </w:t>
            </w:r>
            <w:r>
              <w:rPr>
                <w:rStyle w:val="SourceText"/>
              </w:rPr>
              <w:t>oldbalanceOrg − amount ≠ newbalanceOrig</w:t>
            </w:r>
            <w:r>
              <w:rPr/>
              <w:t>? Broken down by type?</w:t>
            </w:r>
          </w:p>
        </w:tc>
        <w:tc>
          <w:tcPr>
            <w:tcW w:w="4149" w:type="dxa"/>
            <w:tcBorders/>
            <w:vAlign w:val="center"/>
          </w:tcPr>
          <w:p>
            <w:pPr>
              <w:pStyle w:val="TableContents"/>
              <w:bidi w:val="0"/>
              <w:spacing w:before="0" w:after="283"/>
              <w:jc w:val="left"/>
              <w:rPr/>
            </w:pPr>
            <w:r>
              <w:rPr/>
              <w:t>Reconciliation flag column (keep row, mark it) — expected to fail often; known source wart</w:t>
            </w:r>
          </w:p>
        </w:tc>
      </w:tr>
      <w:tr>
        <w:trPr/>
        <w:tc>
          <w:tcPr>
            <w:tcW w:w="426" w:type="dxa"/>
            <w:tcBorders/>
            <w:vAlign w:val="center"/>
          </w:tcPr>
          <w:p>
            <w:pPr>
              <w:pStyle w:val="TableContents"/>
              <w:bidi w:val="0"/>
              <w:spacing w:before="0" w:after="283"/>
              <w:jc w:val="left"/>
              <w:rPr/>
            </w:pPr>
            <w:r>
              <w:rPr/>
              <w:t>5</w:t>
            </w:r>
          </w:p>
        </w:tc>
        <w:tc>
          <w:tcPr>
            <w:tcW w:w="4407" w:type="dxa"/>
            <w:tcBorders/>
            <w:vAlign w:val="center"/>
          </w:tcPr>
          <w:p>
            <w:pPr>
              <w:pStyle w:val="TableContents"/>
              <w:bidi w:val="0"/>
              <w:spacing w:before="0" w:after="283"/>
              <w:jc w:val="left"/>
              <w:rPr/>
            </w:pPr>
            <w:r>
              <w:rPr/>
              <w:t>Nulls / empty strings per column?</w:t>
            </w:r>
          </w:p>
        </w:tc>
        <w:tc>
          <w:tcPr>
            <w:tcW w:w="4149" w:type="dxa"/>
            <w:tcBorders/>
            <w:vAlign w:val="center"/>
          </w:tcPr>
          <w:p>
            <w:pPr>
              <w:pStyle w:val="TableContents"/>
              <w:bidi w:val="0"/>
              <w:spacing w:before="0" w:after="283"/>
              <w:jc w:val="left"/>
              <w:rPr/>
            </w:pPr>
            <w:r>
              <w:rPr/>
              <w:t>Not-null expectations on key columns</w:t>
            </w:r>
          </w:p>
        </w:tc>
      </w:tr>
      <w:tr>
        <w:trPr/>
        <w:tc>
          <w:tcPr>
            <w:tcW w:w="426" w:type="dxa"/>
            <w:tcBorders/>
            <w:vAlign w:val="center"/>
          </w:tcPr>
          <w:p>
            <w:pPr>
              <w:pStyle w:val="TableContents"/>
              <w:bidi w:val="0"/>
              <w:spacing w:before="0" w:after="283"/>
              <w:jc w:val="left"/>
              <w:rPr/>
            </w:pPr>
            <w:r>
              <w:rPr/>
              <w:t>6</w:t>
            </w:r>
          </w:p>
        </w:tc>
        <w:tc>
          <w:tcPr>
            <w:tcW w:w="4407" w:type="dxa"/>
            <w:tcBorders/>
            <w:vAlign w:val="center"/>
          </w:tcPr>
          <w:p>
            <w:pPr>
              <w:pStyle w:val="TableContents"/>
              <w:bidi w:val="0"/>
              <w:spacing w:before="0" w:after="283"/>
              <w:jc w:val="left"/>
              <w:rPr/>
            </w:pPr>
            <w:r>
              <w:rPr/>
              <w:t xml:space="preserve">Distinct values of </w:t>
            </w:r>
            <w:r>
              <w:rPr>
                <w:rStyle w:val="SourceText"/>
              </w:rPr>
              <w:t>type</w:t>
            </w:r>
            <w:r>
              <w:rPr/>
              <w:t xml:space="preserve"> — exactly the 5 expected?</w:t>
            </w:r>
          </w:p>
        </w:tc>
        <w:tc>
          <w:tcPr>
            <w:tcW w:w="4149" w:type="dxa"/>
            <w:tcBorders/>
            <w:vAlign w:val="center"/>
          </w:tcPr>
          <w:p>
            <w:pPr>
              <w:pStyle w:val="TableContents"/>
              <w:bidi w:val="0"/>
              <w:spacing w:before="0" w:after="283"/>
              <w:jc w:val="left"/>
              <w:rPr/>
            </w:pPr>
            <w:r>
              <w:rPr/>
              <w:t>Allowed-values expectation</w:t>
            </w:r>
          </w:p>
        </w:tc>
      </w:tr>
      <w:tr>
        <w:trPr/>
        <w:tc>
          <w:tcPr>
            <w:tcW w:w="426" w:type="dxa"/>
            <w:tcBorders/>
            <w:vAlign w:val="center"/>
          </w:tcPr>
          <w:p>
            <w:pPr>
              <w:pStyle w:val="TableContents"/>
              <w:bidi w:val="0"/>
              <w:spacing w:before="0" w:after="283"/>
              <w:jc w:val="left"/>
              <w:rPr/>
            </w:pPr>
            <w:r>
              <w:rPr/>
              <w:t>7</w:t>
            </w:r>
          </w:p>
        </w:tc>
        <w:tc>
          <w:tcPr>
            <w:tcW w:w="4407" w:type="dxa"/>
            <w:tcBorders/>
            <w:vAlign w:val="center"/>
          </w:tcPr>
          <w:p>
            <w:pPr>
              <w:pStyle w:val="TableContents"/>
              <w:bidi w:val="0"/>
              <w:spacing w:before="0" w:after="283"/>
              <w:jc w:val="left"/>
              <w:rPr/>
            </w:pPr>
            <w:r>
              <w:rPr>
                <w:rStyle w:val="SourceText"/>
              </w:rPr>
              <w:t>step</w:t>
            </w:r>
            <w:r>
              <w:rPr/>
              <w:t xml:space="preserve"> range: all within 1–744? Integers only?</w:t>
            </w:r>
          </w:p>
        </w:tc>
        <w:tc>
          <w:tcPr>
            <w:tcW w:w="4149" w:type="dxa"/>
            <w:tcBorders/>
            <w:vAlign w:val="center"/>
          </w:tcPr>
          <w:p>
            <w:pPr>
              <w:pStyle w:val="TableContents"/>
              <w:bidi w:val="0"/>
              <w:spacing w:before="0" w:after="283"/>
              <w:jc w:val="left"/>
              <w:rPr/>
            </w:pPr>
            <w:r>
              <w:rPr/>
              <w:t>Range expectation; drives event_time derivation</w:t>
            </w:r>
          </w:p>
        </w:tc>
      </w:tr>
      <w:tr>
        <w:trPr/>
        <w:tc>
          <w:tcPr>
            <w:tcW w:w="426" w:type="dxa"/>
            <w:tcBorders/>
            <w:vAlign w:val="center"/>
          </w:tcPr>
          <w:p>
            <w:pPr>
              <w:pStyle w:val="TableContents"/>
              <w:bidi w:val="0"/>
              <w:spacing w:before="0" w:after="283"/>
              <w:jc w:val="left"/>
              <w:rPr/>
            </w:pPr>
            <w:r>
              <w:rPr/>
              <w:t>8</w:t>
            </w:r>
          </w:p>
        </w:tc>
        <w:tc>
          <w:tcPr>
            <w:tcW w:w="4407" w:type="dxa"/>
            <w:tcBorders/>
            <w:vAlign w:val="center"/>
          </w:tcPr>
          <w:p>
            <w:pPr>
              <w:pStyle w:val="TableContents"/>
              <w:bidi w:val="0"/>
              <w:spacing w:before="0" w:after="283"/>
              <w:jc w:val="left"/>
              <w:rPr/>
            </w:pPr>
            <w:r>
              <w:rPr>
                <w:rStyle w:val="SourceText"/>
              </w:rPr>
              <w:t>isFraud</w:t>
            </w:r>
            <w:r>
              <w:rPr/>
              <w:t xml:space="preserve"> distribution by type — really only in TRANSFER &amp; CASH_OUT?</w:t>
            </w:r>
          </w:p>
        </w:tc>
        <w:tc>
          <w:tcPr>
            <w:tcW w:w="4149" w:type="dxa"/>
            <w:tcBorders/>
            <w:vAlign w:val="center"/>
          </w:tcPr>
          <w:p>
            <w:pPr>
              <w:pStyle w:val="TableContents"/>
              <w:bidi w:val="0"/>
              <w:spacing w:before="0" w:after="283"/>
              <w:jc w:val="left"/>
              <w:rPr/>
            </w:pPr>
            <w:r>
              <w:rPr/>
              <w:t>Documentation for gold/ML; sanity check</w:t>
            </w:r>
          </w:p>
        </w:tc>
      </w:tr>
      <w:tr>
        <w:trPr/>
        <w:tc>
          <w:tcPr>
            <w:tcW w:w="426" w:type="dxa"/>
            <w:tcBorders/>
            <w:vAlign w:val="center"/>
          </w:tcPr>
          <w:p>
            <w:pPr>
              <w:pStyle w:val="TableContents"/>
              <w:bidi w:val="0"/>
              <w:spacing w:before="0" w:after="283"/>
              <w:jc w:val="left"/>
              <w:rPr/>
            </w:pPr>
            <w:r>
              <w:rPr/>
              <w:t>9</w:t>
            </w:r>
          </w:p>
        </w:tc>
        <w:tc>
          <w:tcPr>
            <w:tcW w:w="4407" w:type="dxa"/>
            <w:tcBorders/>
            <w:vAlign w:val="center"/>
          </w:tcPr>
          <w:p>
            <w:pPr>
              <w:pStyle w:val="TableContents"/>
              <w:bidi w:val="0"/>
              <w:spacing w:before="0" w:after="283"/>
              <w:jc w:val="left"/>
              <w:rPr/>
            </w:pPr>
            <w:r>
              <w:rPr/>
              <w:t>Merchant (M…) receiver balances — always 0.0?</w:t>
            </w:r>
          </w:p>
        </w:tc>
        <w:tc>
          <w:tcPr>
            <w:tcW w:w="4149" w:type="dxa"/>
            <w:tcBorders/>
            <w:vAlign w:val="center"/>
          </w:tcPr>
          <w:p>
            <w:pPr>
              <w:pStyle w:val="TableContents"/>
              <w:bidi w:val="0"/>
              <w:spacing w:before="0" w:after="283"/>
              <w:jc w:val="left"/>
              <w:rPr/>
            </w:pPr>
            <w:r>
              <w:rPr/>
              <w:t>Documented source quirk; maybe merchant flag column in silver</w:t>
            </w:r>
          </w:p>
        </w:tc>
      </w:tr>
      <w:tr>
        <w:trPr/>
        <w:tc>
          <w:tcPr>
            <w:tcW w:w="426" w:type="dxa"/>
            <w:tcBorders/>
            <w:vAlign w:val="center"/>
          </w:tcPr>
          <w:p>
            <w:pPr>
              <w:pStyle w:val="TableContents"/>
              <w:bidi w:val="0"/>
              <w:spacing w:before="0" w:after="283"/>
              <w:jc w:val="left"/>
              <w:rPr/>
            </w:pPr>
            <w:r>
              <w:rPr/>
              <w:t>10</w:t>
            </w:r>
          </w:p>
        </w:tc>
        <w:tc>
          <w:tcPr>
            <w:tcW w:w="4407" w:type="dxa"/>
            <w:tcBorders/>
            <w:vAlign w:val="center"/>
          </w:tcPr>
          <w:p>
            <w:pPr>
              <w:pStyle w:val="TableContents"/>
              <w:bidi w:val="0"/>
              <w:spacing w:before="0" w:after="283"/>
              <w:jc w:val="left"/>
              <w:rPr/>
            </w:pPr>
            <w:r>
              <w:rPr/>
              <w:t>Mule pairs: TRANSFER and CASH_OUT with same amount in same step?</w:t>
            </w:r>
          </w:p>
        </w:tc>
        <w:tc>
          <w:tcPr>
            <w:tcW w:w="4149" w:type="dxa"/>
            <w:tcBorders/>
            <w:vAlign w:val="center"/>
          </w:tcPr>
          <w:p>
            <w:pPr>
              <w:pStyle w:val="TableContents"/>
              <w:bidi w:val="0"/>
              <w:spacing w:before="0" w:after="283"/>
              <w:jc w:val="left"/>
              <w:rPr/>
            </w:pPr>
            <w:r>
              <w:rPr/>
              <w:t>Gold feature candidate (paired-transaction detection)</w:t>
            </w:r>
          </w:p>
        </w:tc>
      </w:tr>
    </w:tbl>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pPr>
      <w:r>
        <w:rPr>
          <w:b/>
          <w:color w:val="FFFFFF"/>
        </w:rPr>
        <w:t xml:space="preserve">Note 04 — Notebook Structure &amp; the </w:t>
      </w:r>
      <w:r>
        <w:rPr>
          <w:rStyle w:val="SourceText"/>
          <w:b/>
          <w:color w:val="FFFFFF"/>
        </w:rPr>
        <w:t>%run</w:t>
      </w:r>
      <w:r>
        <w:rPr>
          <w:b/>
          <w:color w:val="FFFFFF"/>
        </w:rPr>
        <w:t xml:space="preserve"> Path Error </w:t>
      </w:r>
      <w:r>
        <w:rPr>
          <w:b w:val="false"/>
          <w:color w:val="FFFFFF"/>
        </w:rPr>
        <w:t>· July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The decision: one place for configuration</w:t>
      </w:r>
    </w:p>
    <w:p>
      <w:pPr>
        <w:pStyle w:val="BodyText"/>
        <w:bidi w:val="0"/>
        <w:spacing w:before="300" w:after="300"/>
        <w:ind w:hanging="0" w:left="300" w:right="300"/>
        <w:jc w:val="left"/>
        <w:rPr/>
      </w:pPr>
      <w:r>
        <w:rPr>
          <w:rStyle w:val="Strong"/>
          <w:bdr w:val="single" w:sz="2" w:space="12" w:color="000000"/>
        </w:rPr>
        <w:t>The idea:</w:t>
      </w:r>
      <w:r>
        <w:rPr>
          <w:bdr w:val="single" w:sz="2" w:space="12" w:color="000000"/>
        </w:rPr>
        <w:t xml:space="preserve"> the landing volume path is a value that will change — a different catalog, a different workspace, an eventual Azure deployment. Written into every notebook, that change becomes a search-and-replace across the project. Written once in a helper notebook, it becomes a one-line edit.</w:t>
      </w:r>
    </w:p>
    <w:p>
      <w:pPr>
        <w:pStyle w:val="BodyText"/>
        <w:bidi w:val="0"/>
        <w:ind w:hanging="0"/>
        <w:jc w:val="left"/>
        <w:rPr/>
      </w:pPr>
      <w:r>
        <w:rPr/>
        <w:t>Notebooks in the Databricks workspace were therefore organised into folders rather than left flat:</w:t>
      </w:r>
    </w:p>
    <w:p>
      <w:pPr>
        <w:pStyle w:val="PreformattedTexttree"/>
        <w:bidi w:val="0"/>
        <w:jc w:val="left"/>
        <w:rPr/>
      </w:pPr>
      <w:r>
        <w:rPr/>
        <w:t>Project-financial-pipeline/</w:t>
      </w:r>
    </w:p>
    <w:p>
      <w:pPr>
        <w:pStyle w:val="PreformattedTexttree"/>
        <w:bidi w:val="0"/>
        <w:jc w:val="left"/>
        <w:rPr/>
      </w:pPr>
      <w:r>
        <w:rPr/>
        <w:t xml:space="preserve">├── </w:t>
      </w:r>
      <w:r>
        <w:rPr/>
        <w:t>00_helpers/</w:t>
      </w:r>
    </w:p>
    <w:p>
      <w:pPr>
        <w:pStyle w:val="PreformattedTexttree"/>
        <w:bidi w:val="0"/>
        <w:jc w:val="left"/>
        <w:rPr/>
      </w:pPr>
      <w:r>
        <w:rPr/>
        <w:t xml:space="preserve">│   └── </w:t>
      </w:r>
      <w:r>
        <w:rPr/>
        <w:t>config                    ← landing volume path, catalog/schema names</w:t>
      </w:r>
    </w:p>
    <w:p>
      <w:pPr>
        <w:pStyle w:val="PreformattedTexttree"/>
        <w:bidi w:val="0"/>
        <w:jc w:val="left"/>
        <w:rPr/>
      </w:pPr>
      <w:r>
        <w:rPr/>
        <w:t xml:space="preserve">└── </w:t>
      </w:r>
      <w:r>
        <w:rPr/>
        <w:t>01_bronze/</w:t>
      </w:r>
    </w:p>
    <w:p>
      <w:pPr>
        <w:pStyle w:val="PreformattedTexttree"/>
        <w:bidi w:val="0"/>
        <w:spacing w:before="0" w:after="283"/>
        <w:jc w:val="left"/>
        <w:rPr/>
      </w:pPr>
      <w:r>
        <w:rPr/>
        <w:t xml:space="preserve">    └── </w:t>
      </w:r>
      <w:r>
        <w:rPr/>
        <w:t>01_ingest_transactions    ← consumes config via %run</w:t>
      </w:r>
    </w:p>
    <w:p>
      <w:pPr>
        <w:pStyle w:val="BodyText"/>
        <w:bidi w:val="0"/>
        <w:jc w:val="left"/>
        <w:rPr/>
      </w:pPr>
      <w:r>
        <w:rPr/>
        <w:t xml:space="preserve">The bronze ingest notebook pulls the shared values in with </w:t>
      </w:r>
      <w:r>
        <w:rPr>
          <w:rStyle w:val="SourceText"/>
        </w:rPr>
        <w:t>%run</w:t>
      </w:r>
      <w:r>
        <w:rPr/>
        <w:t xml:space="preserve">, which executes another notebook in the </w:t>
      </w:r>
      <w:r>
        <w:rPr>
          <w:rStyle w:val="Emphasis"/>
        </w:rPr>
        <w:t>current</w:t>
      </w:r>
      <w:r>
        <w:rPr/>
        <w:t xml:space="preserve"> notebook's session — so any variable defined in </w:t>
      </w:r>
      <w:r>
        <w:rPr>
          <w:rStyle w:val="SourceText"/>
        </w:rPr>
        <w:t>config</w:t>
      </w:r>
      <w:r>
        <w:rPr/>
        <w:t xml:space="preserve"> is available afterwards, exactly as if it had been typed at the top of the cell.</w:t>
      </w:r>
    </w:p>
    <w:p>
      <w:pPr>
        <w:pStyle w:val="Heading2"/>
        <w:bidi w:val="0"/>
        <w:jc w:val="left"/>
        <w:rPr/>
      </w:pPr>
      <w:r>
        <w:rPr/>
        <w:t>The error</w:t>
      </w:r>
    </w:p>
    <w:p>
      <w:pPr>
        <w:pStyle w:val="BodyText"/>
        <w:bidi w:val="0"/>
        <w:jc w:val="left"/>
        <w:rPr/>
      </w:pPr>
      <w:r>
        <w:rPr/>
        <w:t>The first attempt failed before a single line of Spark ran:</w:t>
      </w:r>
    </w:p>
    <w:p>
      <w:pPr>
        <w:pStyle w:val="PreformattedText"/>
        <w:bidi w:val="0"/>
        <w:spacing w:before="0" w:after="283"/>
        <w:jc w:val="left"/>
        <w:rPr/>
      </w:pPr>
      <w:r>
        <w:rPr>
          <w:rStyle w:val="SourceText"/>
        </w:rPr>
        <w:t>%run ../00. helpers/01.environment-config</w:t>
      </w:r>
    </w:p>
    <w:p>
      <w:pPr>
        <w:pStyle w:val="PreformattedText"/>
        <w:bidi w:val="0"/>
        <w:jc w:val="left"/>
        <w:rPr/>
      </w:pPr>
      <w:r>
        <w:rPr>
          <w:rStyle w:val="SourceText"/>
        </w:rPr>
        <w:t>Failed to parse %run command: string matching regex '\$[\w_]+' expected</w:t>
      </w:r>
    </w:p>
    <w:p>
      <w:pPr>
        <w:pStyle w:val="PreformattedText"/>
        <w:bidi w:val="0"/>
        <w:jc w:val="left"/>
        <w:rPr/>
      </w:pPr>
      <w:r>
        <w:rPr>
          <w:rStyle w:val="SourceText"/>
        </w:rPr>
        <w:t>but 'h' found. If notebook path or value contains spaces, wrap with</w:t>
      </w:r>
    </w:p>
    <w:p>
      <w:pPr>
        <w:pStyle w:val="PreformattedText"/>
        <w:bidi w:val="0"/>
        <w:spacing w:before="0" w:after="283"/>
        <w:jc w:val="left"/>
        <w:rPr/>
      </w:pPr>
      <w:r>
        <w:rPr>
          <w:rStyle w:val="SourceText"/>
        </w:rPr>
        <w:t>double quotes.</w:t>
      </w:r>
    </w:p>
    <w:p>
      <w:pPr>
        <w:pStyle w:val="Heading3"/>
        <w:bidi w:val="0"/>
        <w:jc w:val="left"/>
        <w:rPr/>
      </w:pPr>
      <w:r>
        <w:rPr/>
        <w:t>Root cause</w:t>
      </w:r>
    </w:p>
    <w:p>
      <w:pPr>
        <w:pStyle w:val="BodyText"/>
        <w:bidi w:val="0"/>
        <w:jc w:val="left"/>
        <w:rPr/>
      </w:pPr>
      <w:r>
        <w:rPr/>
        <w:t xml:space="preserve">The folder was named </w:t>
      </w:r>
      <w:r>
        <w:rPr>
          <w:rStyle w:val="SourceText"/>
        </w:rPr>
        <w:t>00. helpers</w:t>
      </w:r>
      <w:r>
        <w:rPr/>
        <w:t xml:space="preserve"> — with a </w:t>
      </w:r>
      <w:r>
        <w:rPr>
          <w:rStyle w:val="Strong"/>
        </w:rPr>
        <w:t>space</w:t>
      </w:r>
      <w:r>
        <w:rPr/>
        <w:t xml:space="preserve"> after the dot. </w:t>
      </w:r>
      <w:r>
        <w:rPr>
          <w:rStyle w:val="SourceText"/>
        </w:rPr>
        <w:t>%run</w:t>
      </w:r>
      <w:r>
        <w:rPr/>
        <w:t xml:space="preserve"> is a </w:t>
      </w:r>
      <w:r>
        <w:rPr>
          <w:rStyle w:val="Emphasis"/>
        </w:rPr>
        <w:t>magic command</w:t>
      </w:r>
      <w:r>
        <w:rPr/>
        <w:t xml:space="preserve">, not Python: it parses its argument as a single bare token and treats whitespace as the end of that token. Parsing stopped at the space, and the remaining </w:t>
      </w:r>
      <w:r>
        <w:rPr>
          <w:rStyle w:val="SourceText"/>
        </w:rPr>
        <w:t>helpers/...</w:t>
      </w:r>
      <w:r>
        <w:rPr/>
        <w:t xml:space="preserve"> was read as an unexpected second argument — hence the complaint about the character </w:t>
      </w:r>
      <w:r>
        <w:rPr>
          <w:rStyle w:val="SourceText"/>
        </w:rPr>
        <w:t>'h'</w:t>
      </w:r>
      <w:r>
        <w:rPr/>
        <w:t>.</w:t>
      </w:r>
    </w:p>
    <w:p>
      <w:pPr>
        <w:pStyle w:val="Heading2"/>
        <w:bidi w:val="0"/>
        <w:jc w:val="left"/>
        <w:rPr/>
      </w:pPr>
      <w:r>
        <w:rPr/>
        <w:t>Two fixes, and why only one of them counts</w:t>
      </w:r>
    </w:p>
    <w:tbl>
      <w:tblPr>
        <w:tblW w:w="8982" w:type="dxa"/>
        <w:jc w:val="left"/>
        <w:tblInd w:w="28" w:type="dxa"/>
        <w:tblLayout w:type="fixed"/>
        <w:tblCellMar>
          <w:top w:w="28" w:type="dxa"/>
          <w:left w:w="28" w:type="dxa"/>
          <w:bottom w:w="28" w:type="dxa"/>
          <w:right w:w="28" w:type="dxa"/>
        </w:tblCellMar>
      </w:tblPr>
      <w:tblGrid>
        <w:gridCol w:w="4423"/>
        <w:gridCol w:w="4559"/>
      </w:tblGrid>
      <w:tr>
        <w:trPr/>
        <w:tc>
          <w:tcPr>
            <w:tcW w:w="4423" w:type="dxa"/>
            <w:tcBorders/>
            <w:vAlign w:val="center"/>
          </w:tcPr>
          <w:p>
            <w:pPr>
              <w:pStyle w:val="TableHeading"/>
              <w:suppressLineNumbers/>
              <w:bidi w:val="0"/>
              <w:spacing w:before="0" w:after="283"/>
              <w:jc w:val="left"/>
              <w:rPr/>
            </w:pPr>
            <w:r>
              <w:rPr/>
              <w:t>Fix</w:t>
            </w:r>
          </w:p>
        </w:tc>
        <w:tc>
          <w:tcPr>
            <w:tcW w:w="4559" w:type="dxa"/>
            <w:tcBorders/>
            <w:vAlign w:val="center"/>
          </w:tcPr>
          <w:p>
            <w:pPr>
              <w:pStyle w:val="TableHeading"/>
              <w:suppressLineNumbers/>
              <w:bidi w:val="0"/>
              <w:spacing w:before="0" w:after="283"/>
              <w:jc w:val="left"/>
              <w:rPr/>
            </w:pPr>
            <w:r>
              <w:rPr/>
              <w:t>Verdict</w:t>
            </w:r>
          </w:p>
        </w:tc>
      </w:tr>
      <w:tr>
        <w:trPr/>
        <w:tc>
          <w:tcPr>
            <w:tcW w:w="4423" w:type="dxa"/>
            <w:tcBorders/>
            <w:vAlign w:val="center"/>
          </w:tcPr>
          <w:p>
            <w:pPr>
              <w:pStyle w:val="TableContents"/>
              <w:bidi w:val="0"/>
              <w:spacing w:before="0" w:after="283"/>
              <w:jc w:val="left"/>
              <w:rPr/>
            </w:pPr>
            <w:r>
              <w:rPr>
                <w:rStyle w:val="SourceText"/>
              </w:rPr>
              <w:t>%run "../00. helpers/01.environment-config"</w:t>
            </w:r>
            <w:r>
              <w:rPr/>
              <w:br/>
              <w:t>(wrap the path in quotes)</w:t>
            </w:r>
          </w:p>
        </w:tc>
        <w:tc>
          <w:tcPr>
            <w:tcW w:w="4559" w:type="dxa"/>
            <w:tcBorders/>
            <w:vAlign w:val="center"/>
          </w:tcPr>
          <w:p>
            <w:pPr>
              <w:pStyle w:val="TableContents"/>
              <w:bidi w:val="0"/>
              <w:spacing w:before="0" w:after="283"/>
              <w:ind w:hanging="0" w:left="0" w:right="0"/>
              <w:jc w:val="left"/>
              <w:rPr/>
            </w:pPr>
            <w:r>
              <w:rPr>
                <w:b/>
              </w:rPr>
              <w:t>Band-aid.</w:t>
            </w:r>
            <w:r>
              <w:rPr/>
              <w:t xml:space="preserve"> Works, but fixes exactly one call site and leaves the underlying naming problem in place.</w:t>
            </w:r>
          </w:p>
        </w:tc>
      </w:tr>
      <w:tr>
        <w:trPr/>
        <w:tc>
          <w:tcPr>
            <w:tcW w:w="4423" w:type="dxa"/>
            <w:tcBorders/>
            <w:vAlign w:val="center"/>
          </w:tcPr>
          <w:p>
            <w:pPr>
              <w:pStyle w:val="TableContents"/>
              <w:bidi w:val="0"/>
              <w:spacing w:before="0" w:after="283"/>
              <w:jc w:val="left"/>
              <w:rPr/>
            </w:pPr>
            <w:r>
              <w:rPr/>
              <w:t>Rename folders and notebooks to remove spaces, dots and hyphens</w:t>
            </w:r>
          </w:p>
        </w:tc>
        <w:tc>
          <w:tcPr>
            <w:tcW w:w="4559" w:type="dxa"/>
            <w:tcBorders/>
            <w:vAlign w:val="center"/>
          </w:tcPr>
          <w:p>
            <w:pPr>
              <w:pStyle w:val="TableContents"/>
              <w:bidi w:val="0"/>
              <w:spacing w:before="0" w:after="283"/>
              <w:ind w:hanging="0" w:left="0" w:right="0"/>
              <w:jc w:val="left"/>
              <w:rPr/>
            </w:pPr>
            <w:r>
              <w:rPr>
                <w:b/>
              </w:rPr>
              <w:t>Adopted.</w:t>
            </w:r>
            <w:r>
              <w:rPr/>
              <w:t xml:space="preserve"> Removes the whole class of failure, not this one instance.</w:t>
            </w:r>
          </w:p>
        </w:tc>
      </w:tr>
    </w:tbl>
    <w:p>
      <w:pPr>
        <w:pStyle w:val="Heading3"/>
        <w:bidi w:val="0"/>
        <w:jc w:val="left"/>
        <w:rPr/>
      </w:pPr>
      <w:r>
        <w:rPr/>
        <w:t>Why renaming was worth the churn</w:t>
      </w:r>
    </w:p>
    <w:tbl>
      <w:tblPr>
        <w:tblW w:w="8982" w:type="dxa"/>
        <w:jc w:val="left"/>
        <w:tblInd w:w="28" w:type="dxa"/>
        <w:tblLayout w:type="fixed"/>
        <w:tblCellMar>
          <w:top w:w="28" w:type="dxa"/>
          <w:left w:w="28" w:type="dxa"/>
          <w:bottom w:w="28" w:type="dxa"/>
          <w:right w:w="28" w:type="dxa"/>
        </w:tblCellMar>
      </w:tblPr>
      <w:tblGrid>
        <w:gridCol w:w="1657"/>
        <w:gridCol w:w="7325"/>
      </w:tblGrid>
      <w:tr>
        <w:trPr/>
        <w:tc>
          <w:tcPr>
            <w:tcW w:w="1657" w:type="dxa"/>
            <w:tcBorders/>
            <w:vAlign w:val="center"/>
          </w:tcPr>
          <w:p>
            <w:pPr>
              <w:pStyle w:val="TableHeading"/>
              <w:suppressLineNumbers/>
              <w:bidi w:val="0"/>
              <w:spacing w:before="0" w:after="283"/>
              <w:jc w:val="left"/>
              <w:rPr/>
            </w:pPr>
            <w:r>
              <w:rPr/>
              <w:t>Character</w:t>
            </w:r>
          </w:p>
        </w:tc>
        <w:tc>
          <w:tcPr>
            <w:tcW w:w="7325" w:type="dxa"/>
            <w:tcBorders/>
            <w:vAlign w:val="center"/>
          </w:tcPr>
          <w:p>
            <w:pPr>
              <w:pStyle w:val="TableHeading"/>
              <w:suppressLineNumbers/>
              <w:bidi w:val="0"/>
              <w:spacing w:before="0" w:after="283"/>
              <w:jc w:val="left"/>
              <w:rPr/>
            </w:pPr>
            <w:r>
              <w:rPr/>
              <w:t>What it breaks</w:t>
            </w:r>
          </w:p>
        </w:tc>
      </w:tr>
      <w:tr>
        <w:trPr/>
        <w:tc>
          <w:tcPr>
            <w:tcW w:w="1657" w:type="dxa"/>
            <w:tcBorders/>
            <w:vAlign w:val="center"/>
          </w:tcPr>
          <w:p>
            <w:pPr>
              <w:pStyle w:val="TableContents"/>
              <w:bidi w:val="0"/>
              <w:spacing w:before="0" w:after="283"/>
              <w:jc w:val="left"/>
              <w:rPr/>
            </w:pPr>
            <w:r>
              <w:rPr/>
              <w:t>Space</w:t>
            </w:r>
          </w:p>
        </w:tc>
        <w:tc>
          <w:tcPr>
            <w:tcW w:w="7325" w:type="dxa"/>
            <w:tcBorders/>
            <w:vAlign w:val="center"/>
          </w:tcPr>
          <w:p>
            <w:pPr>
              <w:pStyle w:val="TableContents"/>
              <w:bidi w:val="0"/>
              <w:spacing w:before="0" w:after="283"/>
              <w:jc w:val="left"/>
              <w:rPr/>
            </w:pPr>
            <w:r>
              <w:rPr/>
              <w:t>Resurfaces in Asset Bundle YAML, Databricks CLI arguments, job task definitions, and git on Windows. Quoting solves it once; renaming solves it everywhere.</w:t>
            </w:r>
          </w:p>
        </w:tc>
      </w:tr>
      <w:tr>
        <w:trPr/>
        <w:tc>
          <w:tcPr>
            <w:tcW w:w="1657" w:type="dxa"/>
            <w:tcBorders/>
            <w:vAlign w:val="center"/>
          </w:tcPr>
          <w:p>
            <w:pPr>
              <w:pStyle w:val="TableContents"/>
              <w:bidi w:val="0"/>
              <w:spacing w:before="0" w:after="283"/>
              <w:jc w:val="left"/>
              <w:rPr/>
            </w:pPr>
            <w:r>
              <w:rPr/>
              <w:t>Dot</w:t>
            </w:r>
          </w:p>
        </w:tc>
        <w:tc>
          <w:tcPr>
            <w:tcW w:w="7325" w:type="dxa"/>
            <w:tcBorders/>
            <w:vAlign w:val="center"/>
          </w:tcPr>
          <w:p>
            <w:pPr>
              <w:pStyle w:val="TableContents"/>
              <w:bidi w:val="0"/>
              <w:spacing w:before="0" w:after="283"/>
              <w:jc w:val="left"/>
              <w:rPr/>
            </w:pPr>
            <w:r>
              <w:rPr/>
              <w:t xml:space="preserve">Blocks any future </w:t>
            </w:r>
            <w:r>
              <w:rPr>
                <w:rStyle w:val="SourceText"/>
              </w:rPr>
              <w:t>import</w:t>
            </w:r>
            <w:r>
              <w:rPr/>
              <w:t xml:space="preserve">. Shared code consumed today via </w:t>
            </w:r>
            <w:r>
              <w:rPr>
                <w:rStyle w:val="SourceText"/>
              </w:rPr>
              <w:t>%run</w:t>
            </w:r>
            <w:r>
              <w:rPr/>
              <w:t xml:space="preserve"> is better imported as a Python module once the project moves to Asset Bundles — and Python reads a dot as a package separator, so </w:t>
            </w:r>
            <w:r>
              <w:rPr>
                <w:rStyle w:val="SourceText"/>
              </w:rPr>
              <w:t>01.environment-config</w:t>
            </w:r>
            <w:r>
              <w:rPr/>
              <w:t xml:space="preserve"> could never be imported.</w:t>
            </w:r>
          </w:p>
        </w:tc>
      </w:tr>
      <w:tr>
        <w:trPr/>
        <w:tc>
          <w:tcPr>
            <w:tcW w:w="1657" w:type="dxa"/>
            <w:tcBorders/>
            <w:vAlign w:val="center"/>
          </w:tcPr>
          <w:p>
            <w:pPr>
              <w:pStyle w:val="TableContents"/>
              <w:bidi w:val="0"/>
              <w:spacing w:before="0" w:after="283"/>
              <w:jc w:val="left"/>
              <w:rPr/>
            </w:pPr>
            <w:r>
              <w:rPr/>
              <w:t>Hyphen</w:t>
            </w:r>
          </w:p>
        </w:tc>
        <w:tc>
          <w:tcPr>
            <w:tcW w:w="7325" w:type="dxa"/>
            <w:tcBorders/>
            <w:vAlign w:val="center"/>
          </w:tcPr>
          <w:p>
            <w:pPr>
              <w:pStyle w:val="TableContents"/>
              <w:bidi w:val="0"/>
              <w:spacing w:before="0" w:after="283"/>
              <w:jc w:val="left"/>
              <w:rPr/>
            </w:pPr>
            <w:r>
              <w:rPr/>
              <w:t>Invalid in Python identifiers, for the same reason.</w:t>
            </w:r>
          </w:p>
        </w:tc>
      </w:tr>
      <w:tr>
        <w:trPr/>
        <w:tc>
          <w:tcPr>
            <w:tcW w:w="1657" w:type="dxa"/>
            <w:tcBorders/>
            <w:vAlign w:val="center"/>
          </w:tcPr>
          <w:p>
            <w:pPr>
              <w:pStyle w:val="TableContents"/>
              <w:bidi w:val="0"/>
              <w:spacing w:before="0" w:after="283"/>
              <w:jc w:val="left"/>
              <w:rPr/>
            </w:pPr>
            <w:r>
              <w:rPr/>
              <w:t xml:space="preserve">Leading digits </w:t>
            </w:r>
            <w:r>
              <w:rPr>
                <w:rStyle w:val="Emphasis"/>
              </w:rPr>
              <w:t>(kept)</w:t>
            </w:r>
          </w:p>
        </w:tc>
        <w:tc>
          <w:tcPr>
            <w:tcW w:w="7325" w:type="dxa"/>
            <w:tcBorders/>
            <w:vAlign w:val="center"/>
          </w:tcPr>
          <w:p>
            <w:pPr>
              <w:pStyle w:val="TableContents"/>
              <w:bidi w:val="0"/>
              <w:spacing w:before="0" w:after="283"/>
              <w:jc w:val="left"/>
              <w:rPr/>
            </w:pPr>
            <w:r>
              <w:rPr/>
              <w:t xml:space="preserve">Harmless in folder names and they preserve execution order when the workspace lists folders alphabetically — </w:t>
            </w:r>
            <w:r>
              <w:rPr>
                <w:rStyle w:val="SourceText"/>
              </w:rPr>
              <w:t>00_helpers</w:t>
            </w:r>
            <w:r>
              <w:rPr/>
              <w:t xml:space="preserve"> before </w:t>
            </w:r>
            <w:r>
              <w:rPr>
                <w:rStyle w:val="SourceText"/>
              </w:rPr>
              <w:t>01_bronze</w:t>
            </w:r>
            <w:r>
              <w:rPr/>
              <w:t>.</w:t>
            </w:r>
          </w:p>
        </w:tc>
      </w:tr>
    </w:tbl>
    <w:p>
      <w:pPr>
        <w:pStyle w:val="BodyText"/>
        <w:bidi w:val="0"/>
        <w:jc w:val="left"/>
        <w:rPr/>
      </w:pPr>
      <w:r>
        <w:rPr>
          <w:rStyle w:val="Strong"/>
        </w:rPr>
        <w:t>Convention adopted:</w:t>
      </w:r>
      <w:r>
        <w:rPr/>
        <w:t xml:space="preserve"> underscores only. No spaces, no dots except genuine file extensions, no hyphens.</w:t>
      </w:r>
    </w:p>
    <w:p>
      <w:pPr>
        <w:pStyle w:val="Heading2"/>
        <w:bidi w:val="0"/>
        <w:jc w:val="left"/>
        <w:rPr/>
      </w:pPr>
      <w:r>
        <w:rPr/>
        <w:t>Design note carried forward</w:t>
      </w:r>
    </w:p>
    <w:p>
      <w:pPr>
        <w:pStyle w:val="BodyText"/>
        <w:bidi w:val="0"/>
        <w:spacing w:before="300" w:after="300"/>
        <w:ind w:hanging="0" w:left="300" w:right="300"/>
        <w:jc w:val="left"/>
        <w:rPr/>
      </w:pPr>
      <w:r>
        <w:rPr>
          <w:bdr w:val="single" w:sz="2" w:space="12" w:color="000000"/>
        </w:rPr>
        <w:t xml:space="preserve">The config notebook currently hardcodes </w:t>
      </w:r>
      <w:r>
        <w:rPr>
          <w:rStyle w:val="SourceText"/>
          <w:bdr w:val="single" w:sz="2" w:space="12" w:color="000000"/>
        </w:rPr>
        <w:t>/Volumes/workspace/bronze/landing/</w:t>
      </w:r>
      <w:r>
        <w:rPr>
          <w:bdr w:val="single" w:sz="2" w:space="12" w:color="000000"/>
        </w:rPr>
        <w:t>. That literal will not survive deployment to an Azure Databricks workspace, where the catalog and volume differ.</w:t>
      </w:r>
    </w:p>
    <w:p>
      <w:pPr>
        <w:pStyle w:val="BodyText"/>
        <w:bidi w:val="0"/>
        <w:spacing w:before="300" w:after="300"/>
        <w:ind w:hanging="0" w:left="300" w:right="300"/>
        <w:jc w:val="left"/>
        <w:rPr/>
      </w:pPr>
      <w:r>
        <w:rPr>
          <w:bdr w:val="single" w:sz="2" w:space="12" w:color="000000"/>
        </w:rPr>
        <w:t xml:space="preserve">The eventual fix is to supply it as an </w:t>
      </w:r>
      <w:r>
        <w:rPr>
          <w:rStyle w:val="Strong"/>
          <w:bdr w:val="single" w:sz="2" w:space="12" w:color="000000"/>
        </w:rPr>
        <w:t>Asset Bundle variable resolved per target</w:t>
      </w:r>
      <w:r>
        <w:rPr>
          <w:bdr w:val="single" w:sz="2" w:space="12" w:color="000000"/>
        </w:rPr>
        <w:t xml:space="preserve">, so </w:t>
      </w:r>
      <w:r>
        <w:rPr>
          <w:rStyle w:val="SourceText"/>
          <w:bdr w:val="single" w:sz="2" w:space="12" w:color="000000"/>
        </w:rPr>
        <w:t>dev</w:t>
      </w:r>
      <w:r>
        <w:rPr>
          <w:bdr w:val="single" w:sz="2" w:space="12" w:color="000000"/>
        </w:rPr>
        <w:t xml:space="preserve"> and </w:t>
      </w:r>
      <w:r>
        <w:rPr>
          <w:rStyle w:val="SourceText"/>
          <w:bdr w:val="single" w:sz="2" w:space="12" w:color="000000"/>
        </w:rPr>
        <w:t>azure</w:t>
      </w:r>
      <w:r>
        <w:rPr>
          <w:bdr w:val="single" w:sz="2" w:space="12" w:color="000000"/>
        </w:rPr>
        <w:t xml:space="preserve"> bind different values without editing a single notebook. Not built yet — the discipline for now is simply that the literal path appears in </w:t>
      </w:r>
      <w:r>
        <w:rPr>
          <w:rStyle w:val="SourceText"/>
          <w:bdr w:val="single" w:sz="2" w:space="12" w:color="000000"/>
        </w:rPr>
        <w:t>00_helpers/config</w:t>
      </w:r>
      <w:r>
        <w:rPr>
          <w:bdr w:val="single" w:sz="2" w:space="12" w:color="000000"/>
        </w:rPr>
        <w:t xml:space="preserve"> and </w:t>
      </w:r>
      <w:r>
        <w:rPr>
          <w:rStyle w:val="Strong"/>
          <w:bdr w:val="single" w:sz="2" w:space="12" w:color="000000"/>
        </w:rPr>
        <w:t>nowhere else</w:t>
      </w:r>
      <w:r>
        <w:rPr>
          <w:bdr w:val="single" w:sz="2" w:space="12" w:color="000000"/>
        </w:rPr>
        <w:t>, which keeps that swap cheap when it comes.</w:t>
      </w:r>
    </w:p>
    <w:p>
      <w:pPr>
        <w:pStyle w:val="BodyTextlearn"/>
        <w:bidi w:val="0"/>
        <w:ind w:hanging="0"/>
        <w:jc w:val="left"/>
        <w:rPr/>
      </w:pPr>
      <w:r>
        <w:rPr>
          <w:rStyle w:val="Strong"/>
        </w:rPr>
        <w:t>You learn:</w:t>
      </w:r>
      <w:r>
        <w:rPr/>
        <w:t xml:space="preserve"> </w:t>
      </w:r>
      <w:r>
        <w:rPr>
          <w:rStyle w:val="SourceText"/>
        </w:rPr>
        <w:t>%run</w:t>
      </w:r>
      <w:r>
        <w:rPr/>
        <w:t xml:space="preserve"> as Databricks' notebook-composition mechanism, magic commands vs Python syntax, and why naming hygiene is an engineering decision rather than a cosmetic one.</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05 — First Read: Everything Is a String </w:t>
      </w:r>
      <w:r>
        <w:rPr>
          <w:b w:val="false"/>
          <w:color w:val="FFFFFF"/>
        </w:rPr>
        <w:t>· July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What we did</w:t>
      </w:r>
    </w:p>
    <w:p>
      <w:pPr>
        <w:pStyle w:val="BodyText"/>
        <w:bidi w:val="0"/>
        <w:jc w:val="left"/>
        <w:rPr/>
      </w:pPr>
      <w:r>
        <w:rPr/>
        <w:t xml:space="preserve">Read the day-1 landing file with the plainest possible Spark read — no schema, no options beyond </w:t>
      </w:r>
      <w:r>
        <w:rPr>
          <w:rStyle w:val="SourceText"/>
        </w:rPr>
        <w:t>header</w:t>
      </w:r>
      <w:r>
        <w:rPr/>
        <w:t xml:space="preserve"> — specifically </w:t>
      </w:r>
      <w:r>
        <w:rPr>
          <w:rStyle w:val="Emphasis"/>
        </w:rPr>
        <w:t>in order to watch it fail</w:t>
      </w:r>
      <w:r>
        <w:rPr/>
        <w:t xml:space="preserve">. The bronze contract already says "explicit schema at read, never </w:t>
      </w:r>
      <w:r>
        <w:rPr>
          <w:rStyle w:val="SourceText"/>
        </w:rPr>
        <w:t>inferSchema</w:t>
      </w:r>
      <w:r>
        <w:rPr/>
        <w:t>." This note is the evidence behind that rule, gathered first-hand rather than taken on trust.</w:t>
      </w:r>
    </w:p>
    <w:p>
      <w:pPr>
        <w:pStyle w:val="PreformattedText"/>
        <w:bidi w:val="0"/>
        <w:jc w:val="left"/>
        <w:rPr/>
      </w:pPr>
      <w:r>
        <w:rPr>
          <w:rStyle w:val="SourceText"/>
        </w:rPr>
        <w:t>df = (</w:t>
      </w:r>
    </w:p>
    <w:p>
      <w:pPr>
        <w:pStyle w:val="PreformattedText"/>
        <w:bidi w:val="0"/>
        <w:jc w:val="left"/>
        <w:rPr/>
      </w:pPr>
      <w:r>
        <w:rPr>
          <w:rStyle w:val="SourceText"/>
        </w:rPr>
        <w:t xml:space="preserve">    </w:t>
      </w:r>
      <w:r>
        <w:rPr>
          <w:rStyle w:val="SourceText"/>
        </w:rPr>
        <w:t>spark.read</w:t>
      </w:r>
    </w:p>
    <w:p>
      <w:pPr>
        <w:pStyle w:val="PreformattedText"/>
        <w:bidi w:val="0"/>
        <w:jc w:val="left"/>
        <w:rPr/>
      </w:pPr>
      <w:r>
        <w:rPr>
          <w:rStyle w:val="SourceText"/>
        </w:rPr>
        <w:t xml:space="preserve">    </w:t>
      </w:r>
      <w:r>
        <w:rPr>
          <w:rStyle w:val="SourceText"/>
        </w:rPr>
        <w:t>.format("csv")</w:t>
      </w:r>
    </w:p>
    <w:p>
      <w:pPr>
        <w:pStyle w:val="PreformattedText"/>
        <w:bidi w:val="0"/>
        <w:jc w:val="left"/>
        <w:rPr/>
      </w:pPr>
      <w:r>
        <w:rPr>
          <w:rStyle w:val="SourceText"/>
        </w:rPr>
        <w:t xml:space="preserve">    </w:t>
      </w:r>
      <w:r>
        <w:rPr>
          <w:rStyle w:val="SourceText"/>
        </w:rPr>
        <w:t>.option("header", "true")</w:t>
      </w:r>
    </w:p>
    <w:p>
      <w:pPr>
        <w:pStyle w:val="PreformattedText"/>
        <w:bidi w:val="0"/>
        <w:jc w:val="left"/>
        <w:rPr/>
      </w:pPr>
      <w:r>
        <w:rPr>
          <w:rStyle w:val="SourceText"/>
        </w:rPr>
        <w:t xml:space="preserve">    </w:t>
      </w:r>
      <w:r>
        <w:rPr>
          <w:rStyle w:val="SourceText"/>
        </w:rPr>
        <w:t>.load(source_file)</w:t>
      </w:r>
    </w:p>
    <w:p>
      <w:pPr>
        <w:pStyle w:val="PreformattedText"/>
        <w:bidi w:val="0"/>
        <w:spacing w:before="0" w:after="283"/>
        <w:jc w:val="left"/>
        <w:rPr/>
      </w:pPr>
      <w:r>
        <w:rPr>
          <w:rStyle w:val="SourceText"/>
        </w:rPr>
        <w:t>)</w:t>
      </w:r>
    </w:p>
    <w:p>
      <w:pPr>
        <w:pStyle w:val="BodyText"/>
        <w:bidi w:val="0"/>
        <w:spacing w:before="300" w:after="300"/>
        <w:ind w:hanging="0" w:left="300" w:right="300"/>
        <w:jc w:val="left"/>
        <w:rPr/>
      </w:pPr>
      <w:r>
        <w:rPr>
          <w:rStyle w:val="Strong"/>
          <w:bdr w:val="single" w:sz="2" w:space="12" w:color="000000"/>
        </w:rPr>
        <w:t>Two bugs on the way in, both worth recording:</w:t>
      </w:r>
    </w:p>
    <w:p>
      <w:pPr>
        <w:pStyle w:val="BodyText"/>
        <w:bidi w:val="0"/>
        <w:spacing w:before="300" w:after="300"/>
        <w:ind w:hanging="0" w:left="300" w:right="300"/>
        <w:jc w:val="left"/>
        <w:rPr/>
      </w:pPr>
      <w:r>
        <w:rPr>
          <w:rStyle w:val="Strong"/>
          <w:bdr w:val="single" w:sz="2" w:space="12" w:color="000000"/>
        </w:rPr>
        <w:t xml:space="preserve">1. </w:t>
      </w:r>
      <w:r>
        <w:rPr>
          <w:rStyle w:val="SourceText"/>
          <w:bdr w:val="single" w:sz="2" w:space="12" w:color="000000"/>
        </w:rPr>
        <w:t>spark.read()</w:t>
      </w:r>
      <w:r>
        <w:rPr>
          <w:rStyle w:val="Strong"/>
          <w:bdr w:val="single" w:sz="2" w:space="12" w:color="000000"/>
        </w:rPr>
        <w:t xml:space="preserve"> → </w:t>
      </w:r>
      <w:r>
        <w:rPr>
          <w:rStyle w:val="SourceText"/>
          <w:bdr w:val="single" w:sz="2" w:space="12" w:color="000000"/>
        </w:rPr>
        <w:t>spark.read</w:t>
      </w:r>
      <w:r>
        <w:rPr>
          <w:rStyle w:val="Strong"/>
          <w:bdr w:val="single" w:sz="2" w:space="12" w:color="000000"/>
        </w:rPr>
        <w:t>.</w:t>
      </w:r>
      <w:r>
        <w:rPr>
          <w:bdr w:val="single" w:sz="2" w:space="12" w:color="000000"/>
        </w:rPr>
        <w:t xml:space="preserve"> </w:t>
      </w:r>
      <w:r>
        <w:rPr>
          <w:rStyle w:val="SourceText"/>
          <w:bdr w:val="single" w:sz="2" w:space="12" w:color="000000"/>
        </w:rPr>
        <w:t>read</w:t>
      </w:r>
      <w:r>
        <w:rPr>
          <w:bdr w:val="single" w:sz="2" w:space="12" w:color="000000"/>
        </w:rPr>
        <w:t xml:space="preserve"> is a </w:t>
      </w:r>
      <w:r>
        <w:rPr>
          <w:rStyle w:val="Emphasis"/>
          <w:bdr w:val="single" w:sz="2" w:space="12" w:color="000000"/>
        </w:rPr>
        <w:t>property</w:t>
      </w:r>
      <w:r>
        <w:rPr>
          <w:bdr w:val="single" w:sz="2" w:space="12" w:color="000000"/>
        </w:rPr>
        <w:t xml:space="preserve"> returning a </w:t>
      </w:r>
      <w:r>
        <w:rPr>
          <w:rStyle w:val="SourceText"/>
          <w:bdr w:val="single" w:sz="2" w:space="12" w:color="000000"/>
        </w:rPr>
        <w:t>DataFrameReader</w:t>
      </w:r>
      <w:r>
        <w:rPr>
          <w:bdr w:val="single" w:sz="2" w:space="12" w:color="000000"/>
        </w:rPr>
        <w:t>, not a method. Adding parentheses tries to call the reader object itself.</w:t>
      </w:r>
    </w:p>
    <w:p>
      <w:pPr>
        <w:pStyle w:val="BodyText"/>
        <w:bidi w:val="0"/>
        <w:spacing w:before="300" w:after="300"/>
        <w:ind w:hanging="0" w:left="300" w:right="300"/>
        <w:jc w:val="left"/>
        <w:rPr/>
      </w:pPr>
      <w:r>
        <w:rPr>
          <w:rStyle w:val="Strong"/>
          <w:bdr w:val="single" w:sz="2" w:space="12" w:color="000000"/>
        </w:rPr>
        <w:t>2. Double slash in the path.</w:t>
      </w:r>
      <w:r>
        <w:rPr>
          <w:bdr w:val="single" w:sz="2" w:space="12" w:color="000000"/>
        </w:rPr>
        <w:t xml:space="preserve"> </w:t>
      </w:r>
      <w:r>
        <w:rPr>
          <w:rStyle w:val="SourceText"/>
          <w:bdr w:val="single" w:sz="2" w:space="12" w:color="000000"/>
        </w:rPr>
        <w:t>landing_folder_path</w:t>
      </w:r>
      <w:r>
        <w:rPr>
          <w:bdr w:val="single" w:sz="2" w:space="12" w:color="000000"/>
        </w:rPr>
        <w:t xml:space="preserve"> ended with </w:t>
      </w:r>
      <w:r>
        <w:rPr>
          <w:rStyle w:val="SourceText"/>
          <w:bdr w:val="single" w:sz="2" w:space="12" w:color="000000"/>
        </w:rPr>
        <w:t>/</w:t>
      </w:r>
      <w:r>
        <w:rPr>
          <w:bdr w:val="single" w:sz="2" w:space="12" w:color="000000"/>
        </w:rPr>
        <w:t xml:space="preserve"> and the f-string added another, producing </w:t>
      </w:r>
      <w:r>
        <w:rPr>
          <w:rStyle w:val="SourceText"/>
          <w:bdr w:val="single" w:sz="2" w:space="12" w:color="000000"/>
        </w:rPr>
        <w:t>…/date=2026-06-01//transactions.csv</w:t>
      </w:r>
      <w:r>
        <w:rPr>
          <w:bdr w:val="single" w:sz="2" w:space="12" w:color="000000"/>
        </w:rPr>
        <w:t xml:space="preserve">. Spark tolerates it, but the value lands verbatim in the </w:t>
      </w:r>
      <w:r>
        <w:rPr>
          <w:rStyle w:val="SourceText"/>
          <w:bdr w:val="single" w:sz="2" w:space="12" w:color="000000"/>
        </w:rPr>
        <w:t>source_file</w:t>
      </w:r>
      <w:r>
        <w:rPr>
          <w:bdr w:val="single" w:sz="2" w:space="12" w:color="000000"/>
        </w:rPr>
        <w:t xml:space="preserve"> audit column later. </w:t>
      </w:r>
      <w:r>
        <w:rPr>
          <w:b/>
          <w:bdr w:val="single" w:sz="2" w:space="12" w:color="000000"/>
        </w:rPr>
        <w:t>Convention fixed:</w:t>
      </w:r>
      <w:r>
        <w:rPr>
          <w:bdr w:val="single" w:sz="2" w:space="12" w:color="000000"/>
        </w:rPr>
        <w:t xml:space="preserve"> the config stores paths </w:t>
      </w:r>
      <w:r>
        <w:rPr>
          <w:rStyle w:val="Emphasis"/>
          <w:bdr w:val="single" w:sz="2" w:space="12" w:color="000000"/>
        </w:rPr>
        <w:t>without</w:t>
      </w:r>
      <w:r>
        <w:rPr>
          <w:bdr w:val="single" w:sz="2" w:space="12" w:color="000000"/>
        </w:rPr>
        <w:t xml:space="preserve"> a trailing slash; consumers add the separator.</w:t>
      </w:r>
    </w:p>
    <w:p>
      <w:pPr>
        <w:pStyle w:val="Heading2"/>
        <w:bidi w:val="0"/>
        <w:ind w:hanging="0"/>
        <w:jc w:val="left"/>
        <w:rPr/>
      </w:pPr>
      <w:r>
        <w:rPr/>
        <w:t>Result 1 — the row count is correct</w:t>
      </w:r>
    </w:p>
    <w:tbl>
      <w:tblPr>
        <w:tblW w:w="8865" w:type="dxa"/>
        <w:jc w:val="left"/>
        <w:tblInd w:w="28" w:type="dxa"/>
        <w:tblLayout w:type="fixed"/>
        <w:tblCellMar>
          <w:top w:w="28" w:type="dxa"/>
          <w:left w:w="28" w:type="dxa"/>
          <w:bottom w:w="28" w:type="dxa"/>
          <w:right w:w="28" w:type="dxa"/>
        </w:tblCellMar>
      </w:tblPr>
      <w:tblGrid>
        <w:gridCol w:w="6121"/>
        <w:gridCol w:w="1330"/>
        <w:gridCol w:w="1414"/>
      </w:tblGrid>
      <w:tr>
        <w:trPr/>
        <w:tc>
          <w:tcPr>
            <w:tcW w:w="6121" w:type="dxa"/>
            <w:tcBorders/>
            <w:vAlign w:val="center"/>
          </w:tcPr>
          <w:p>
            <w:pPr>
              <w:pStyle w:val="TableHeading"/>
              <w:suppressLineNumbers/>
              <w:bidi w:val="0"/>
              <w:spacing w:before="0" w:after="283"/>
              <w:jc w:val="left"/>
              <w:rPr/>
            </w:pPr>
            <w:r>
              <w:rPr/>
              <w:t>Check</w:t>
            </w:r>
          </w:p>
        </w:tc>
        <w:tc>
          <w:tcPr>
            <w:tcW w:w="1330" w:type="dxa"/>
            <w:tcBorders/>
            <w:vAlign w:val="center"/>
          </w:tcPr>
          <w:p>
            <w:pPr>
              <w:pStyle w:val="TableHeading"/>
              <w:suppressLineNumbers/>
              <w:bidi w:val="0"/>
              <w:spacing w:before="0" w:after="283"/>
              <w:jc w:val="left"/>
              <w:rPr/>
            </w:pPr>
            <w:r>
              <w:rPr/>
              <w:t>Expected</w:t>
            </w:r>
          </w:p>
        </w:tc>
        <w:tc>
          <w:tcPr>
            <w:tcW w:w="1414" w:type="dxa"/>
            <w:tcBorders/>
            <w:vAlign w:val="center"/>
          </w:tcPr>
          <w:p>
            <w:pPr>
              <w:pStyle w:val="TableHeading"/>
              <w:suppressLineNumbers/>
              <w:bidi w:val="0"/>
              <w:spacing w:before="0" w:after="283"/>
              <w:jc w:val="left"/>
              <w:rPr/>
            </w:pPr>
            <w:r>
              <w:rPr/>
              <w:t>Actual</w:t>
            </w:r>
          </w:p>
        </w:tc>
      </w:tr>
      <w:tr>
        <w:trPr/>
        <w:tc>
          <w:tcPr>
            <w:tcW w:w="6121" w:type="dxa"/>
            <w:tcBorders/>
            <w:vAlign w:val="center"/>
          </w:tcPr>
          <w:p>
            <w:pPr>
              <w:pStyle w:val="TableContents"/>
              <w:bidi w:val="0"/>
              <w:spacing w:before="0" w:after="283"/>
              <w:jc w:val="left"/>
              <w:rPr/>
            </w:pPr>
            <w:r>
              <w:rPr/>
              <w:t>Day-1 row count (from Note 03 source interview)</w:t>
            </w:r>
          </w:p>
        </w:tc>
        <w:tc>
          <w:tcPr>
            <w:tcW w:w="1330" w:type="dxa"/>
            <w:tcBorders/>
            <w:vAlign w:val="center"/>
          </w:tcPr>
          <w:p>
            <w:pPr>
              <w:pStyle w:val="TableContents"/>
              <w:bidi w:val="0"/>
              <w:spacing w:before="0" w:after="283"/>
              <w:ind w:hanging="0" w:left="0" w:right="0"/>
              <w:jc w:val="left"/>
              <w:rPr/>
            </w:pPr>
            <w:r>
              <w:rPr/>
              <w:t>574,255</w:t>
            </w:r>
          </w:p>
        </w:tc>
        <w:tc>
          <w:tcPr>
            <w:tcW w:w="1414" w:type="dxa"/>
            <w:tcBorders/>
            <w:vAlign w:val="center"/>
          </w:tcPr>
          <w:p>
            <w:pPr>
              <w:pStyle w:val="TableContents"/>
              <w:bidi w:val="0"/>
              <w:spacing w:before="0" w:after="283"/>
              <w:jc w:val="left"/>
              <w:rPr>
                <w:color w:val="2E7D32"/>
              </w:rPr>
            </w:pPr>
            <w:r>
              <w:rPr>
                <w:color w:val="2E7D32"/>
              </w:rPr>
              <w:t>574,255 ✔</w:t>
            </w:r>
          </w:p>
        </w:tc>
      </w:tr>
    </w:tbl>
    <w:p>
      <w:pPr>
        <w:pStyle w:val="BodyText"/>
        <w:bidi w:val="0"/>
        <w:jc w:val="left"/>
        <w:rPr/>
      </w:pPr>
      <w:r>
        <w:rPr/>
        <w:t>The file arrived whole. Nothing truncated during upload to the volume — worth confirming before blaming anything downstream.</w:t>
      </w:r>
    </w:p>
    <w:p>
      <w:pPr>
        <w:pStyle w:val="Heading2"/>
        <w:bidi w:val="0"/>
        <w:jc w:val="left"/>
        <w:rPr/>
      </w:pPr>
      <w:r>
        <w:rPr/>
        <w:t xml:space="preserve">Result 2 — every column came back as </w:t>
      </w:r>
      <w:r>
        <w:rPr>
          <w:rStyle w:val="SourceText"/>
        </w:rPr>
        <w:t>string</w:t>
      </w:r>
    </w:p>
    <w:p>
      <w:pPr>
        <w:pStyle w:val="PreformattedText"/>
        <w:bidi w:val="0"/>
        <w:jc w:val="left"/>
        <w:rPr/>
      </w:pPr>
      <w:r>
        <w:rPr>
          <w:rStyle w:val="SourceText"/>
        </w:rPr>
        <w:t>root</w:t>
      </w:r>
    </w:p>
    <w:p>
      <w:pPr>
        <w:pStyle w:val="PreformattedText"/>
        <w:bidi w:val="0"/>
        <w:jc w:val="left"/>
        <w:rPr/>
      </w:pPr>
      <w:r>
        <w:rPr>
          <w:rStyle w:val="SourceText"/>
        </w:rPr>
        <w:t xml:space="preserve"> </w:t>
      </w:r>
      <w:r>
        <w:rPr>
          <w:rStyle w:val="SourceText"/>
        </w:rPr>
        <w:t>|-- step: string (nullable = true)</w:t>
      </w:r>
    </w:p>
    <w:p>
      <w:pPr>
        <w:pStyle w:val="PreformattedText"/>
        <w:bidi w:val="0"/>
        <w:jc w:val="left"/>
        <w:rPr/>
      </w:pPr>
      <w:r>
        <w:rPr>
          <w:rStyle w:val="SourceText"/>
        </w:rPr>
        <w:t xml:space="preserve"> </w:t>
      </w:r>
      <w:r>
        <w:rPr>
          <w:rStyle w:val="SourceText"/>
        </w:rPr>
        <w:t>|-- type: string (nullable = true)</w:t>
      </w:r>
    </w:p>
    <w:p>
      <w:pPr>
        <w:pStyle w:val="PreformattedText"/>
        <w:bidi w:val="0"/>
        <w:jc w:val="left"/>
        <w:rPr/>
      </w:pPr>
      <w:r>
        <w:rPr>
          <w:rStyle w:val="SourceText"/>
        </w:rPr>
        <w:t xml:space="preserve"> </w:t>
      </w:r>
      <w:r>
        <w:rPr>
          <w:rStyle w:val="SourceText"/>
        </w:rPr>
        <w:t>|-- amount: string (nullable = true)</w:t>
      </w:r>
    </w:p>
    <w:p>
      <w:pPr>
        <w:pStyle w:val="PreformattedText"/>
        <w:bidi w:val="0"/>
        <w:jc w:val="left"/>
        <w:rPr/>
      </w:pPr>
      <w:r>
        <w:rPr>
          <w:rStyle w:val="SourceText"/>
        </w:rPr>
        <w:t xml:space="preserve"> </w:t>
      </w:r>
      <w:r>
        <w:rPr>
          <w:rStyle w:val="SourceText"/>
        </w:rPr>
        <w:t>|-- nameOrig: string (nullable = true)</w:t>
      </w:r>
    </w:p>
    <w:p>
      <w:pPr>
        <w:pStyle w:val="PreformattedText"/>
        <w:bidi w:val="0"/>
        <w:jc w:val="left"/>
        <w:rPr/>
      </w:pPr>
      <w:r>
        <w:rPr>
          <w:rStyle w:val="SourceText"/>
        </w:rPr>
        <w:t xml:space="preserve"> </w:t>
      </w:r>
      <w:r>
        <w:rPr>
          <w:rStyle w:val="SourceText"/>
        </w:rPr>
        <w:t>|-- oldbalanceOrg: string (nullable = true)</w:t>
      </w:r>
    </w:p>
    <w:p>
      <w:pPr>
        <w:pStyle w:val="PreformattedText"/>
        <w:bidi w:val="0"/>
        <w:jc w:val="left"/>
        <w:rPr/>
      </w:pPr>
      <w:r>
        <w:rPr>
          <w:rStyle w:val="SourceText"/>
        </w:rPr>
        <w:t xml:space="preserve"> </w:t>
      </w:r>
      <w:r>
        <w:rPr>
          <w:rStyle w:val="SourceText"/>
        </w:rPr>
        <w:t>|-- newbalanceOrig: string (nullable = true)</w:t>
      </w:r>
    </w:p>
    <w:p>
      <w:pPr>
        <w:pStyle w:val="PreformattedText"/>
        <w:bidi w:val="0"/>
        <w:jc w:val="left"/>
        <w:rPr/>
      </w:pPr>
      <w:r>
        <w:rPr>
          <w:rStyle w:val="SourceText"/>
        </w:rPr>
        <w:t xml:space="preserve"> </w:t>
      </w:r>
      <w:r>
        <w:rPr>
          <w:rStyle w:val="SourceText"/>
        </w:rPr>
        <w:t>|-- nameDest: string (nullable = true)</w:t>
      </w:r>
    </w:p>
    <w:p>
      <w:pPr>
        <w:pStyle w:val="PreformattedText"/>
        <w:bidi w:val="0"/>
        <w:jc w:val="left"/>
        <w:rPr/>
      </w:pPr>
      <w:r>
        <w:rPr>
          <w:rStyle w:val="SourceText"/>
        </w:rPr>
        <w:t xml:space="preserve"> </w:t>
      </w:r>
      <w:r>
        <w:rPr>
          <w:rStyle w:val="SourceText"/>
        </w:rPr>
        <w:t>|-- oldbalanceDest: string (nullable = true)</w:t>
      </w:r>
    </w:p>
    <w:p>
      <w:pPr>
        <w:pStyle w:val="PreformattedText"/>
        <w:bidi w:val="0"/>
        <w:jc w:val="left"/>
        <w:rPr/>
      </w:pPr>
      <w:r>
        <w:rPr>
          <w:rStyle w:val="SourceText"/>
        </w:rPr>
        <w:t xml:space="preserve"> </w:t>
      </w:r>
      <w:r>
        <w:rPr>
          <w:rStyle w:val="SourceText"/>
        </w:rPr>
        <w:t>|-- newbalanceDest: string (nullable = true)</w:t>
      </w:r>
    </w:p>
    <w:p>
      <w:pPr>
        <w:pStyle w:val="PreformattedText"/>
        <w:bidi w:val="0"/>
        <w:jc w:val="left"/>
        <w:rPr/>
      </w:pPr>
      <w:r>
        <w:rPr>
          <w:rStyle w:val="SourceText"/>
        </w:rPr>
        <w:t xml:space="preserve"> </w:t>
      </w:r>
      <w:r>
        <w:rPr>
          <w:rStyle w:val="SourceText"/>
        </w:rPr>
        <w:t>|-- isFraud: string (nullable = true)</w:t>
      </w:r>
    </w:p>
    <w:p>
      <w:pPr>
        <w:pStyle w:val="PreformattedText"/>
        <w:bidi w:val="0"/>
        <w:spacing w:before="0" w:after="283"/>
        <w:jc w:val="left"/>
        <w:rPr/>
      </w:pPr>
      <w:r>
        <w:rPr>
          <w:rStyle w:val="SourceText"/>
        </w:rPr>
        <w:t xml:space="preserve"> </w:t>
      </w:r>
      <w:r>
        <w:rPr>
          <w:rStyle w:val="SourceText"/>
        </w:rPr>
        <w:t>|-- isFlaggedFraud: string (nullable = true)</w:t>
      </w:r>
    </w:p>
    <w:p>
      <w:pPr>
        <w:pStyle w:val="BodyText"/>
        <w:bidi w:val="0"/>
        <w:jc w:val="left"/>
        <w:rPr/>
      </w:pPr>
      <w:r>
        <w:rPr/>
        <w:t xml:space="preserve">All eleven — including </w:t>
      </w:r>
      <w:r>
        <w:rPr>
          <w:rStyle w:val="SourceText"/>
        </w:rPr>
        <w:t>amount</w:t>
      </w:r>
      <w:r>
        <w:rPr/>
        <w:t xml:space="preserve">, the four balance columns, </w:t>
      </w:r>
      <w:r>
        <w:rPr>
          <w:rStyle w:val="SourceText"/>
        </w:rPr>
        <w:t>step</w:t>
      </w:r>
      <w:r>
        <w:rPr/>
        <w:t xml:space="preserve"> and both fraud flags.</w:t>
      </w:r>
    </w:p>
    <w:p>
      <w:pPr>
        <w:pStyle w:val="Heading3"/>
        <w:bidi w:val="0"/>
        <w:jc w:val="left"/>
        <w:rPr/>
      </w:pPr>
      <w:r>
        <w:rPr/>
        <w:t>Why</w:t>
      </w:r>
    </w:p>
    <w:p>
      <w:pPr>
        <w:pStyle w:val="BodyText"/>
        <w:bidi w:val="0"/>
        <w:jc w:val="left"/>
        <w:rPr/>
      </w:pPr>
      <w:r>
        <w:rPr>
          <w:rStyle w:val="Strong"/>
        </w:rPr>
        <w:t>A CSV file contains no type information.</w:t>
      </w:r>
      <w:r>
        <w:rPr/>
        <w:t xml:space="preserve"> It is characters and commas, nothing more. </w:t>
      </w:r>
      <w:r>
        <w:rPr>
          <w:rStyle w:val="SourceText"/>
        </w:rPr>
        <w:t>header=true</w:t>
      </w:r>
      <w:r>
        <w:rPr/>
        <w:t xml:space="preserve"> only instructs Spark to take column </w:t>
      </w:r>
      <w:r>
        <w:rPr>
          <w:rStyle w:val="Emphasis"/>
        </w:rPr>
        <w:t>names</w:t>
      </w:r>
      <w:r>
        <w:rPr/>
        <w:t xml:space="preserve"> from row 1 — it says nothing about types. Given no other instruction, Spark takes the only safe option available and calls everything a string. Values that </w:t>
      </w:r>
      <w:r>
        <w:rPr>
          <w:rStyle w:val="Emphasis"/>
        </w:rPr>
        <w:t>look</w:t>
      </w:r>
      <w:r>
        <w:rPr/>
        <w:t xml:space="preserve"> numeric are still text: how a value looks is not what it is.</w:t>
      </w:r>
    </w:p>
    <w:p>
      <w:pPr>
        <w:pStyle w:val="Heading2"/>
        <w:bidi w:val="0"/>
        <w:jc w:val="left"/>
        <w:rPr/>
      </w:pPr>
      <w:r>
        <w:rPr/>
        <w:t xml:space="preserve">Why this is fatal for </w:t>
      </w:r>
      <w:r>
        <w:rPr>
          <w:rStyle w:val="SourceText"/>
        </w:rPr>
        <w:t>amount</w:t>
      </w:r>
    </w:p>
    <w:p>
      <w:pPr>
        <w:pStyle w:val="BodyText"/>
        <w:bidi w:val="0"/>
        <w:jc w:val="left"/>
        <w:rPr/>
      </w:pPr>
      <w:r>
        <w:rPr/>
        <w:t xml:space="preserve">Text is compared </w:t>
      </w:r>
      <w:r>
        <w:rPr>
          <w:rStyle w:val="Strong"/>
        </w:rPr>
        <w:t>one character at a time, left to right; the first difference decides and length is never considered</w:t>
      </w:r>
      <w:r>
        <w:rPr/>
        <w:t xml:space="preserve"> — dictionary order. </w:t>
      </w:r>
      <w:r>
        <w:rPr>
          <w:rStyle w:val="SourceText"/>
        </w:rPr>
        <w:t>"Zebra"</w:t>
      </w:r>
      <w:r>
        <w:rPr/>
        <w:t xml:space="preserve"> beats </w:t>
      </w:r>
      <w:r>
        <w:rPr>
          <w:rStyle w:val="SourceText"/>
        </w:rPr>
        <w:t>"Apple"</w:t>
      </w:r>
      <w:r>
        <w:rPr/>
        <w:t xml:space="preserve"> because Z beats A; nobody counts the letters.</w:t>
      </w:r>
    </w:p>
    <w:tbl>
      <w:tblPr>
        <w:tblW w:w="8982" w:type="dxa"/>
        <w:jc w:val="left"/>
        <w:tblInd w:w="28" w:type="dxa"/>
        <w:tblLayout w:type="fixed"/>
        <w:tblCellMar>
          <w:top w:w="28" w:type="dxa"/>
          <w:left w:w="28" w:type="dxa"/>
          <w:bottom w:w="28" w:type="dxa"/>
          <w:right w:w="28" w:type="dxa"/>
        </w:tblCellMar>
      </w:tblPr>
      <w:tblGrid>
        <w:gridCol w:w="2131"/>
        <w:gridCol w:w="3114"/>
        <w:gridCol w:w="3737"/>
      </w:tblGrid>
      <w:tr>
        <w:trPr/>
        <w:tc>
          <w:tcPr>
            <w:tcW w:w="2131" w:type="dxa"/>
            <w:tcBorders/>
            <w:vAlign w:val="center"/>
          </w:tcPr>
          <w:p>
            <w:pPr>
              <w:pStyle w:val="TableHeading"/>
              <w:suppressLineNumbers/>
              <w:bidi w:val="0"/>
              <w:spacing w:before="0" w:after="283"/>
              <w:jc w:val="left"/>
              <w:rPr/>
            </w:pPr>
            <w:r>
              <w:rPr/>
              <w:t>Same four values</w:t>
            </w:r>
          </w:p>
        </w:tc>
        <w:tc>
          <w:tcPr>
            <w:tcW w:w="3114" w:type="dxa"/>
            <w:tcBorders/>
            <w:vAlign w:val="center"/>
          </w:tcPr>
          <w:p>
            <w:pPr>
              <w:pStyle w:val="TableHeading"/>
              <w:suppressLineNumbers/>
              <w:bidi w:val="0"/>
              <w:spacing w:before="0" w:after="283"/>
              <w:jc w:val="left"/>
              <w:rPr/>
            </w:pPr>
            <w:r>
              <w:rPr/>
              <w:t>Sorted as text (what we had)</w:t>
            </w:r>
          </w:p>
        </w:tc>
        <w:tc>
          <w:tcPr>
            <w:tcW w:w="3737" w:type="dxa"/>
            <w:tcBorders/>
            <w:vAlign w:val="center"/>
          </w:tcPr>
          <w:p>
            <w:pPr>
              <w:pStyle w:val="TableHeading"/>
              <w:bidi w:val="0"/>
              <w:spacing w:before="0" w:after="283"/>
              <w:ind w:hanging="0" w:left="0" w:right="0"/>
              <w:jc w:val="left"/>
              <w:rPr/>
            </w:pPr>
            <w:r>
              <w:rPr/>
              <w:t>Sorted as number (what we meant)</w:t>
            </w:r>
          </w:p>
        </w:tc>
      </w:tr>
      <w:tr>
        <w:trPr/>
        <w:tc>
          <w:tcPr>
            <w:tcW w:w="2131" w:type="dxa"/>
            <w:vMerge w:val="restart"/>
            <w:tcBorders/>
            <w:vAlign w:val="center"/>
          </w:tcPr>
          <w:p>
            <w:pPr>
              <w:pStyle w:val="TableContents"/>
              <w:bidi w:val="0"/>
              <w:spacing w:before="0" w:after="283"/>
              <w:jc w:val="left"/>
              <w:rPr/>
            </w:pPr>
            <w:r>
              <w:rPr>
                <w:rStyle w:val="SourceText"/>
              </w:rPr>
              <w:t>9.99</w:t>
            </w:r>
            <w:r>
              <w:rPr/>
              <w:br/>
            </w:r>
            <w:r>
              <w:rPr>
                <w:rStyle w:val="SourceText"/>
              </w:rPr>
              <w:t>85.00</w:t>
            </w:r>
            <w:r>
              <w:rPr/>
              <w:br/>
            </w:r>
            <w:r>
              <w:rPr>
                <w:rStyle w:val="SourceText"/>
              </w:rPr>
              <w:t>700.00</w:t>
            </w:r>
            <w:r>
              <w:rPr/>
              <w:br/>
            </w:r>
            <w:r>
              <w:rPr>
                <w:rStyle w:val="SourceText"/>
              </w:rPr>
              <w:t>1000000.00</w:t>
            </w:r>
          </w:p>
        </w:tc>
        <w:tc>
          <w:tcPr>
            <w:tcW w:w="3114" w:type="dxa"/>
            <w:tcBorders/>
            <w:vAlign w:val="center"/>
          </w:tcPr>
          <w:p>
            <w:pPr>
              <w:pStyle w:val="TableContents"/>
              <w:bidi w:val="0"/>
              <w:spacing w:before="0" w:after="283"/>
              <w:ind w:hanging="0" w:left="0" w:right="0"/>
              <w:jc w:val="left"/>
              <w:rPr/>
            </w:pPr>
            <w:r>
              <w:rPr>
                <w:rStyle w:val="SourceText"/>
              </w:rPr>
              <w:t>9.99</w:t>
            </w:r>
            <w:r>
              <w:rPr/>
              <w:t xml:space="preserve">  ← </w:t>
            </w:r>
            <w:r>
              <w:rPr>
                <w:b/>
              </w:rPr>
              <w:t>"max"</w:t>
            </w:r>
          </w:p>
        </w:tc>
        <w:tc>
          <w:tcPr>
            <w:tcW w:w="3737" w:type="dxa"/>
            <w:tcBorders/>
            <w:vAlign w:val="center"/>
          </w:tcPr>
          <w:p>
            <w:pPr>
              <w:pStyle w:val="TableContents"/>
              <w:bidi w:val="0"/>
              <w:spacing w:before="0" w:after="283"/>
              <w:jc w:val="left"/>
              <w:rPr/>
            </w:pPr>
            <w:r>
              <w:rPr>
                <w:rStyle w:val="SourceText"/>
              </w:rPr>
              <w:t>1000000.00</w:t>
            </w:r>
            <w:r>
              <w:rPr/>
              <w:t xml:space="preserve">  ← max</w:t>
            </w:r>
          </w:p>
        </w:tc>
      </w:tr>
      <w:tr>
        <w:trPr/>
        <w:tc>
          <w:tcPr>
            <w:tcW w:w="2131" w:type="dxa"/>
            <w:vMerge w:val="continue"/>
            <w:tcBorders/>
            <w:vAlign w:val="center"/>
          </w:tcPr>
          <w:p>
            <w:pPr>
              <w:pStyle w:val="TableContents"/>
              <w:bidi w:val="0"/>
              <w:spacing w:before="0" w:after="283"/>
              <w:jc w:val="left"/>
              <w:rPr>
                <w:sz w:val="4"/>
                <w:szCs w:val="4"/>
              </w:rPr>
            </w:pPr>
            <w:r>
              <w:rPr>
                <w:sz w:val="4"/>
                <w:szCs w:val="4"/>
              </w:rPr>
            </w:r>
          </w:p>
        </w:tc>
        <w:tc>
          <w:tcPr>
            <w:tcW w:w="3114" w:type="dxa"/>
            <w:tcBorders/>
            <w:vAlign w:val="center"/>
          </w:tcPr>
          <w:p>
            <w:pPr>
              <w:pStyle w:val="TableContents"/>
              <w:bidi w:val="0"/>
              <w:spacing w:before="0" w:after="283"/>
              <w:jc w:val="left"/>
              <w:rPr/>
            </w:pPr>
            <w:r>
              <w:rPr>
                <w:rStyle w:val="SourceText"/>
              </w:rPr>
              <w:t>85.00</w:t>
            </w:r>
          </w:p>
        </w:tc>
        <w:tc>
          <w:tcPr>
            <w:tcW w:w="3737" w:type="dxa"/>
            <w:tcBorders/>
            <w:vAlign w:val="center"/>
          </w:tcPr>
          <w:p>
            <w:pPr>
              <w:pStyle w:val="TableContents"/>
              <w:bidi w:val="0"/>
              <w:spacing w:before="0" w:after="283"/>
              <w:jc w:val="left"/>
              <w:rPr/>
            </w:pPr>
            <w:r>
              <w:rPr>
                <w:rStyle w:val="SourceText"/>
              </w:rPr>
              <w:t>700.00</w:t>
            </w:r>
          </w:p>
        </w:tc>
      </w:tr>
      <w:tr>
        <w:trPr/>
        <w:tc>
          <w:tcPr>
            <w:tcW w:w="2131" w:type="dxa"/>
            <w:vMerge w:val="continue"/>
            <w:tcBorders/>
            <w:vAlign w:val="center"/>
          </w:tcPr>
          <w:p>
            <w:pPr>
              <w:pStyle w:val="TableContents"/>
              <w:bidi w:val="0"/>
              <w:spacing w:before="0" w:after="283"/>
              <w:jc w:val="left"/>
              <w:rPr>
                <w:sz w:val="4"/>
                <w:szCs w:val="4"/>
              </w:rPr>
            </w:pPr>
            <w:r>
              <w:rPr>
                <w:sz w:val="4"/>
                <w:szCs w:val="4"/>
              </w:rPr>
            </w:r>
          </w:p>
        </w:tc>
        <w:tc>
          <w:tcPr>
            <w:tcW w:w="3114" w:type="dxa"/>
            <w:tcBorders/>
            <w:vAlign w:val="center"/>
          </w:tcPr>
          <w:p>
            <w:pPr>
              <w:pStyle w:val="TableContents"/>
              <w:bidi w:val="0"/>
              <w:spacing w:before="0" w:after="283"/>
              <w:jc w:val="left"/>
              <w:rPr/>
            </w:pPr>
            <w:r>
              <w:rPr>
                <w:rStyle w:val="SourceText"/>
              </w:rPr>
              <w:t>700.00</w:t>
            </w:r>
          </w:p>
        </w:tc>
        <w:tc>
          <w:tcPr>
            <w:tcW w:w="3737" w:type="dxa"/>
            <w:tcBorders/>
            <w:vAlign w:val="center"/>
          </w:tcPr>
          <w:p>
            <w:pPr>
              <w:pStyle w:val="TableContents"/>
              <w:bidi w:val="0"/>
              <w:spacing w:before="0" w:after="283"/>
              <w:jc w:val="left"/>
              <w:rPr/>
            </w:pPr>
            <w:r>
              <w:rPr>
                <w:rStyle w:val="SourceText"/>
              </w:rPr>
              <w:t>85.00</w:t>
            </w:r>
          </w:p>
        </w:tc>
      </w:tr>
      <w:tr>
        <w:trPr/>
        <w:tc>
          <w:tcPr>
            <w:tcW w:w="2131" w:type="dxa"/>
            <w:vMerge w:val="continue"/>
            <w:tcBorders/>
            <w:vAlign w:val="center"/>
          </w:tcPr>
          <w:p>
            <w:pPr>
              <w:pStyle w:val="TableContents"/>
              <w:bidi w:val="0"/>
              <w:spacing w:before="0" w:after="283"/>
              <w:jc w:val="left"/>
              <w:rPr>
                <w:sz w:val="4"/>
                <w:szCs w:val="4"/>
              </w:rPr>
            </w:pPr>
            <w:r>
              <w:rPr>
                <w:sz w:val="4"/>
                <w:szCs w:val="4"/>
              </w:rPr>
            </w:r>
          </w:p>
        </w:tc>
        <w:tc>
          <w:tcPr>
            <w:tcW w:w="3114" w:type="dxa"/>
            <w:tcBorders/>
            <w:vAlign w:val="center"/>
          </w:tcPr>
          <w:p>
            <w:pPr>
              <w:pStyle w:val="TableContents"/>
              <w:bidi w:val="0"/>
              <w:spacing w:before="0" w:after="283"/>
              <w:jc w:val="left"/>
              <w:rPr/>
            </w:pPr>
            <w:r>
              <w:rPr>
                <w:rStyle w:val="SourceText"/>
              </w:rPr>
              <w:t>1000000.00</w:t>
            </w:r>
          </w:p>
        </w:tc>
        <w:tc>
          <w:tcPr>
            <w:tcW w:w="3737" w:type="dxa"/>
            <w:tcBorders/>
            <w:vAlign w:val="center"/>
          </w:tcPr>
          <w:p>
            <w:pPr>
              <w:pStyle w:val="TableContents"/>
              <w:bidi w:val="0"/>
              <w:spacing w:before="0" w:after="283"/>
              <w:jc w:val="left"/>
              <w:rPr/>
            </w:pPr>
            <w:r>
              <w:rPr>
                <w:rStyle w:val="SourceText"/>
              </w:rPr>
              <w:t>9.99</w:t>
            </w:r>
          </w:p>
        </w:tc>
      </w:tr>
    </w:tbl>
    <w:p>
      <w:pPr>
        <w:pStyle w:val="BodyText"/>
        <w:bidi w:val="0"/>
        <w:jc w:val="left"/>
        <w:rPr/>
      </w:pPr>
      <w:r>
        <w:rPr>
          <w:rStyle w:val="SourceText"/>
        </w:rPr>
        <w:t>9.99</w:t>
      </w:r>
      <w:r>
        <w:rPr/>
        <w:t xml:space="preserve"> outranks </w:t>
      </w:r>
      <w:r>
        <w:rPr>
          <w:rStyle w:val="SourceText"/>
        </w:rPr>
        <w:t>1000000.00</w:t>
      </w:r>
      <w:r>
        <w:rPr/>
        <w:t xml:space="preserve"> because </w:t>
      </w:r>
      <w:r>
        <w:rPr>
          <w:rStyle w:val="SourceText"/>
        </w:rPr>
        <w:t>9</w:t>
      </w:r>
      <w:r>
        <w:rPr/>
        <w:t xml:space="preserve"> beats </w:t>
      </w:r>
      <w:r>
        <w:rPr>
          <w:rStyle w:val="SourceText"/>
        </w:rPr>
        <w:t>1</w:t>
      </w:r>
      <w:r>
        <w:rPr/>
        <w:t xml:space="preserve"> at the first character and the comparison ends there.</w:t>
      </w:r>
    </w:p>
    <w:p>
      <w:pPr>
        <w:pStyle w:val="BodyText"/>
        <w:bidi w:val="0"/>
        <w:jc w:val="left"/>
        <w:rPr/>
      </w:pPr>
      <w:r>
        <w:rPr/>
        <w:t xml:space="preserve">This is harmless for </w:t>
      </w:r>
      <w:r>
        <w:rPr>
          <w:rStyle w:val="SourceText"/>
        </w:rPr>
        <w:t>nameOrig</w:t>
      </w:r>
      <w:r>
        <w:rPr/>
        <w:t xml:space="preserve"> / </w:t>
      </w:r>
      <w:r>
        <w:rPr>
          <w:rStyle w:val="SourceText"/>
        </w:rPr>
        <w:t>nameDest</w:t>
      </w:r>
      <w:r>
        <w:rPr/>
        <w:t xml:space="preserve"> — account IDs are genuinely text and no arithmetic is ever done on them. It is ruinous for </w:t>
      </w:r>
      <w:r>
        <w:rPr>
          <w:rStyle w:val="SourceText"/>
        </w:rPr>
        <w:t>amount</w:t>
      </w:r>
      <w:r>
        <w:rPr/>
        <w:t xml:space="preserve"> and the balance columns, because nearly every question about money is a </w:t>
      </w:r>
      <w:r>
        <w:rPr>
          <w:rStyle w:val="Emphasis"/>
        </w:rPr>
        <w:t>size</w:t>
      </w:r>
      <w:r>
        <w:rPr/>
        <w:t xml:space="preserve"> question: biggest transfers, threshold breaches, daily totals, "did this transaction empty the account".</w:t>
      </w:r>
    </w:p>
    <w:p>
      <w:pPr>
        <w:pStyle w:val="BodyText"/>
        <w:bidi w:val="0"/>
        <w:spacing w:before="300" w:after="300"/>
        <w:ind w:hanging="0" w:left="300" w:right="300"/>
        <w:jc w:val="left"/>
        <w:rPr/>
      </w:pPr>
      <w:r>
        <w:rPr>
          <w:b/>
          <w:bdr w:val="single" w:sz="2" w:space="12" w:color="000000"/>
        </w:rPr>
        <w:t>The dangerous part:</w:t>
      </w:r>
      <w:r>
        <w:rPr>
          <w:bdr w:val="single" w:sz="2" w:space="12" w:color="000000"/>
        </w:rPr>
        <w:t xml:space="preserve"> none of this raises an error. </w:t>
      </w:r>
      <w:r>
        <w:rPr>
          <w:rStyle w:val="SourceText"/>
          <w:bdr w:val="single" w:sz="2" w:space="12" w:color="000000"/>
        </w:rPr>
        <w:t>max()</w:t>
      </w:r>
      <w:r>
        <w:rPr>
          <w:bdr w:val="single" w:sz="2" w:space="12" w:color="000000"/>
        </w:rPr>
        <w:t xml:space="preserve"> and </w:t>
      </w:r>
      <w:r>
        <w:rPr>
          <w:rStyle w:val="SourceText"/>
          <w:bdr w:val="single" w:sz="2" w:space="12" w:color="000000"/>
        </w:rPr>
        <w:t>ORDER BY</w:t>
      </w:r>
      <w:r>
        <w:rPr>
          <w:bdr w:val="single" w:sz="2" w:space="12" w:color="000000"/>
        </w:rPr>
        <w:t xml:space="preserve"> are both perfectly legal on a string column — they simply mean something other than intended. A "top 5 largest transactions" report returns five values beginning with </w:t>
      </w:r>
      <w:r>
        <w:rPr>
          <w:rStyle w:val="SourceText"/>
          <w:bdr w:val="single" w:sz="2" w:space="12" w:color="000000"/>
        </w:rPr>
        <w:t>9</w:t>
      </w:r>
      <w:r>
        <w:rPr>
          <w:bdr w:val="single" w:sz="2" w:space="12" w:color="000000"/>
        </w:rPr>
        <w:t xml:space="preserve">, runs green, and looks plausible on a dashboard. </w:t>
      </w:r>
      <w:r>
        <w:rPr>
          <w:rStyle w:val="Strong"/>
          <w:bdr w:val="single" w:sz="2" w:space="12" w:color="000000"/>
        </w:rPr>
        <w:t>A query that runs clean and answers wrong is more dangerous than one that crashes, because nothing tells you to look.</w:t>
      </w:r>
    </w:p>
    <w:p>
      <w:pPr>
        <w:pStyle w:val="Heading3"/>
        <w:bidi w:val="0"/>
        <w:ind w:hanging="0"/>
        <w:jc w:val="left"/>
        <w:rPr/>
      </w:pPr>
      <w:r>
        <w:rPr/>
        <w:t>Also why the fraud pattern would vanish</w:t>
      </w:r>
    </w:p>
    <w:p>
      <w:pPr>
        <w:pStyle w:val="BodyText"/>
        <w:bidi w:val="0"/>
        <w:jc w:val="left"/>
        <w:rPr/>
      </w:pPr>
      <w:r>
        <w:rPr/>
        <w:t xml:space="preserve">The core signal from Note 03 — "amount equals the entire old balance" — becomes a string equality test. </w:t>
      </w:r>
      <w:r>
        <w:rPr>
          <w:rStyle w:val="SourceText"/>
        </w:rPr>
        <w:t>"181.0"</w:t>
      </w:r>
      <w:r>
        <w:rPr/>
        <w:t xml:space="preserve"> and </w:t>
      </w:r>
      <w:r>
        <w:rPr>
          <w:rStyle w:val="SourceText"/>
        </w:rPr>
        <w:t>"181.00"</w:t>
      </w:r>
      <w:r>
        <w:rPr/>
        <w:t xml:space="preserve"> are the same number and different strings.</w:t>
      </w:r>
    </w:p>
    <w:p>
      <w:pPr>
        <w:pStyle w:val="Heading2"/>
        <w:bidi w:val="0"/>
        <w:jc w:val="left"/>
        <w:rPr/>
      </w:pPr>
      <w:r>
        <w:rPr/>
        <w:t>Proving it on our own data</w:t>
      </w:r>
    </w:p>
    <w:p>
      <w:pPr>
        <w:pStyle w:val="PreformattedText"/>
        <w:bidi w:val="0"/>
        <w:jc w:val="left"/>
        <w:rPr/>
      </w:pPr>
      <w:r>
        <w:rPr>
          <w:rStyle w:val="SourceText"/>
        </w:rPr>
        <w:t>from pyspark.sql import functions as F</w:t>
      </w:r>
    </w:p>
    <w:p>
      <w:pPr>
        <w:pStyle w:val="PreformattedText"/>
        <w:bidi w:val="0"/>
        <w:jc w:val="left"/>
        <w:rPr/>
      </w:pPr>
      <w:r>
        <w:rPr/>
      </w:r>
    </w:p>
    <w:p>
      <w:pPr>
        <w:pStyle w:val="PreformattedText"/>
        <w:bidi w:val="0"/>
        <w:jc w:val="left"/>
        <w:rPr/>
      </w:pPr>
      <w:r>
        <w:rPr>
          <w:rStyle w:val="SourceText"/>
        </w:rPr>
        <w:t>df.agg(</w:t>
      </w:r>
    </w:p>
    <w:p>
      <w:pPr>
        <w:pStyle w:val="PreformattedText"/>
        <w:bidi w:val="0"/>
        <w:jc w:val="left"/>
        <w:rPr/>
      </w:pPr>
      <w:r>
        <w:rPr>
          <w:rStyle w:val="SourceText"/>
        </w:rPr>
        <w:t xml:space="preserve">    </w:t>
      </w:r>
      <w:r>
        <w:rPr>
          <w:rStyle w:val="SourceText"/>
        </w:rPr>
        <w:t>F.max("amount"),                          # lexicographic max</w:t>
      </w:r>
    </w:p>
    <w:p>
      <w:pPr>
        <w:pStyle w:val="PreformattedText"/>
        <w:bidi w:val="0"/>
        <w:jc w:val="left"/>
        <w:rPr/>
      </w:pPr>
      <w:r>
        <w:rPr>
          <w:rStyle w:val="SourceText"/>
        </w:rPr>
        <w:t xml:space="preserve">    </w:t>
      </w:r>
      <w:r>
        <w:rPr>
          <w:rStyle w:val="SourceText"/>
        </w:rPr>
        <w:t>F.max(F.col("amount").cast("double")),    # true numeric max</w:t>
      </w:r>
    </w:p>
    <w:p>
      <w:pPr>
        <w:pStyle w:val="PreformattedText"/>
        <w:bidi w:val="0"/>
        <w:spacing w:before="0" w:after="283"/>
        <w:jc w:val="left"/>
        <w:rPr/>
      </w:pPr>
      <w:r>
        <w:rPr>
          <w:rStyle w:val="SourceText"/>
        </w:rPr>
        <w:t>).show()</w:t>
      </w:r>
    </w:p>
    <w:p>
      <w:pPr>
        <w:pStyle w:val="BodyText"/>
        <w:bidi w:val="0"/>
        <w:jc w:val="left"/>
        <w:rPr/>
      </w:pPr>
      <w:r>
        <w:rPr/>
        <w:t>Or in SQL, which puts both answers in one row:</w:t>
      </w:r>
    </w:p>
    <w:p>
      <w:pPr>
        <w:pStyle w:val="PreformattedText"/>
        <w:bidi w:val="0"/>
        <w:spacing w:before="0" w:after="283"/>
        <w:jc w:val="left"/>
        <w:rPr/>
      </w:pPr>
      <w:r>
        <w:rPr>
          <w:rStyle w:val="SourceText"/>
        </w:rPr>
        <w:t>df.createOrReplaceTempView("raw_txn")</w:t>
      </w:r>
    </w:p>
    <w:p>
      <w:pPr>
        <w:pStyle w:val="PreformattedText"/>
        <w:bidi w:val="0"/>
        <w:jc w:val="left"/>
        <w:rPr/>
      </w:pPr>
      <w:r>
        <w:rPr>
          <w:rStyle w:val="SourceText"/>
        </w:rPr>
        <w:t>SELECT</w:t>
      </w:r>
    </w:p>
    <w:p>
      <w:pPr>
        <w:pStyle w:val="PreformattedText"/>
        <w:bidi w:val="0"/>
        <w:jc w:val="left"/>
        <w:rPr/>
      </w:pPr>
      <w:r>
        <w:rPr>
          <w:rStyle w:val="SourceText"/>
        </w:rPr>
        <w:t xml:space="preserve">  </w:t>
      </w:r>
      <w:r>
        <w:rPr>
          <w:rStyle w:val="SourceText"/>
        </w:rPr>
        <w:t>max(amount)                 AS text_max,</w:t>
      </w:r>
    </w:p>
    <w:p>
      <w:pPr>
        <w:pStyle w:val="PreformattedText"/>
        <w:bidi w:val="0"/>
        <w:jc w:val="left"/>
        <w:rPr/>
      </w:pPr>
      <w:r>
        <w:rPr>
          <w:rStyle w:val="SourceText"/>
        </w:rPr>
        <w:t xml:space="preserve">  </w:t>
      </w:r>
      <w:r>
        <w:rPr>
          <w:rStyle w:val="SourceText"/>
        </w:rPr>
        <w:t>max(cast(amount AS double)) AS real_max</w:t>
      </w:r>
    </w:p>
    <w:p>
      <w:pPr>
        <w:pStyle w:val="PreformattedText"/>
        <w:bidi w:val="0"/>
        <w:spacing w:before="0" w:after="283"/>
        <w:jc w:val="left"/>
        <w:rPr/>
      </w:pPr>
      <w:r>
        <w:rPr>
          <w:rStyle w:val="SourceText"/>
        </w:rPr>
        <w:t>FROM raw_txn</w:t>
      </w:r>
    </w:p>
    <w:p>
      <w:pPr>
        <w:pStyle w:val="Heading3"/>
        <w:bidi w:val="0"/>
        <w:jc w:val="left"/>
        <w:rPr/>
      </w:pPr>
      <w:r>
        <w:rPr/>
        <w:t>Aside: why a temp view was needed at all</w:t>
      </w:r>
    </w:p>
    <w:tbl>
      <w:tblPr>
        <w:tblW w:w="8982" w:type="dxa"/>
        <w:jc w:val="left"/>
        <w:tblInd w:w="28" w:type="dxa"/>
        <w:tblLayout w:type="fixed"/>
        <w:tblCellMar>
          <w:top w:w="28" w:type="dxa"/>
          <w:left w:w="28" w:type="dxa"/>
          <w:bottom w:w="28" w:type="dxa"/>
          <w:right w:w="28" w:type="dxa"/>
        </w:tblCellMar>
      </w:tblPr>
      <w:tblGrid>
        <w:gridCol w:w="2074"/>
        <w:gridCol w:w="6908"/>
      </w:tblGrid>
      <w:tr>
        <w:trPr/>
        <w:tc>
          <w:tcPr>
            <w:tcW w:w="2074" w:type="dxa"/>
            <w:tcBorders/>
            <w:vAlign w:val="center"/>
          </w:tcPr>
          <w:p>
            <w:pPr>
              <w:pStyle w:val="TableHeading"/>
              <w:suppressLineNumbers/>
              <w:bidi w:val="0"/>
              <w:spacing w:before="0" w:after="283"/>
              <w:jc w:val="left"/>
              <w:rPr/>
            </w:pPr>
            <w:r>
              <w:rPr/>
              <w:t>Question</w:t>
            </w:r>
          </w:p>
        </w:tc>
        <w:tc>
          <w:tcPr>
            <w:tcW w:w="6908" w:type="dxa"/>
            <w:tcBorders/>
            <w:vAlign w:val="center"/>
          </w:tcPr>
          <w:p>
            <w:pPr>
              <w:pStyle w:val="TableHeading"/>
              <w:suppressLineNumbers/>
              <w:bidi w:val="0"/>
              <w:spacing w:before="0" w:after="283"/>
              <w:jc w:val="left"/>
              <w:rPr/>
            </w:pPr>
            <w:r>
              <w:rPr/>
              <w:t>Answer</w:t>
            </w:r>
          </w:p>
        </w:tc>
      </w:tr>
      <w:tr>
        <w:trPr/>
        <w:tc>
          <w:tcPr>
            <w:tcW w:w="2074" w:type="dxa"/>
            <w:tcBorders/>
            <w:vAlign w:val="center"/>
          </w:tcPr>
          <w:p>
            <w:pPr>
              <w:pStyle w:val="TableContents"/>
              <w:bidi w:val="0"/>
              <w:spacing w:before="0" w:after="283"/>
              <w:jc w:val="left"/>
              <w:rPr/>
            </w:pPr>
            <w:r>
              <w:rPr/>
              <w:t xml:space="preserve">Why can't SQL see </w:t>
            </w:r>
            <w:r>
              <w:rPr>
                <w:rStyle w:val="SourceText"/>
              </w:rPr>
              <w:t>df</w:t>
            </w:r>
            <w:r>
              <w:rPr/>
              <w:t>?</w:t>
            </w:r>
          </w:p>
        </w:tc>
        <w:tc>
          <w:tcPr>
            <w:tcW w:w="6908" w:type="dxa"/>
            <w:tcBorders/>
            <w:vAlign w:val="center"/>
          </w:tcPr>
          <w:p>
            <w:pPr>
              <w:pStyle w:val="TableContents"/>
              <w:bidi w:val="0"/>
              <w:spacing w:before="0" w:after="283"/>
              <w:jc w:val="left"/>
              <w:rPr/>
            </w:pPr>
            <w:r>
              <w:rPr>
                <w:rStyle w:val="SourceText"/>
              </w:rPr>
              <w:t>df</w:t>
            </w:r>
            <w:r>
              <w:rPr/>
              <w:t xml:space="preserve"> is a </w:t>
            </w:r>
            <w:r>
              <w:rPr>
                <w:rStyle w:val="Emphasis"/>
              </w:rPr>
              <w:t>Python variable</w:t>
            </w:r>
            <w:r>
              <w:rPr/>
              <w:t xml:space="preserve"> in the notebook process. A </w:t>
            </w:r>
            <w:r>
              <w:rPr>
                <w:rStyle w:val="SourceText"/>
              </w:rPr>
              <w:t>%sql</w:t>
            </w:r>
            <w:r>
              <w:rPr/>
              <w:t xml:space="preserve"> cell goes to Spark's SQL engine, which resolves names against a </w:t>
            </w:r>
            <w:r>
              <w:rPr>
                <w:rStyle w:val="Strong"/>
              </w:rPr>
              <w:t>catalog</w:t>
            </w:r>
            <w:r>
              <w:rPr/>
              <w:t xml:space="preserve"> — it has never heard of a Python variable. </w:t>
            </w:r>
            <w:r>
              <w:rPr>
                <w:rStyle w:val="SourceText"/>
              </w:rPr>
              <w:t>createOrReplaceTempView</w:t>
            </w:r>
            <w:r>
              <w:rPr/>
              <w:t xml:space="preserve"> registers a catalog name pointing at the dataframe: the bridge between the two namespaces.</w:t>
            </w:r>
          </w:p>
        </w:tc>
      </w:tr>
      <w:tr>
        <w:trPr/>
        <w:tc>
          <w:tcPr>
            <w:tcW w:w="2074" w:type="dxa"/>
            <w:tcBorders/>
            <w:vAlign w:val="center"/>
          </w:tcPr>
          <w:p>
            <w:pPr>
              <w:pStyle w:val="TableContents"/>
              <w:bidi w:val="0"/>
              <w:spacing w:before="0" w:after="283"/>
              <w:jc w:val="left"/>
              <w:rPr/>
            </w:pPr>
            <w:r>
              <w:rPr/>
              <w:t>Does it copy data?</w:t>
            </w:r>
          </w:p>
        </w:tc>
        <w:tc>
          <w:tcPr>
            <w:tcW w:w="6908" w:type="dxa"/>
            <w:tcBorders/>
            <w:vAlign w:val="center"/>
          </w:tcPr>
          <w:p>
            <w:pPr>
              <w:pStyle w:val="TableContents"/>
              <w:bidi w:val="0"/>
              <w:spacing w:before="0" w:after="283"/>
              <w:jc w:val="left"/>
              <w:rPr/>
            </w:pPr>
            <w:r>
              <w:rPr/>
              <w:t xml:space="preserve">No. It attaches a name to the dataframe's </w:t>
            </w:r>
            <w:r>
              <w:rPr>
                <w:rStyle w:val="Emphasis"/>
              </w:rPr>
              <w:t>logical plan</w:t>
            </w:r>
            <w:r>
              <w:rPr/>
              <w:t xml:space="preserve"> — the recipe. Querying the view re-runs the recipe (re-reading the CSV). Free to create, does no work until queried.</w:t>
            </w:r>
          </w:p>
        </w:tc>
      </w:tr>
      <w:tr>
        <w:trPr/>
        <w:tc>
          <w:tcPr>
            <w:tcW w:w="2074" w:type="dxa"/>
            <w:tcBorders/>
            <w:vAlign w:val="center"/>
          </w:tcPr>
          <w:p>
            <w:pPr>
              <w:pStyle w:val="TableContents"/>
              <w:bidi w:val="0"/>
              <w:spacing w:before="0" w:after="283"/>
              <w:jc w:val="left"/>
              <w:rPr/>
            </w:pPr>
            <w:r>
              <w:rPr/>
              <w:t>Does it belong in the data model?</w:t>
            </w:r>
          </w:p>
        </w:tc>
        <w:tc>
          <w:tcPr>
            <w:tcW w:w="6908" w:type="dxa"/>
            <w:tcBorders/>
            <w:vAlign w:val="center"/>
          </w:tcPr>
          <w:p>
            <w:pPr>
              <w:pStyle w:val="TableContents"/>
              <w:bidi w:val="0"/>
              <w:spacing w:before="0" w:after="283"/>
              <w:jc w:val="left"/>
              <w:rPr/>
            </w:pPr>
            <w:r>
              <w:rPr/>
              <w:t>No. Session-scoped, vanishes when the notebook detaches, invisible in Unity Catalog. A scratch alias, not an object. Nothing about it belongs in bronze.</w:t>
            </w:r>
          </w:p>
        </w:tc>
      </w:tr>
      <w:tr>
        <w:trPr/>
        <w:tc>
          <w:tcPr>
            <w:tcW w:w="2074" w:type="dxa"/>
            <w:tcBorders/>
            <w:vAlign w:val="center"/>
          </w:tcPr>
          <w:p>
            <w:pPr>
              <w:pStyle w:val="TableContents"/>
              <w:bidi w:val="0"/>
              <w:spacing w:before="0" w:after="283"/>
              <w:jc w:val="left"/>
              <w:rPr/>
            </w:pPr>
            <w:r>
              <w:rPr/>
              <w:t xml:space="preserve">Why not query the file directly with </w:t>
            </w:r>
            <w:r>
              <w:rPr>
                <w:rStyle w:val="SourceText"/>
              </w:rPr>
              <w:t>read_files()</w:t>
            </w:r>
            <w:r>
              <w:rPr/>
              <w:t>?</w:t>
            </w:r>
          </w:p>
        </w:tc>
        <w:tc>
          <w:tcPr>
            <w:tcW w:w="6908" w:type="dxa"/>
            <w:tcBorders/>
            <w:vAlign w:val="center"/>
          </w:tcPr>
          <w:p>
            <w:pPr>
              <w:pStyle w:val="TableContents"/>
              <w:bidi w:val="0"/>
              <w:spacing w:before="0" w:after="283"/>
              <w:ind w:hanging="0" w:left="0" w:right="0"/>
              <w:jc w:val="left"/>
              <w:rPr/>
            </w:pPr>
            <w:r>
              <w:rPr>
                <w:b/>
              </w:rPr>
              <w:t>It would have hidden the bug.</w:t>
            </w:r>
            <w:r>
              <w:rPr/>
              <w:t xml:space="preserve"> </w:t>
            </w:r>
            <w:r>
              <w:rPr>
                <w:rStyle w:val="SourceText"/>
              </w:rPr>
              <w:t>read_files</w:t>
            </w:r>
            <w:r>
              <w:rPr/>
              <w:t xml:space="preserve"> infers the schema by default, so </w:t>
            </w:r>
            <w:r>
              <w:rPr>
                <w:rStyle w:val="SourceText"/>
              </w:rPr>
              <w:t>amount</w:t>
            </w:r>
            <w:r>
              <w:rPr/>
              <w:t xml:space="preserve"> would arrive as a double and the experiment would show nothing. The temp view was correct here precisely </w:t>
            </w:r>
            <w:r>
              <w:rPr>
                <w:rStyle w:val="Emphasis"/>
              </w:rPr>
              <w:t>because</w:t>
            </w:r>
            <w:r>
              <w:rPr/>
              <w:t xml:space="preserve"> it preserves the all-strings dataframe exactly as Spark built it.</w:t>
            </w:r>
          </w:p>
        </w:tc>
      </w:tr>
    </w:tbl>
    <w:p>
      <w:pPr>
        <w:pStyle w:val="Heading2"/>
        <w:bidi w:val="0"/>
        <w:jc w:val="left"/>
        <w:rPr/>
      </w:pPr>
      <w:r>
        <w:rPr/>
        <w:t>The trap that makes it worse: inconsistent coercion</w:t>
      </w:r>
    </w:p>
    <w:tbl>
      <w:tblPr>
        <w:tblW w:w="8982" w:type="dxa"/>
        <w:jc w:val="left"/>
        <w:tblInd w:w="28" w:type="dxa"/>
        <w:tblLayout w:type="fixed"/>
        <w:tblCellMar>
          <w:top w:w="28" w:type="dxa"/>
          <w:left w:w="28" w:type="dxa"/>
          <w:bottom w:w="28" w:type="dxa"/>
          <w:right w:w="28" w:type="dxa"/>
        </w:tblCellMar>
      </w:tblPr>
      <w:tblGrid>
        <w:gridCol w:w="2511"/>
        <w:gridCol w:w="4551"/>
        <w:gridCol w:w="1920"/>
      </w:tblGrid>
      <w:tr>
        <w:trPr/>
        <w:tc>
          <w:tcPr>
            <w:tcW w:w="2511" w:type="dxa"/>
            <w:tcBorders/>
            <w:vAlign w:val="center"/>
          </w:tcPr>
          <w:p>
            <w:pPr>
              <w:pStyle w:val="TableHeading"/>
              <w:suppressLineNumbers/>
              <w:bidi w:val="0"/>
              <w:spacing w:before="0" w:after="283"/>
              <w:jc w:val="left"/>
              <w:rPr/>
            </w:pPr>
            <w:r>
              <w:rPr/>
              <w:t>Operation on the string column</w:t>
            </w:r>
          </w:p>
        </w:tc>
        <w:tc>
          <w:tcPr>
            <w:tcW w:w="4551" w:type="dxa"/>
            <w:tcBorders/>
            <w:vAlign w:val="center"/>
          </w:tcPr>
          <w:p>
            <w:pPr>
              <w:pStyle w:val="TableHeading"/>
              <w:suppressLineNumbers/>
              <w:bidi w:val="0"/>
              <w:spacing w:before="0" w:after="283"/>
              <w:jc w:val="left"/>
              <w:rPr/>
            </w:pPr>
            <w:r>
              <w:rPr/>
              <w:t>What Spark does</w:t>
            </w:r>
          </w:p>
        </w:tc>
        <w:tc>
          <w:tcPr>
            <w:tcW w:w="1920" w:type="dxa"/>
            <w:tcBorders/>
            <w:vAlign w:val="center"/>
          </w:tcPr>
          <w:p>
            <w:pPr>
              <w:pStyle w:val="TableHeading"/>
              <w:suppressLineNumbers/>
              <w:bidi w:val="0"/>
              <w:spacing w:before="0" w:after="283"/>
              <w:jc w:val="left"/>
              <w:rPr/>
            </w:pPr>
            <w:r>
              <w:rPr/>
              <w:t>Result</w:t>
            </w:r>
          </w:p>
        </w:tc>
      </w:tr>
      <w:tr>
        <w:trPr/>
        <w:tc>
          <w:tcPr>
            <w:tcW w:w="2511" w:type="dxa"/>
            <w:tcBorders/>
            <w:vAlign w:val="center"/>
          </w:tcPr>
          <w:p>
            <w:pPr>
              <w:pStyle w:val="TableContents"/>
              <w:bidi w:val="0"/>
              <w:spacing w:before="0" w:after="283"/>
              <w:jc w:val="left"/>
              <w:rPr/>
            </w:pPr>
            <w:r>
              <w:rPr>
                <w:rStyle w:val="SourceText"/>
              </w:rPr>
              <w:t>WHERE amount &gt; 200000</w:t>
            </w:r>
          </w:p>
        </w:tc>
        <w:tc>
          <w:tcPr>
            <w:tcW w:w="4551" w:type="dxa"/>
            <w:tcBorders/>
            <w:vAlign w:val="center"/>
          </w:tcPr>
          <w:p>
            <w:pPr>
              <w:pStyle w:val="TableContents"/>
              <w:bidi w:val="0"/>
              <w:spacing w:before="0" w:after="283"/>
              <w:ind w:hanging="0" w:left="0" w:right="0"/>
              <w:jc w:val="left"/>
              <w:rPr/>
            </w:pPr>
            <w:r>
              <w:rPr/>
              <w:t>String column vs numeric literal — Spark quietly casts the column to double</w:t>
            </w:r>
          </w:p>
        </w:tc>
        <w:tc>
          <w:tcPr>
            <w:tcW w:w="1920" w:type="dxa"/>
            <w:tcBorders/>
            <w:vAlign w:val="center"/>
          </w:tcPr>
          <w:p>
            <w:pPr>
              <w:pStyle w:val="TableContents"/>
              <w:bidi w:val="0"/>
              <w:spacing w:before="0" w:after="283"/>
              <w:jc w:val="left"/>
              <w:rPr>
                <w:color w:val="2E7D32"/>
              </w:rPr>
            </w:pPr>
            <w:r>
              <w:rPr>
                <w:color w:val="2E7D32"/>
              </w:rPr>
              <w:t>Correct answer</w:t>
            </w:r>
          </w:p>
        </w:tc>
      </w:tr>
      <w:tr>
        <w:trPr/>
        <w:tc>
          <w:tcPr>
            <w:tcW w:w="2511" w:type="dxa"/>
            <w:tcBorders/>
            <w:vAlign w:val="center"/>
          </w:tcPr>
          <w:p>
            <w:pPr>
              <w:pStyle w:val="TableContents"/>
              <w:bidi w:val="0"/>
              <w:spacing w:before="0" w:after="283"/>
              <w:jc w:val="left"/>
              <w:rPr/>
            </w:pPr>
            <w:r>
              <w:rPr>
                <w:rStyle w:val="SourceText"/>
              </w:rPr>
              <w:t>ORDER BY amount DESC</w:t>
            </w:r>
          </w:p>
        </w:tc>
        <w:tc>
          <w:tcPr>
            <w:tcW w:w="4551" w:type="dxa"/>
            <w:tcBorders/>
            <w:vAlign w:val="center"/>
          </w:tcPr>
          <w:p>
            <w:pPr>
              <w:pStyle w:val="TableContents"/>
              <w:bidi w:val="0"/>
              <w:spacing w:before="0" w:after="283"/>
              <w:jc w:val="left"/>
              <w:rPr/>
            </w:pPr>
            <w:r>
              <w:rPr/>
              <w:t>No numeric literal involved — stays a string comparison</w:t>
            </w:r>
          </w:p>
        </w:tc>
        <w:tc>
          <w:tcPr>
            <w:tcW w:w="1920" w:type="dxa"/>
            <w:tcBorders/>
            <w:vAlign w:val="center"/>
          </w:tcPr>
          <w:p>
            <w:pPr>
              <w:pStyle w:val="TableContents"/>
              <w:bidi w:val="0"/>
              <w:spacing w:before="0" w:after="283"/>
              <w:ind w:hanging="0" w:left="0" w:right="0"/>
              <w:jc w:val="left"/>
              <w:rPr>
                <w:b/>
              </w:rPr>
            </w:pPr>
            <w:r>
              <w:rPr>
                <w:b/>
              </w:rPr>
              <w:t>Wrong answer, silently</w:t>
            </w:r>
          </w:p>
        </w:tc>
      </w:tr>
      <w:tr>
        <w:trPr/>
        <w:tc>
          <w:tcPr>
            <w:tcW w:w="2511" w:type="dxa"/>
            <w:tcBorders/>
            <w:vAlign w:val="center"/>
          </w:tcPr>
          <w:p>
            <w:pPr>
              <w:pStyle w:val="TableContents"/>
              <w:bidi w:val="0"/>
              <w:spacing w:before="0" w:after="283"/>
              <w:jc w:val="left"/>
              <w:rPr/>
            </w:pPr>
            <w:r>
              <w:rPr>
                <w:rStyle w:val="SourceText"/>
              </w:rPr>
              <w:t>max(amount)</w:t>
            </w:r>
          </w:p>
        </w:tc>
        <w:tc>
          <w:tcPr>
            <w:tcW w:w="4551" w:type="dxa"/>
            <w:tcBorders/>
            <w:vAlign w:val="center"/>
          </w:tcPr>
          <w:p>
            <w:pPr>
              <w:pStyle w:val="TableContents"/>
              <w:bidi w:val="0"/>
              <w:spacing w:before="0" w:after="283"/>
              <w:jc w:val="left"/>
              <w:rPr/>
            </w:pPr>
            <w:r>
              <w:rPr/>
              <w:t>Lexicographic maximum</w:t>
            </w:r>
          </w:p>
        </w:tc>
        <w:tc>
          <w:tcPr>
            <w:tcW w:w="1920" w:type="dxa"/>
            <w:tcBorders/>
            <w:vAlign w:val="center"/>
          </w:tcPr>
          <w:p>
            <w:pPr>
              <w:pStyle w:val="TableContents"/>
              <w:bidi w:val="0"/>
              <w:spacing w:before="0" w:after="283"/>
              <w:ind w:hanging="0" w:left="0" w:right="0"/>
              <w:jc w:val="left"/>
              <w:rPr>
                <w:b/>
              </w:rPr>
            </w:pPr>
            <w:r>
              <w:rPr>
                <w:b/>
              </w:rPr>
              <w:t>Wrong answer, silently</w:t>
            </w:r>
          </w:p>
        </w:tc>
      </w:tr>
    </w:tbl>
    <w:p>
      <w:pPr>
        <w:pStyle w:val="BodyText"/>
        <w:bidi w:val="0"/>
        <w:jc w:val="left"/>
        <w:rPr/>
      </w:pPr>
      <w:r>
        <w:rPr/>
        <w:t xml:space="preserve">Some operations coerce, others don't, and </w:t>
      </w:r>
      <w:r>
        <w:rPr>
          <w:rStyle w:val="Strong"/>
        </w:rPr>
        <w:t>the query text gives no clue which</w:t>
      </w:r>
      <w:r>
        <w:rPr/>
        <w:t>. That inconsistency — not any single wrong result — is the real argument for fixing the type once at read time instead of casting defensively at every use site.</w:t>
      </w:r>
    </w:p>
    <w:p>
      <w:pPr>
        <w:pStyle w:val="Heading2"/>
        <w:bidi w:val="0"/>
        <w:jc w:val="left"/>
        <w:rPr/>
      </w:pPr>
      <w:r>
        <w:rPr/>
        <w:t xml:space="preserve">Why </w:t>
      </w:r>
      <w:r>
        <w:rPr>
          <w:rStyle w:val="SourceText"/>
        </w:rPr>
        <w:t>inferSchema</w:t>
      </w:r>
      <w:r>
        <w:rPr/>
        <w:t xml:space="preserve"> is not the fix</w:t>
      </w:r>
    </w:p>
    <w:tbl>
      <w:tblPr>
        <w:tblW w:w="8982" w:type="dxa"/>
        <w:jc w:val="left"/>
        <w:tblInd w:w="28" w:type="dxa"/>
        <w:tblLayout w:type="fixed"/>
        <w:tblCellMar>
          <w:top w:w="28" w:type="dxa"/>
          <w:left w:w="28" w:type="dxa"/>
          <w:bottom w:w="28" w:type="dxa"/>
          <w:right w:w="28" w:type="dxa"/>
        </w:tblCellMar>
      </w:tblPr>
      <w:tblGrid>
        <w:gridCol w:w="2202"/>
        <w:gridCol w:w="6780"/>
      </w:tblGrid>
      <w:tr>
        <w:trPr/>
        <w:tc>
          <w:tcPr>
            <w:tcW w:w="2202" w:type="dxa"/>
            <w:tcBorders/>
            <w:vAlign w:val="center"/>
          </w:tcPr>
          <w:p>
            <w:pPr>
              <w:pStyle w:val="TableHeading"/>
              <w:suppressLineNumbers/>
              <w:bidi w:val="0"/>
              <w:spacing w:before="0" w:after="283"/>
              <w:jc w:val="left"/>
              <w:rPr/>
            </w:pPr>
            <w:r>
              <w:rPr/>
              <w:t>Problem</w:t>
            </w:r>
          </w:p>
        </w:tc>
        <w:tc>
          <w:tcPr>
            <w:tcW w:w="6780" w:type="dxa"/>
            <w:tcBorders/>
            <w:vAlign w:val="center"/>
          </w:tcPr>
          <w:p>
            <w:pPr>
              <w:pStyle w:val="TableHeading"/>
              <w:suppressLineNumbers/>
              <w:bidi w:val="0"/>
              <w:spacing w:before="0" w:after="283"/>
              <w:jc w:val="left"/>
              <w:rPr/>
            </w:pPr>
            <w:r>
              <w:rPr/>
              <w:t>Consequence</w:t>
            </w:r>
          </w:p>
        </w:tc>
      </w:tr>
      <w:tr>
        <w:trPr/>
        <w:tc>
          <w:tcPr>
            <w:tcW w:w="2202" w:type="dxa"/>
            <w:tcBorders/>
            <w:vAlign w:val="center"/>
          </w:tcPr>
          <w:p>
            <w:pPr>
              <w:pStyle w:val="TableContents"/>
              <w:bidi w:val="0"/>
              <w:spacing w:before="0" w:after="283"/>
              <w:jc w:val="left"/>
              <w:rPr/>
            </w:pPr>
            <w:r>
              <w:rPr/>
              <w:t>Costs an extra full pass over the data</w:t>
            </w:r>
          </w:p>
        </w:tc>
        <w:tc>
          <w:tcPr>
            <w:tcW w:w="6780" w:type="dxa"/>
            <w:tcBorders/>
            <w:vAlign w:val="center"/>
          </w:tcPr>
          <w:p>
            <w:pPr>
              <w:pStyle w:val="TableContents"/>
              <w:bidi w:val="0"/>
              <w:spacing w:before="0" w:after="283"/>
              <w:jc w:val="left"/>
              <w:rPr/>
            </w:pPr>
            <w:r>
              <w:rPr/>
              <w:t>Spark reads the whole file once to guess, then again to load. Tolerable at 42 MB; not at 42 GB.</w:t>
            </w:r>
          </w:p>
        </w:tc>
      </w:tr>
      <w:tr>
        <w:trPr/>
        <w:tc>
          <w:tcPr>
            <w:tcW w:w="2202" w:type="dxa"/>
            <w:tcBorders/>
            <w:vAlign w:val="center"/>
          </w:tcPr>
          <w:p>
            <w:pPr>
              <w:pStyle w:val="TableContents"/>
              <w:bidi w:val="0"/>
              <w:spacing w:before="0" w:after="283"/>
              <w:jc w:val="left"/>
              <w:rPr/>
            </w:pPr>
            <w:r>
              <w:rPr/>
              <w:t>The guess depends on the rows it happened to see</w:t>
            </w:r>
          </w:p>
        </w:tc>
        <w:tc>
          <w:tcPr>
            <w:tcW w:w="6780" w:type="dxa"/>
            <w:tcBorders/>
            <w:vAlign w:val="center"/>
          </w:tcPr>
          <w:p>
            <w:pPr>
              <w:pStyle w:val="TableContents"/>
              <w:bidi w:val="0"/>
              <w:spacing w:before="0" w:after="283"/>
              <w:ind w:hanging="0" w:left="0" w:right="0"/>
              <w:jc w:val="left"/>
              <w:rPr/>
            </w:pPr>
            <w:r>
              <w:rPr>
                <w:b/>
              </w:rPr>
              <w:t>Schema drift between batches.</w:t>
            </w:r>
            <w:r>
              <w:rPr/>
              <w:t xml:space="preserve"> Day 1 may infer </w:t>
            </w:r>
            <w:r>
              <w:rPr>
                <w:rStyle w:val="SourceText"/>
              </w:rPr>
              <w:t>amount</w:t>
            </w:r>
            <w:r>
              <w:rPr/>
              <w:t xml:space="preserve"> as double; a later day where every value is whole may infer long. Bronze's schema then changes between loads and downstream breaks for reasons unrelated to any code change.</w:t>
            </w:r>
          </w:p>
        </w:tc>
      </w:tr>
    </w:tbl>
    <w:p>
      <w:pPr>
        <w:pStyle w:val="BodyText"/>
        <w:bidi w:val="0"/>
        <w:spacing w:before="300" w:after="300"/>
        <w:ind w:hanging="0" w:left="300" w:right="300"/>
        <w:jc w:val="left"/>
        <w:rPr/>
      </w:pPr>
      <w:r>
        <w:rPr>
          <w:rStyle w:val="Strong"/>
          <w:bdr w:val="single" w:sz="2" w:space="12" w:color="000000"/>
        </w:rPr>
        <w:t>A schema you declare is a contract you enforce. A schema Spark guesses is a coincidence.</w:t>
      </w:r>
      <w:r>
        <w:rPr>
          <w:bdr w:val="single" w:sz="2" w:space="12" w:color="000000"/>
        </w:rPr>
        <w:t xml:space="preserve"> This is the reasoning behind the bronze contract rule — now confirmed by observation rather than assumed.</w:t>
      </w:r>
    </w:p>
    <w:p>
      <w:pPr>
        <w:pStyle w:val="Heading2"/>
        <w:bidi w:val="0"/>
        <w:ind w:hanging="0"/>
        <w:jc w:val="left"/>
        <w:rPr/>
      </w:pPr>
      <w:r>
        <w:rPr/>
        <w:t>How to avoid this in future</w:t>
      </w:r>
    </w:p>
    <w:tbl>
      <w:tblPr>
        <w:tblW w:w="8982" w:type="dxa"/>
        <w:jc w:val="left"/>
        <w:tblInd w:w="28" w:type="dxa"/>
        <w:tblLayout w:type="fixed"/>
        <w:tblCellMar>
          <w:top w:w="28" w:type="dxa"/>
          <w:left w:w="28" w:type="dxa"/>
          <w:bottom w:w="28" w:type="dxa"/>
          <w:right w:w="28" w:type="dxa"/>
        </w:tblCellMar>
      </w:tblPr>
      <w:tblGrid>
        <w:gridCol w:w="322"/>
        <w:gridCol w:w="5364"/>
        <w:gridCol w:w="3296"/>
      </w:tblGrid>
      <w:tr>
        <w:trPr/>
        <w:tc>
          <w:tcPr>
            <w:tcW w:w="322" w:type="dxa"/>
            <w:tcBorders/>
            <w:vAlign w:val="center"/>
          </w:tcPr>
          <w:p>
            <w:pPr>
              <w:pStyle w:val="TableHeading"/>
              <w:suppressLineNumbers/>
              <w:bidi w:val="0"/>
              <w:spacing w:before="0" w:after="283"/>
              <w:jc w:val="left"/>
              <w:rPr/>
            </w:pPr>
            <w:r>
              <w:rPr/>
              <w:t>#</w:t>
            </w:r>
          </w:p>
        </w:tc>
        <w:tc>
          <w:tcPr>
            <w:tcW w:w="5364" w:type="dxa"/>
            <w:tcBorders/>
            <w:vAlign w:val="center"/>
          </w:tcPr>
          <w:p>
            <w:pPr>
              <w:pStyle w:val="TableHeading"/>
              <w:suppressLineNumbers/>
              <w:bidi w:val="0"/>
              <w:spacing w:before="0" w:after="283"/>
              <w:jc w:val="left"/>
              <w:rPr/>
            </w:pPr>
            <w:r>
              <w:rPr/>
              <w:t>Practice</w:t>
            </w:r>
          </w:p>
        </w:tc>
        <w:tc>
          <w:tcPr>
            <w:tcW w:w="3296" w:type="dxa"/>
            <w:tcBorders/>
            <w:vAlign w:val="center"/>
          </w:tcPr>
          <w:p>
            <w:pPr>
              <w:pStyle w:val="TableHeading"/>
              <w:suppressLineNumbers/>
              <w:bidi w:val="0"/>
              <w:spacing w:before="0" w:after="283"/>
              <w:jc w:val="left"/>
              <w:rPr/>
            </w:pPr>
            <w:r>
              <w:rPr/>
              <w:t>Why</w:t>
            </w:r>
          </w:p>
        </w:tc>
      </w:tr>
      <w:tr>
        <w:trPr/>
        <w:tc>
          <w:tcPr>
            <w:tcW w:w="322" w:type="dxa"/>
            <w:tcBorders/>
            <w:vAlign w:val="center"/>
          </w:tcPr>
          <w:p>
            <w:pPr>
              <w:pStyle w:val="TableContents"/>
              <w:bidi w:val="0"/>
              <w:spacing w:before="0" w:after="283"/>
              <w:jc w:val="left"/>
              <w:rPr/>
            </w:pPr>
            <w:r>
              <w:rPr/>
              <w:t>1</w:t>
            </w:r>
          </w:p>
        </w:tc>
        <w:tc>
          <w:tcPr>
            <w:tcW w:w="5364" w:type="dxa"/>
            <w:tcBorders/>
            <w:vAlign w:val="center"/>
          </w:tcPr>
          <w:p>
            <w:pPr>
              <w:pStyle w:val="TableContents"/>
              <w:bidi w:val="0"/>
              <w:spacing w:before="0" w:after="283"/>
              <w:jc w:val="left"/>
              <w:rPr/>
            </w:pPr>
            <w:r>
              <w:rPr/>
              <w:t xml:space="preserve">Declare an explicit </w:t>
            </w:r>
            <w:r>
              <w:rPr>
                <w:rStyle w:val="SourceText"/>
              </w:rPr>
              <w:t>StructType</w:t>
            </w:r>
            <w:r>
              <w:rPr/>
              <w:t xml:space="preserve"> for every schemaless source (CSV, JSON). Never the default, never </w:t>
            </w:r>
            <w:r>
              <w:rPr>
                <w:rStyle w:val="SourceText"/>
              </w:rPr>
              <w:t>inferSchema</w:t>
            </w:r>
            <w:r>
              <w:rPr/>
              <w:t>.</w:t>
            </w:r>
          </w:p>
        </w:tc>
        <w:tc>
          <w:tcPr>
            <w:tcW w:w="3296" w:type="dxa"/>
            <w:tcBorders/>
            <w:vAlign w:val="center"/>
          </w:tcPr>
          <w:p>
            <w:pPr>
              <w:pStyle w:val="TableContents"/>
              <w:bidi w:val="0"/>
              <w:spacing w:before="0" w:after="283"/>
              <w:jc w:val="left"/>
              <w:rPr/>
            </w:pPr>
            <w:r>
              <w:rPr/>
              <w:t>Types become a decision on the record, not a by-product of whichever rows arrived.</w:t>
            </w:r>
          </w:p>
        </w:tc>
      </w:tr>
      <w:tr>
        <w:trPr/>
        <w:tc>
          <w:tcPr>
            <w:tcW w:w="322" w:type="dxa"/>
            <w:tcBorders/>
            <w:vAlign w:val="center"/>
          </w:tcPr>
          <w:p>
            <w:pPr>
              <w:pStyle w:val="TableContents"/>
              <w:bidi w:val="0"/>
              <w:spacing w:before="0" w:after="283"/>
              <w:jc w:val="left"/>
              <w:rPr/>
            </w:pPr>
            <w:r>
              <w:rPr/>
              <w:t>2</w:t>
            </w:r>
          </w:p>
        </w:tc>
        <w:tc>
          <w:tcPr>
            <w:tcW w:w="5364" w:type="dxa"/>
            <w:tcBorders/>
            <w:vAlign w:val="center"/>
          </w:tcPr>
          <w:p>
            <w:pPr>
              <w:pStyle w:val="TableContents"/>
              <w:bidi w:val="0"/>
              <w:spacing w:before="0" w:after="283"/>
              <w:jc w:val="left"/>
              <w:rPr/>
            </w:pPr>
            <w:r>
              <w:rPr/>
              <w:t xml:space="preserve">Define each schema </w:t>
            </w:r>
            <w:r>
              <w:rPr>
                <w:rStyle w:val="Strong"/>
              </w:rPr>
              <w:t>once</w:t>
            </w:r>
            <w:r>
              <w:rPr/>
              <w:t xml:space="preserve"> in </w:t>
            </w:r>
            <w:r>
              <w:rPr>
                <w:rStyle w:val="SourceText"/>
              </w:rPr>
              <w:t>src/</w:t>
            </w:r>
            <w:r>
              <w:rPr/>
              <w:t xml:space="preserve"> and import it into notebooks and tests alike.</w:t>
            </w:r>
          </w:p>
        </w:tc>
        <w:tc>
          <w:tcPr>
            <w:tcW w:w="3296" w:type="dxa"/>
            <w:tcBorders/>
            <w:vAlign w:val="center"/>
          </w:tcPr>
          <w:p>
            <w:pPr>
              <w:pStyle w:val="TableContents"/>
              <w:bidi w:val="0"/>
              <w:spacing w:before="0" w:after="283"/>
              <w:jc w:val="left"/>
              <w:rPr/>
            </w:pPr>
            <w:r>
              <w:rPr/>
              <w:t>One definition can be asserted against; a schema copy-pasted into three notebooks silently diverges.</w:t>
            </w:r>
          </w:p>
        </w:tc>
      </w:tr>
      <w:tr>
        <w:trPr/>
        <w:tc>
          <w:tcPr>
            <w:tcW w:w="322" w:type="dxa"/>
            <w:tcBorders/>
            <w:vAlign w:val="center"/>
          </w:tcPr>
          <w:p>
            <w:pPr>
              <w:pStyle w:val="TableContents"/>
              <w:bidi w:val="0"/>
              <w:spacing w:before="0" w:after="283"/>
              <w:jc w:val="left"/>
              <w:rPr/>
            </w:pPr>
            <w:r>
              <w:rPr/>
              <w:t>3</w:t>
            </w:r>
          </w:p>
        </w:tc>
        <w:tc>
          <w:tcPr>
            <w:tcW w:w="5364" w:type="dxa"/>
            <w:tcBorders/>
            <w:vAlign w:val="center"/>
          </w:tcPr>
          <w:p>
            <w:pPr>
              <w:pStyle w:val="TableContents"/>
              <w:bidi w:val="0"/>
              <w:spacing w:before="0" w:after="283"/>
              <w:ind w:hanging="0" w:left="0" w:right="0"/>
              <w:jc w:val="left"/>
              <w:rPr/>
            </w:pPr>
            <w:r>
              <w:rPr>
                <w:b/>
              </w:rPr>
              <w:t>Assert the schema in code, don't eyeball it.</w:t>
            </w:r>
            <w:r>
              <w:rPr/>
              <w:t xml:space="preserve"> A pytest check comparing the read schema to the declared contract turns "the source changed its columns" into a red CI run instead of a silent wrong number weeks later.</w:t>
            </w:r>
          </w:p>
        </w:tc>
        <w:tc>
          <w:tcPr>
            <w:tcW w:w="3296" w:type="dxa"/>
            <w:tcBorders/>
            <w:vAlign w:val="center"/>
          </w:tcPr>
          <w:p>
            <w:pPr>
              <w:pStyle w:val="TableContents"/>
              <w:bidi w:val="0"/>
              <w:spacing w:before="0" w:after="283"/>
              <w:jc w:val="left"/>
              <w:rPr/>
            </w:pPr>
            <w:r>
              <w:rPr/>
              <w:t>This is the durable fix. Everything else depends on someone remembering to look.</w:t>
            </w:r>
          </w:p>
        </w:tc>
      </w:tr>
      <w:tr>
        <w:trPr/>
        <w:tc>
          <w:tcPr>
            <w:tcW w:w="322" w:type="dxa"/>
            <w:tcBorders/>
            <w:vAlign w:val="center"/>
          </w:tcPr>
          <w:p>
            <w:pPr>
              <w:pStyle w:val="TableContents"/>
              <w:bidi w:val="0"/>
              <w:spacing w:before="0" w:after="283"/>
              <w:jc w:val="left"/>
              <w:rPr/>
            </w:pPr>
            <w:r>
              <w:rPr/>
              <w:t>4</w:t>
            </w:r>
          </w:p>
        </w:tc>
        <w:tc>
          <w:tcPr>
            <w:tcW w:w="5364" w:type="dxa"/>
            <w:tcBorders/>
            <w:vAlign w:val="center"/>
          </w:tcPr>
          <w:p>
            <w:pPr>
              <w:pStyle w:val="TableContents"/>
              <w:bidi w:val="0"/>
              <w:spacing w:before="0" w:after="283"/>
              <w:jc w:val="left"/>
              <w:rPr/>
            </w:pPr>
            <w:r>
              <w:rPr/>
              <w:t xml:space="preserve">Make </w:t>
            </w:r>
            <w:r>
              <w:rPr>
                <w:rStyle w:val="SourceText"/>
              </w:rPr>
              <w:t>printSchema()</w:t>
            </w:r>
            <w:r>
              <w:rPr/>
              <w:t xml:space="preserve"> the first thing run after </w:t>
            </w:r>
            <w:r>
              <w:rPr>
                <w:rStyle w:val="Emphasis"/>
              </w:rPr>
              <w:t>any</w:t>
            </w:r>
            <w:r>
              <w:rPr/>
              <w:t xml:space="preserve"> new read — treat it as part of ingestion, not curiosity.</w:t>
            </w:r>
          </w:p>
        </w:tc>
        <w:tc>
          <w:tcPr>
            <w:tcW w:w="3296" w:type="dxa"/>
            <w:tcBorders/>
            <w:vAlign w:val="center"/>
          </w:tcPr>
          <w:p>
            <w:pPr>
              <w:pStyle w:val="TableContents"/>
              <w:bidi w:val="0"/>
              <w:spacing w:before="0" w:after="283"/>
              <w:jc w:val="left"/>
              <w:rPr/>
            </w:pPr>
            <w:r>
              <w:rPr/>
              <w:t>Costs seconds; catches the entire class of problem at the only moment it is cheap to fix.</w:t>
            </w:r>
          </w:p>
        </w:tc>
      </w:tr>
      <w:tr>
        <w:trPr/>
        <w:tc>
          <w:tcPr>
            <w:tcW w:w="322" w:type="dxa"/>
            <w:tcBorders/>
            <w:vAlign w:val="center"/>
          </w:tcPr>
          <w:p>
            <w:pPr>
              <w:pStyle w:val="TableContents"/>
              <w:bidi w:val="0"/>
              <w:spacing w:before="0" w:after="283"/>
              <w:jc w:val="left"/>
              <w:rPr/>
            </w:pPr>
            <w:r>
              <w:rPr/>
              <w:t>5</w:t>
            </w:r>
          </w:p>
        </w:tc>
        <w:tc>
          <w:tcPr>
            <w:tcW w:w="5364" w:type="dxa"/>
            <w:tcBorders/>
            <w:vAlign w:val="center"/>
          </w:tcPr>
          <w:p>
            <w:pPr>
              <w:pStyle w:val="TableContents"/>
              <w:bidi w:val="0"/>
              <w:spacing w:before="0" w:after="283"/>
              <w:jc w:val="left"/>
              <w:rPr/>
            </w:pPr>
            <w:r>
              <w:rPr/>
              <w:t xml:space="preserve">For any column intended as numeric, sanity-check once with </w:t>
            </w:r>
            <w:r>
              <w:rPr>
                <w:rStyle w:val="SourceText"/>
              </w:rPr>
              <w:t>max(col)</w:t>
            </w:r>
            <w:r>
              <w:rPr/>
              <w:t xml:space="preserve"> vs </w:t>
            </w:r>
            <w:r>
              <w:rPr>
                <w:rStyle w:val="SourceText"/>
              </w:rPr>
              <w:t>max(cast(col AS double))</w:t>
            </w:r>
            <w:r>
              <w:rPr/>
              <w:t>.</w:t>
            </w:r>
          </w:p>
        </w:tc>
        <w:tc>
          <w:tcPr>
            <w:tcW w:w="3296" w:type="dxa"/>
            <w:tcBorders/>
            <w:vAlign w:val="center"/>
          </w:tcPr>
          <w:p>
            <w:pPr>
              <w:pStyle w:val="TableContents"/>
              <w:bidi w:val="0"/>
              <w:spacing w:before="0" w:after="283"/>
              <w:jc w:val="left"/>
              <w:rPr/>
            </w:pPr>
            <w:r>
              <w:rPr/>
              <w:t>A two-second query that distinguishes "typed correctly" from "looks fine, sorts wrong".</w:t>
            </w:r>
          </w:p>
        </w:tc>
      </w:tr>
      <w:tr>
        <w:trPr/>
        <w:tc>
          <w:tcPr>
            <w:tcW w:w="322" w:type="dxa"/>
            <w:tcBorders/>
            <w:vAlign w:val="center"/>
          </w:tcPr>
          <w:p>
            <w:pPr>
              <w:pStyle w:val="TableContents"/>
              <w:bidi w:val="0"/>
              <w:spacing w:before="0" w:after="283"/>
              <w:jc w:val="left"/>
              <w:rPr/>
            </w:pPr>
            <w:r>
              <w:rPr/>
              <w:t>6</w:t>
            </w:r>
          </w:p>
        </w:tc>
        <w:tc>
          <w:tcPr>
            <w:tcW w:w="5364" w:type="dxa"/>
            <w:tcBorders/>
            <w:vAlign w:val="center"/>
          </w:tcPr>
          <w:p>
            <w:pPr>
              <w:pStyle w:val="TableContents"/>
              <w:bidi w:val="0"/>
              <w:spacing w:before="0" w:after="283"/>
              <w:jc w:val="left"/>
              <w:rPr/>
            </w:pPr>
            <w:r>
              <w:rPr/>
              <w:t>Never read "the query returned rows" as "the query returned the right rows".</w:t>
            </w:r>
          </w:p>
        </w:tc>
        <w:tc>
          <w:tcPr>
            <w:tcW w:w="3296" w:type="dxa"/>
            <w:tcBorders/>
            <w:vAlign w:val="center"/>
          </w:tcPr>
          <w:p>
            <w:pPr>
              <w:pStyle w:val="TableContents"/>
              <w:bidi w:val="0"/>
              <w:spacing w:before="0" w:after="283"/>
              <w:jc w:val="left"/>
              <w:rPr/>
            </w:pPr>
            <w:r>
              <w:rPr/>
              <w:t>Type bugs in SQL surface as plausible output, never as errors.</w:t>
            </w:r>
          </w:p>
        </w:tc>
      </w:tr>
      <w:tr>
        <w:trPr/>
        <w:tc>
          <w:tcPr>
            <w:tcW w:w="322" w:type="dxa"/>
            <w:tcBorders/>
            <w:vAlign w:val="center"/>
          </w:tcPr>
          <w:p>
            <w:pPr>
              <w:pStyle w:val="TableContents"/>
              <w:bidi w:val="0"/>
              <w:spacing w:before="0" w:after="283"/>
              <w:jc w:val="left"/>
              <w:rPr/>
            </w:pPr>
            <w:r>
              <w:rPr/>
              <w:t>7</w:t>
            </w:r>
          </w:p>
        </w:tc>
        <w:tc>
          <w:tcPr>
            <w:tcW w:w="5364" w:type="dxa"/>
            <w:tcBorders/>
            <w:vAlign w:val="center"/>
          </w:tcPr>
          <w:p>
            <w:pPr>
              <w:pStyle w:val="TableContents"/>
              <w:bidi w:val="0"/>
              <w:spacing w:before="0" w:after="283"/>
              <w:jc w:val="left"/>
              <w:rPr/>
            </w:pPr>
            <w:r>
              <w:rPr/>
              <w:t xml:space="preserve">If using </w:t>
            </w:r>
            <w:r>
              <w:rPr>
                <w:rStyle w:val="SourceText"/>
              </w:rPr>
              <w:t>read_files()</w:t>
            </w:r>
            <w:r>
              <w:rPr/>
              <w:t xml:space="preserve"> or </w:t>
            </w:r>
            <w:r>
              <w:rPr>
                <w:rStyle w:val="SourceText"/>
              </w:rPr>
              <w:t>COPY INTO</w:t>
            </w:r>
            <w:r>
              <w:rPr/>
              <w:t xml:space="preserve"> later, pass explicit schema hints rather than accepting inference.</w:t>
            </w:r>
          </w:p>
        </w:tc>
        <w:tc>
          <w:tcPr>
            <w:tcW w:w="3296" w:type="dxa"/>
            <w:tcBorders/>
            <w:vAlign w:val="center"/>
          </w:tcPr>
          <w:p>
            <w:pPr>
              <w:pStyle w:val="TableContents"/>
              <w:bidi w:val="0"/>
              <w:spacing w:before="0" w:after="283"/>
              <w:jc w:val="left"/>
              <w:rPr/>
            </w:pPr>
            <w:r>
              <w:rPr/>
              <w:t>Convenience functions default to guessing — the same trap wearing a nicer API.</w:t>
            </w:r>
          </w:p>
        </w:tc>
      </w:tr>
    </w:tbl>
    <w:p>
      <w:pPr>
        <w:pStyle w:val="Heading2"/>
        <w:bidi w:val="0"/>
        <w:jc w:val="left"/>
        <w:rPr/>
      </w:pPr>
      <w:r>
        <w:rPr/>
        <w:t>Open question (unresolved)</w:t>
      </w:r>
    </w:p>
    <w:p>
      <w:pPr>
        <w:pStyle w:val="BodyText"/>
        <w:bidi w:val="0"/>
        <w:spacing w:before="300" w:after="300"/>
        <w:ind w:hanging="0" w:left="300" w:right="300"/>
        <w:jc w:val="left"/>
        <w:rPr/>
      </w:pPr>
      <w:r>
        <w:rPr>
          <w:bdr w:val="single" w:sz="2" w:space="12" w:color="000000"/>
        </w:rPr>
        <w:t xml:space="preserve">The bronze schema in Note 03 declares </w:t>
      </w:r>
      <w:r>
        <w:rPr>
          <w:rStyle w:val="SourceText"/>
          <w:bdr w:val="single" w:sz="2" w:space="12" w:color="000000"/>
        </w:rPr>
        <w:t>amount</w:t>
      </w:r>
      <w:r>
        <w:rPr>
          <w:bdr w:val="single" w:sz="2" w:space="12" w:color="000000"/>
        </w:rPr>
        <w:t xml:space="preserve"> as </w:t>
      </w:r>
      <w:r>
        <w:rPr>
          <w:rStyle w:val="SourceText"/>
          <w:bdr w:val="single" w:sz="2" w:space="12" w:color="000000"/>
        </w:rPr>
        <w:t>DOUBLE</w:t>
      </w:r>
      <w:r>
        <w:rPr>
          <w:bdr w:val="single" w:sz="2" w:space="12" w:color="000000"/>
        </w:rPr>
        <w:t xml:space="preserve">. Double is binary floating point — </w:t>
      </w:r>
      <w:r>
        <w:rPr>
          <w:rStyle w:val="SourceText"/>
          <w:bdr w:val="single" w:sz="2" w:space="12" w:color="000000"/>
        </w:rPr>
        <w:t>0.1 + 0.2 ≠ 0.3</w:t>
      </w:r>
      <w:r>
        <w:rPr>
          <w:bdr w:val="single" w:sz="2" w:space="12" w:color="000000"/>
        </w:rPr>
        <w:t xml:space="preserve"> — and financial systems conventionally store money as </w:t>
      </w:r>
      <w:r>
        <w:rPr>
          <w:rStyle w:val="SourceText"/>
          <w:bdr w:val="single" w:sz="2" w:space="12" w:color="000000"/>
        </w:rPr>
        <w:t>DECIMAL</w:t>
      </w:r>
      <w:r>
        <w:rPr>
          <w:bdr w:val="single" w:sz="2" w:space="12" w:color="000000"/>
        </w:rPr>
        <w:t>.</w:t>
      </w:r>
    </w:p>
    <w:p>
      <w:pPr>
        <w:pStyle w:val="BodyText"/>
        <w:bidi w:val="0"/>
        <w:spacing w:before="300" w:after="300"/>
        <w:ind w:hanging="0" w:left="300" w:right="300"/>
        <w:jc w:val="left"/>
        <w:rPr/>
      </w:pPr>
      <w:r>
        <w:rPr>
          <w:rStyle w:val="Strong"/>
          <w:bdr w:val="single" w:sz="2" w:space="12" w:color="000000"/>
        </w:rPr>
        <w:t>To decide:</w:t>
      </w:r>
      <w:r>
        <w:rPr>
          <w:bdr w:val="single" w:sz="2" w:space="12" w:color="000000"/>
        </w:rPr>
        <w:t xml:space="preserve"> does bronze keep </w:t>
      </w:r>
      <w:r>
        <w:rPr>
          <w:rStyle w:val="SourceText"/>
          <w:bdr w:val="single" w:sz="2" w:space="12" w:color="000000"/>
        </w:rPr>
        <w:t>DOUBLE</w:t>
      </w:r>
      <w:r>
        <w:rPr>
          <w:bdr w:val="single" w:sz="2" w:space="12" w:color="000000"/>
        </w:rPr>
        <w:t xml:space="preserve"> on the grounds that bronze mirrors the source as-is and PaySim's CSV is float-native, deferring </w:t>
      </w:r>
      <w:r>
        <w:rPr>
          <w:rStyle w:val="SourceText"/>
          <w:bdr w:val="single" w:sz="2" w:space="12" w:color="000000"/>
        </w:rPr>
        <w:t>DECIMAL</w:t>
      </w:r>
      <w:r>
        <w:rPr>
          <w:bdr w:val="single" w:sz="2" w:space="12" w:color="000000"/>
        </w:rPr>
        <w:t xml:space="preserve"> to silver where reshaping is allowed? Or is a money column typed as </w:t>
      </w:r>
      <w:r>
        <w:rPr>
          <w:rStyle w:val="SourceText"/>
          <w:bdr w:val="single" w:sz="2" w:space="12" w:color="000000"/>
        </w:rPr>
        <w:t>DOUBLE</w:t>
      </w:r>
      <w:r>
        <w:rPr>
          <w:bdr w:val="single" w:sz="2" w:space="12" w:color="000000"/>
        </w:rPr>
        <w:t xml:space="preserve"> a defect worth correcting at the boundary? </w:t>
      </w:r>
      <w:r>
        <w:rPr>
          <w:rStyle w:val="Emphasis"/>
          <w:bdr w:val="single" w:sz="2" w:space="12" w:color="000000"/>
        </w:rPr>
        <w:t>Answer to be recorded here once reasoned through.</w:t>
      </w:r>
    </w:p>
    <w:p>
      <w:pPr>
        <w:pStyle w:val="BodyTextlearn"/>
        <w:bidi w:val="0"/>
        <w:ind w:hanging="0"/>
        <w:jc w:val="left"/>
        <w:rPr/>
      </w:pPr>
      <w:r>
        <w:rPr>
          <w:rStyle w:val="Strong"/>
        </w:rPr>
        <w:t>You learn:</w:t>
      </w:r>
      <w:r>
        <w:rPr/>
        <w:t xml:space="preserve"> why schemaless formats default to strings, how lexicographic comparison silently corrupts numeric logic, Spark's inconsistent type coercion, the real cost of </w:t>
      </w:r>
      <w:r>
        <w:rPr>
          <w:rStyle w:val="SourceText"/>
        </w:rPr>
        <w:t>inferSchema</w:t>
      </w:r>
      <w:r>
        <w:rPr/>
        <w:t>, temp views as the Python↔SQL bridge, and schema assertion as the engineering answer to all of it.</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06 — When the Source Changes: Schema Evolution </w:t>
      </w:r>
      <w:r>
        <w:rPr>
          <w:b w:val="false"/>
          <w:color w:val="FFFFFF"/>
        </w:rPr>
        <w:t>· July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The question</w:t>
      </w:r>
    </w:p>
    <w:p>
      <w:pPr>
        <w:pStyle w:val="BodyText"/>
        <w:bidi w:val="0"/>
        <w:jc w:val="left"/>
        <w:rPr/>
      </w:pPr>
      <w:r>
        <w:rPr/>
        <w:t xml:space="preserve">Note 05 settled </w:t>
      </w:r>
      <w:r>
        <w:rPr>
          <w:rStyle w:val="Emphasis"/>
        </w:rPr>
        <w:t>why</w:t>
      </w:r>
      <w:r>
        <w:rPr/>
        <w:t xml:space="preserve"> bronze declares an explicit schema. The obvious follow-up: what happens months from now when the source file itself changes shape?</w:t>
      </w:r>
    </w:p>
    <w:p>
      <w:pPr>
        <w:pStyle w:val="BodyText"/>
        <w:bidi w:val="0"/>
        <w:spacing w:before="300" w:after="300"/>
        <w:ind w:hanging="0" w:left="300" w:right="300"/>
        <w:jc w:val="left"/>
        <w:rPr/>
      </w:pPr>
      <w:r>
        <w:rPr>
          <w:rStyle w:val="Strong"/>
          <w:bdr w:val="single" w:sz="2" w:space="12" w:color="000000"/>
        </w:rPr>
        <w:t>The answer that reframes it:</w:t>
      </w:r>
      <w:r>
        <w:rPr>
          <w:bdr w:val="single" w:sz="2" w:space="12" w:color="000000"/>
        </w:rPr>
        <w:t xml:space="preserve"> an explicit schema does not stop the source from changing — nothing can, the file belongs to someone else. What it provides is a </w:t>
      </w:r>
      <w:r>
        <w:rPr>
          <w:rStyle w:val="Emphasis"/>
          <w:bdr w:val="single" w:sz="2" w:space="12" w:color="000000"/>
        </w:rPr>
        <w:t>fixed expectation for reality to contradict</w:t>
      </w:r>
      <w:r>
        <w:rPr>
          <w:bdr w:val="single" w:sz="2" w:space="12" w:color="000000"/>
        </w:rPr>
        <w:t xml:space="preserve">. With </w:t>
      </w:r>
      <w:r>
        <w:rPr>
          <w:rStyle w:val="SourceText"/>
          <w:bdr w:val="single" w:sz="2" w:space="12" w:color="000000"/>
        </w:rPr>
        <w:t>inferSchema</w:t>
      </w:r>
      <w:r>
        <w:rPr>
          <w:bdr w:val="single" w:sz="2" w:space="12" w:color="000000"/>
        </w:rPr>
        <w:t xml:space="preserve"> there is no expectation at all, so a change quietly becomes the new normal. With a declared schema, a change is a contradiction — and a contradiction can be caught.</w:t>
      </w:r>
    </w:p>
    <w:p>
      <w:pPr>
        <w:pStyle w:val="BodyTextwhy"/>
        <w:bidi w:val="0"/>
        <w:spacing w:before="300" w:after="300"/>
        <w:ind w:hanging="0" w:left="300" w:right="300"/>
        <w:jc w:val="left"/>
        <w:rPr>
          <w:bdr w:val="single" w:sz="2" w:space="12" w:color="000000"/>
        </w:rPr>
      </w:pPr>
      <w:r>
        <w:rPr>
          <w:bdr w:val="single" w:sz="2" w:space="12" w:color="000000"/>
        </w:rPr>
        <w:t>A declared schema doesn't stop change. It makes change fail loudly instead of quietly.</w:t>
      </w:r>
    </w:p>
    <w:p>
      <w:pPr>
        <w:pStyle w:val="Heading2"/>
        <w:bidi w:val="0"/>
        <w:ind w:hanging="0"/>
        <w:jc w:val="left"/>
        <w:rPr/>
      </w:pPr>
      <w:r>
        <w:rPr/>
        <w:t>Mental model</w:t>
      </w:r>
    </w:p>
    <w:p>
      <w:pPr>
        <w:pStyle w:val="BodyText"/>
        <w:bidi w:val="0"/>
        <w:jc w:val="left"/>
        <w:rPr/>
      </w:pPr>
      <w:r>
        <w:rPr/>
        <w:t xml:space="preserve">A </w:t>
      </w:r>
      <w:r>
        <w:rPr>
          <w:rStyle w:val="SourceText"/>
        </w:rPr>
        <w:t>StructType</w:t>
      </w:r>
      <w:r>
        <w:rPr/>
        <w:t xml:space="preserve"> is a form with 11 labelled boxes. A CSV row is a line of values. Spark pours the values into the boxes </w:t>
      </w:r>
      <w:r>
        <w:rPr>
          <w:rStyle w:val="Strong"/>
        </w:rPr>
        <w:t>in order</w:t>
      </w:r>
      <w:r>
        <w:rPr/>
        <w:t xml:space="preserve"> — and by default </w:t>
      </w:r>
      <w:r>
        <w:rPr>
          <w:rStyle w:val="Strong"/>
        </w:rPr>
        <w:t>does not read the file's header to check the names</w:t>
      </w:r>
      <w:r>
        <w:rPr/>
        <w:t>. If the source changes shape, the values still land in boxes; they just land in the wrong ones. The form comes out looking perfectly filled in.</w:t>
      </w:r>
    </w:p>
    <w:p>
      <w:pPr>
        <w:pStyle w:val="Heading2"/>
        <w:bidi w:val="0"/>
        <w:jc w:val="left"/>
        <w:rPr/>
      </w:pPr>
      <w:r>
        <w:rPr/>
        <w:t>Three ways a source can change — behaviour with an explicit schema</w:t>
      </w:r>
    </w:p>
    <w:tbl>
      <w:tblPr>
        <w:tblW w:w="8982" w:type="dxa"/>
        <w:jc w:val="left"/>
        <w:tblInd w:w="28" w:type="dxa"/>
        <w:tblLayout w:type="fixed"/>
        <w:tblCellMar>
          <w:top w:w="28" w:type="dxa"/>
          <w:left w:w="28" w:type="dxa"/>
          <w:bottom w:w="28" w:type="dxa"/>
          <w:right w:w="28" w:type="dxa"/>
        </w:tblCellMar>
      </w:tblPr>
      <w:tblGrid>
        <w:gridCol w:w="2191"/>
        <w:gridCol w:w="2229"/>
        <w:gridCol w:w="4562"/>
      </w:tblGrid>
      <w:tr>
        <w:trPr/>
        <w:tc>
          <w:tcPr>
            <w:tcW w:w="2191" w:type="dxa"/>
            <w:tcBorders/>
            <w:vAlign w:val="center"/>
          </w:tcPr>
          <w:p>
            <w:pPr>
              <w:pStyle w:val="TableHeading"/>
              <w:suppressLineNumbers/>
              <w:bidi w:val="0"/>
              <w:spacing w:before="0" w:after="283"/>
              <w:jc w:val="left"/>
              <w:rPr/>
            </w:pPr>
            <w:r>
              <w:rPr/>
              <w:t>The source…</w:t>
            </w:r>
          </w:p>
        </w:tc>
        <w:tc>
          <w:tcPr>
            <w:tcW w:w="2229" w:type="dxa"/>
            <w:tcBorders/>
            <w:vAlign w:val="center"/>
          </w:tcPr>
          <w:p>
            <w:pPr>
              <w:pStyle w:val="TableHeading"/>
              <w:suppressLineNumbers/>
              <w:bidi w:val="0"/>
              <w:spacing w:before="0" w:after="283"/>
              <w:jc w:val="left"/>
              <w:rPr/>
            </w:pPr>
            <w:r>
              <w:rPr/>
              <w:t>Spark does…</w:t>
            </w:r>
          </w:p>
        </w:tc>
        <w:tc>
          <w:tcPr>
            <w:tcW w:w="4562" w:type="dxa"/>
            <w:tcBorders/>
            <w:vAlign w:val="center"/>
          </w:tcPr>
          <w:p>
            <w:pPr>
              <w:pStyle w:val="TableHeading"/>
              <w:suppressLineNumbers/>
              <w:bidi w:val="0"/>
              <w:spacing w:before="0" w:after="283"/>
              <w:jc w:val="left"/>
              <w:rPr/>
            </w:pPr>
            <w:r>
              <w:rPr/>
              <w:t>You get…</w:t>
            </w:r>
          </w:p>
        </w:tc>
      </w:tr>
      <w:tr>
        <w:trPr/>
        <w:tc>
          <w:tcPr>
            <w:tcW w:w="2191" w:type="dxa"/>
            <w:tcBorders/>
            <w:vAlign w:val="center"/>
          </w:tcPr>
          <w:p>
            <w:pPr>
              <w:pStyle w:val="TableContents"/>
              <w:bidi w:val="0"/>
              <w:spacing w:before="0" w:after="283"/>
              <w:jc w:val="left"/>
              <w:rPr/>
            </w:pPr>
            <w:r>
              <w:rPr/>
              <w:t>Adds a 12th column</w:t>
            </w:r>
          </w:p>
        </w:tc>
        <w:tc>
          <w:tcPr>
            <w:tcW w:w="2229" w:type="dxa"/>
            <w:tcBorders/>
            <w:vAlign w:val="center"/>
          </w:tcPr>
          <w:p>
            <w:pPr>
              <w:pStyle w:val="TableContents"/>
              <w:bidi w:val="0"/>
              <w:spacing w:before="0" w:after="283"/>
              <w:jc w:val="left"/>
              <w:rPr/>
            </w:pPr>
            <w:r>
              <w:rPr/>
              <w:t>Reads only the 11 declared</w:t>
            </w:r>
          </w:p>
        </w:tc>
        <w:tc>
          <w:tcPr>
            <w:tcW w:w="4562" w:type="dxa"/>
            <w:tcBorders/>
            <w:vAlign w:val="center"/>
          </w:tcPr>
          <w:p>
            <w:pPr>
              <w:pStyle w:val="TableContents"/>
              <w:bidi w:val="0"/>
              <w:spacing w:before="0" w:after="283"/>
              <w:ind w:hanging="0" w:left="0" w:right="0"/>
              <w:jc w:val="left"/>
              <w:rPr/>
            </w:pPr>
            <w:r>
              <w:rPr>
                <w:b/>
              </w:rPr>
              <w:t>The new column is thrown away.</w:t>
            </w:r>
            <w:r>
              <w:rPr/>
              <w:t xml:space="preserve"> No error, no warning — arguably the worst case, because everything looks healthy while data is lost.</w:t>
            </w:r>
          </w:p>
        </w:tc>
      </w:tr>
      <w:tr>
        <w:trPr/>
        <w:tc>
          <w:tcPr>
            <w:tcW w:w="2191" w:type="dxa"/>
            <w:tcBorders/>
            <w:vAlign w:val="center"/>
          </w:tcPr>
          <w:p>
            <w:pPr>
              <w:pStyle w:val="TableContents"/>
              <w:bidi w:val="0"/>
              <w:spacing w:before="0" w:after="283"/>
              <w:jc w:val="left"/>
              <w:rPr/>
            </w:pPr>
            <w:r>
              <w:rPr/>
              <w:t>Swaps / reorders two columns</w:t>
            </w:r>
          </w:p>
        </w:tc>
        <w:tc>
          <w:tcPr>
            <w:tcW w:w="2229" w:type="dxa"/>
            <w:tcBorders/>
            <w:vAlign w:val="center"/>
          </w:tcPr>
          <w:p>
            <w:pPr>
              <w:pStyle w:val="TableContents"/>
              <w:bidi w:val="0"/>
              <w:spacing w:before="0" w:after="283"/>
              <w:jc w:val="left"/>
              <w:rPr/>
            </w:pPr>
            <w:r>
              <w:rPr/>
              <w:t>Fills the slots by position; the file's header is ignored</w:t>
            </w:r>
          </w:p>
        </w:tc>
        <w:tc>
          <w:tcPr>
            <w:tcW w:w="4562" w:type="dxa"/>
            <w:tcBorders/>
            <w:vAlign w:val="center"/>
          </w:tcPr>
          <w:p>
            <w:pPr>
              <w:pStyle w:val="TableContents"/>
              <w:bidi w:val="0"/>
              <w:spacing w:before="0" w:after="283"/>
              <w:ind w:hanging="0" w:left="0" w:right="0"/>
              <w:jc w:val="left"/>
              <w:rPr/>
            </w:pPr>
            <w:r>
              <w:rPr>
                <w:b/>
              </w:rPr>
              <w:t>Values land in the wrong columns</w:t>
            </w:r>
            <w:r>
              <w:rPr/>
              <w:t xml:space="preserve"> — correctly typed, entirely plausible, completely wrong. Every downstream number is corrupt and nothing complains.</w:t>
            </w:r>
          </w:p>
        </w:tc>
      </w:tr>
      <w:tr>
        <w:trPr/>
        <w:tc>
          <w:tcPr>
            <w:tcW w:w="2191" w:type="dxa"/>
            <w:tcBorders/>
            <w:vAlign w:val="center"/>
          </w:tcPr>
          <w:p>
            <w:pPr>
              <w:pStyle w:val="TableContents"/>
              <w:bidi w:val="0"/>
              <w:spacing w:before="0" w:after="283"/>
              <w:jc w:val="left"/>
              <w:rPr/>
            </w:pPr>
            <w:r>
              <w:rPr/>
              <w:t>Sends an unparseable value (</w:t>
            </w:r>
            <w:r>
              <w:rPr>
                <w:rStyle w:val="SourceText"/>
              </w:rPr>
              <w:t>amount = "N/A"</w:t>
            </w:r>
            <w:r>
              <w:rPr/>
              <w:t>)</w:t>
            </w:r>
          </w:p>
        </w:tc>
        <w:tc>
          <w:tcPr>
            <w:tcW w:w="2229" w:type="dxa"/>
            <w:tcBorders/>
            <w:vAlign w:val="center"/>
          </w:tcPr>
          <w:p>
            <w:pPr>
              <w:pStyle w:val="TableContents"/>
              <w:bidi w:val="0"/>
              <w:spacing w:before="0" w:after="283"/>
              <w:jc w:val="left"/>
              <w:rPr/>
            </w:pPr>
            <w:r>
              <w:rPr/>
              <w:t xml:space="preserve">Can't read it as a number; default </w:t>
            </w:r>
            <w:r>
              <w:rPr>
                <w:rStyle w:val="SourceText"/>
              </w:rPr>
              <w:t>PERMISSIVE</w:t>
            </w:r>
            <w:r>
              <w:rPr/>
              <w:t xml:space="preserve"> mode</w:t>
            </w:r>
          </w:p>
        </w:tc>
        <w:tc>
          <w:tcPr>
            <w:tcW w:w="4562" w:type="dxa"/>
            <w:tcBorders/>
            <w:vAlign w:val="center"/>
          </w:tcPr>
          <w:p>
            <w:pPr>
              <w:pStyle w:val="TableContents"/>
              <w:bidi w:val="0"/>
              <w:spacing w:before="0" w:after="283"/>
              <w:jc w:val="left"/>
              <w:rPr/>
            </w:pPr>
            <w:r>
              <w:rPr/>
              <w:t xml:space="preserve">That value becomes </w:t>
            </w:r>
            <w:r>
              <w:rPr>
                <w:rStyle w:val="SourceText"/>
              </w:rPr>
              <w:t>null</w:t>
            </w:r>
            <w:r>
              <w:rPr/>
              <w:t>. No error. Indistinguishable from a genuine null.</w:t>
            </w:r>
          </w:p>
        </w:tc>
      </w:tr>
    </w:tbl>
    <w:p>
      <w:pPr>
        <w:pStyle w:val="BodyText"/>
        <w:bidi w:val="0"/>
        <w:jc w:val="left"/>
        <w:rPr/>
      </w:pPr>
      <w:r>
        <w:rPr>
          <w:rStyle w:val="Strong"/>
        </w:rPr>
        <w:t>The pattern in all three:</w:t>
      </w:r>
      <w:r>
        <w:rPr/>
        <w:t xml:space="preserve"> Spark finishes happily and hands back a wrong answer.</w:t>
      </w:r>
    </w:p>
    <w:p>
      <w:pPr>
        <w:pStyle w:val="Heading3"/>
        <w:bidi w:val="0"/>
        <w:jc w:val="left"/>
        <w:rPr/>
      </w:pPr>
      <w:r>
        <w:rPr/>
        <w:t xml:space="preserve">Important — these are the </w:t>
      </w:r>
      <w:r>
        <w:rPr>
          <w:rStyle w:val="Emphasis"/>
        </w:rPr>
        <w:t>explicit schema</w:t>
      </w:r>
      <w:r>
        <w:rPr/>
        <w:t xml:space="preserve"> failure modes</w:t>
      </w:r>
    </w:p>
    <w:p>
      <w:pPr>
        <w:pStyle w:val="BodyText"/>
        <w:bidi w:val="0"/>
        <w:jc w:val="left"/>
        <w:rPr/>
      </w:pPr>
      <w:r>
        <w:rPr/>
        <w:t xml:space="preserve">Easy to misread these as arguments for </w:t>
      </w:r>
      <w:r>
        <w:rPr>
          <w:rStyle w:val="SourceText"/>
        </w:rPr>
        <w:t>inferSchema</w:t>
      </w:r>
      <w:r>
        <w:rPr/>
        <w:t>. They are not. They are the reason an explicit schema needs one additional option alongside it.</w:t>
      </w:r>
    </w:p>
    <w:p>
      <w:pPr>
        <w:pStyle w:val="Heading2"/>
        <w:bidi w:val="0"/>
        <w:jc w:val="left"/>
        <w:rPr/>
      </w:pPr>
      <w:r>
        <w:rPr/>
        <w:t>Honest comparison</w:t>
      </w:r>
    </w:p>
    <w:tbl>
      <w:tblPr>
        <w:tblW w:w="8982" w:type="dxa"/>
        <w:jc w:val="left"/>
        <w:tblInd w:w="28" w:type="dxa"/>
        <w:tblLayout w:type="fixed"/>
        <w:tblCellMar>
          <w:top w:w="28" w:type="dxa"/>
          <w:left w:w="28" w:type="dxa"/>
          <w:bottom w:w="28" w:type="dxa"/>
          <w:right w:w="28" w:type="dxa"/>
        </w:tblCellMar>
      </w:tblPr>
      <w:tblGrid>
        <w:gridCol w:w="1718"/>
        <w:gridCol w:w="5014"/>
        <w:gridCol w:w="2250"/>
      </w:tblGrid>
      <w:tr>
        <w:trPr/>
        <w:tc>
          <w:tcPr>
            <w:tcW w:w="1718" w:type="dxa"/>
            <w:tcBorders/>
            <w:vAlign w:val="center"/>
          </w:tcPr>
          <w:p>
            <w:pPr>
              <w:pStyle w:val="TableHeading"/>
              <w:suppressLineNumbers/>
              <w:bidi w:val="0"/>
              <w:spacing w:before="0" w:after="283"/>
              <w:jc w:val="left"/>
              <w:rPr/>
            </w:pPr>
            <w:r>
              <w:rPr/>
              <w:t>Source change</w:t>
            </w:r>
          </w:p>
        </w:tc>
        <w:tc>
          <w:tcPr>
            <w:tcW w:w="5014" w:type="dxa"/>
            <w:tcBorders/>
            <w:vAlign w:val="center"/>
          </w:tcPr>
          <w:p>
            <w:pPr>
              <w:pStyle w:val="TableHeading"/>
              <w:suppressLineNumbers/>
              <w:bidi w:val="0"/>
              <w:spacing w:before="0" w:after="283"/>
              <w:jc w:val="left"/>
              <w:rPr/>
            </w:pPr>
            <w:r>
              <w:rPr/>
              <w:t xml:space="preserve">With </w:t>
            </w:r>
            <w:r>
              <w:rPr>
                <w:rStyle w:val="SourceText"/>
              </w:rPr>
              <w:t>inferSchema</w:t>
            </w:r>
          </w:p>
        </w:tc>
        <w:tc>
          <w:tcPr>
            <w:tcW w:w="2250" w:type="dxa"/>
            <w:tcBorders/>
            <w:vAlign w:val="center"/>
          </w:tcPr>
          <w:p>
            <w:pPr>
              <w:pStyle w:val="TableHeading"/>
              <w:suppressLineNumbers/>
              <w:bidi w:val="0"/>
              <w:spacing w:before="0" w:after="283"/>
              <w:jc w:val="left"/>
              <w:rPr/>
            </w:pPr>
            <w:r>
              <w:rPr/>
              <w:t>With explicit schema</w:t>
            </w:r>
          </w:p>
        </w:tc>
      </w:tr>
      <w:tr>
        <w:trPr/>
        <w:tc>
          <w:tcPr>
            <w:tcW w:w="1718" w:type="dxa"/>
            <w:tcBorders/>
            <w:vAlign w:val="center"/>
          </w:tcPr>
          <w:p>
            <w:pPr>
              <w:pStyle w:val="TableContents"/>
              <w:bidi w:val="0"/>
              <w:spacing w:before="0" w:after="283"/>
              <w:jc w:val="left"/>
              <w:rPr/>
            </w:pPr>
            <w:r>
              <w:rPr/>
              <w:t>Adds a column</w:t>
            </w:r>
          </w:p>
        </w:tc>
        <w:tc>
          <w:tcPr>
            <w:tcW w:w="5014" w:type="dxa"/>
            <w:tcBorders/>
            <w:vAlign w:val="center"/>
          </w:tcPr>
          <w:p>
            <w:pPr>
              <w:pStyle w:val="TableContents"/>
              <w:bidi w:val="0"/>
              <w:spacing w:before="0" w:after="283"/>
              <w:jc w:val="left"/>
              <w:rPr/>
            </w:pPr>
            <w:r>
              <w:rPr/>
              <w:t>Picked up automatically — but the bronze table's shape changes without anyone deciding</w:t>
            </w:r>
          </w:p>
        </w:tc>
        <w:tc>
          <w:tcPr>
            <w:tcW w:w="2250" w:type="dxa"/>
            <w:tcBorders/>
            <w:vAlign w:val="center"/>
          </w:tcPr>
          <w:p>
            <w:pPr>
              <w:pStyle w:val="TableContents"/>
              <w:bidi w:val="0"/>
              <w:spacing w:before="0" w:after="283"/>
              <w:jc w:val="left"/>
              <w:rPr/>
            </w:pPr>
            <w:r>
              <w:rPr/>
              <w:t>Dropped silently</w:t>
            </w:r>
          </w:p>
        </w:tc>
      </w:tr>
      <w:tr>
        <w:trPr/>
        <w:tc>
          <w:tcPr>
            <w:tcW w:w="1718" w:type="dxa"/>
            <w:tcBorders/>
            <w:vAlign w:val="center"/>
          </w:tcPr>
          <w:p>
            <w:pPr>
              <w:pStyle w:val="TableContents"/>
              <w:bidi w:val="0"/>
              <w:spacing w:before="0" w:after="283"/>
              <w:ind w:hanging="0" w:left="0" w:right="0"/>
              <w:jc w:val="left"/>
              <w:rPr/>
            </w:pPr>
            <w:r>
              <w:rPr/>
              <w:t>Swaps two columns</w:t>
            </w:r>
          </w:p>
        </w:tc>
        <w:tc>
          <w:tcPr>
            <w:tcW w:w="5014" w:type="dxa"/>
            <w:tcBorders/>
            <w:vAlign w:val="center"/>
          </w:tcPr>
          <w:p>
            <w:pPr>
              <w:pStyle w:val="TableContents"/>
              <w:bidi w:val="0"/>
              <w:spacing w:before="0" w:after="283"/>
              <w:jc w:val="left"/>
              <w:rPr>
                <w:color w:val="2E7D32"/>
              </w:rPr>
            </w:pPr>
            <w:r>
              <w:rPr>
                <w:color w:val="2E7D32"/>
              </w:rPr>
              <w:t>Handled correctly — it reads the header for names</w:t>
            </w:r>
          </w:p>
        </w:tc>
        <w:tc>
          <w:tcPr>
            <w:tcW w:w="2250" w:type="dxa"/>
            <w:tcBorders/>
            <w:vAlign w:val="center"/>
          </w:tcPr>
          <w:p>
            <w:pPr>
              <w:pStyle w:val="TableContents"/>
              <w:bidi w:val="0"/>
              <w:spacing w:before="0" w:after="283"/>
              <w:ind w:hanging="0" w:left="0" w:right="0"/>
              <w:jc w:val="left"/>
              <w:rPr>
                <w:b/>
              </w:rPr>
            </w:pPr>
            <w:r>
              <w:rPr>
                <w:b/>
              </w:rPr>
              <w:t>Values land in the wrong boxes</w:t>
            </w:r>
          </w:p>
        </w:tc>
      </w:tr>
      <w:tr>
        <w:trPr/>
        <w:tc>
          <w:tcPr>
            <w:tcW w:w="1718" w:type="dxa"/>
            <w:tcBorders/>
            <w:vAlign w:val="center"/>
          </w:tcPr>
          <w:p>
            <w:pPr>
              <w:pStyle w:val="TableContents"/>
              <w:bidi w:val="0"/>
              <w:spacing w:before="0" w:after="283"/>
              <w:jc w:val="left"/>
              <w:rPr/>
            </w:pPr>
            <w:r>
              <w:rPr/>
              <w:t xml:space="preserve">Sends </w:t>
            </w:r>
            <w:r>
              <w:rPr>
                <w:rStyle w:val="SourceText"/>
              </w:rPr>
              <w:t>"N/A"</w:t>
            </w:r>
            <w:r>
              <w:rPr/>
              <w:t xml:space="preserve"> in </w:t>
            </w:r>
            <w:r>
              <w:rPr>
                <w:rStyle w:val="SourceText"/>
              </w:rPr>
              <w:t>amount</w:t>
            </w:r>
          </w:p>
        </w:tc>
        <w:tc>
          <w:tcPr>
            <w:tcW w:w="5014" w:type="dxa"/>
            <w:tcBorders/>
            <w:vAlign w:val="center"/>
          </w:tcPr>
          <w:p>
            <w:pPr>
              <w:pStyle w:val="TableContents"/>
              <w:bidi w:val="0"/>
              <w:spacing w:before="0" w:after="283"/>
              <w:ind w:hanging="0" w:left="0" w:right="0"/>
              <w:jc w:val="left"/>
              <w:rPr/>
            </w:pPr>
            <w:r>
              <w:rPr>
                <w:b/>
              </w:rPr>
              <w:t>The whole column reverts to text</w:t>
            </w:r>
            <w:r>
              <w:rPr/>
              <w:t xml:space="preserve"> — the Note 05 bug returns, triggered by a single bad row</w:t>
            </w:r>
          </w:p>
        </w:tc>
        <w:tc>
          <w:tcPr>
            <w:tcW w:w="2250" w:type="dxa"/>
            <w:tcBorders/>
            <w:vAlign w:val="center"/>
          </w:tcPr>
          <w:p>
            <w:pPr>
              <w:pStyle w:val="TableContents"/>
              <w:bidi w:val="0"/>
              <w:spacing w:before="0" w:after="283"/>
              <w:jc w:val="left"/>
              <w:rPr/>
            </w:pPr>
            <w:r>
              <w:rPr/>
              <w:t xml:space="preserve">That one value becomes </w:t>
            </w:r>
            <w:r>
              <w:rPr>
                <w:rStyle w:val="SourceText"/>
              </w:rPr>
              <w:t>null</w:t>
            </w:r>
          </w:p>
        </w:tc>
      </w:tr>
    </w:tbl>
    <w:p>
      <w:pPr>
        <w:pStyle w:val="BodyText"/>
        <w:bidi w:val="0"/>
        <w:jc w:val="left"/>
        <w:rPr/>
      </w:pPr>
      <w:r>
        <w:rPr>
          <w:rStyle w:val="SourceText"/>
        </w:rPr>
        <w:t>inferSchema</w:t>
      </w:r>
      <w:r>
        <w:rPr/>
        <w:t xml:space="preserve"> genuinely wins the middle row — worth stating plainly rather than pretending otherwise. But the cost is that </w:t>
      </w:r>
      <w:r>
        <w:rPr>
          <w:rStyle w:val="Strong"/>
        </w:rPr>
        <w:t>the source is in charge of your types</w:t>
      </w:r>
      <w:r>
        <w:rPr/>
        <w:t>: the table restructures itself on row 1, and a single bad value among 574,255 rows silently breaks every calculation on row 3.</w:t>
      </w:r>
    </w:p>
    <w:p>
      <w:pPr>
        <w:pStyle w:val="Heading2"/>
        <w:bidi w:val="0"/>
        <w:jc w:val="left"/>
        <w:rPr/>
      </w:pPr>
      <w:r>
        <w:rPr/>
        <w:t>The fix</w:t>
      </w:r>
    </w:p>
    <w:p>
      <w:pPr>
        <w:pStyle w:val="PreformattedText"/>
        <w:bidi w:val="0"/>
        <w:jc w:val="left"/>
        <w:rPr/>
      </w:pPr>
      <w:r>
        <w:rPr>
          <w:rStyle w:val="SourceText"/>
        </w:rPr>
        <w:t>df = (</w:t>
      </w:r>
    </w:p>
    <w:p>
      <w:pPr>
        <w:pStyle w:val="PreformattedText"/>
        <w:bidi w:val="0"/>
        <w:jc w:val="left"/>
        <w:rPr/>
      </w:pPr>
      <w:r>
        <w:rPr>
          <w:rStyle w:val="SourceText"/>
        </w:rPr>
        <w:t xml:space="preserve">    </w:t>
      </w:r>
      <w:r>
        <w:rPr>
          <w:rStyle w:val="SourceText"/>
        </w:rPr>
        <w:t>spark.read</w:t>
      </w:r>
    </w:p>
    <w:p>
      <w:pPr>
        <w:pStyle w:val="PreformattedText"/>
        <w:bidi w:val="0"/>
        <w:jc w:val="left"/>
        <w:rPr/>
      </w:pPr>
      <w:r>
        <w:rPr>
          <w:rStyle w:val="SourceText"/>
        </w:rPr>
        <w:t xml:space="preserve">    </w:t>
      </w:r>
      <w:r>
        <w:rPr>
          <w:rStyle w:val="SourceText"/>
        </w:rPr>
        <w:t>.format("csv")</w:t>
      </w:r>
    </w:p>
    <w:p>
      <w:pPr>
        <w:pStyle w:val="PreformattedText"/>
        <w:bidi w:val="0"/>
        <w:jc w:val="left"/>
        <w:rPr/>
      </w:pPr>
      <w:r>
        <w:rPr>
          <w:rStyle w:val="SourceText"/>
        </w:rPr>
        <w:t xml:space="preserve">    </w:t>
      </w:r>
      <w:r>
        <w:rPr>
          <w:rStyle w:val="SourceText"/>
        </w:rPr>
        <w:t>.option("header", "true")</w:t>
      </w:r>
    </w:p>
    <w:p>
      <w:pPr>
        <w:pStyle w:val="PreformattedText"/>
        <w:bidi w:val="0"/>
        <w:jc w:val="left"/>
        <w:rPr/>
      </w:pPr>
      <w:r>
        <w:rPr>
          <w:rStyle w:val="SourceText"/>
        </w:rPr>
        <w:t xml:space="preserve">    </w:t>
      </w:r>
      <w:r>
        <w:rPr>
          <w:rStyle w:val="SourceText"/>
        </w:rPr>
        <w:t>.option("enforceSchema", "false")   &lt;-- added</w:t>
      </w:r>
    </w:p>
    <w:p>
      <w:pPr>
        <w:pStyle w:val="PreformattedText"/>
        <w:bidi w:val="0"/>
        <w:jc w:val="left"/>
        <w:rPr/>
      </w:pPr>
      <w:r>
        <w:rPr>
          <w:rStyle w:val="SourceText"/>
        </w:rPr>
        <w:t xml:space="preserve">    </w:t>
      </w:r>
      <w:r>
        <w:rPr>
          <w:rStyle w:val="SourceText"/>
        </w:rPr>
        <w:t>.schema(transactions_schema)</w:t>
      </w:r>
    </w:p>
    <w:p>
      <w:pPr>
        <w:pStyle w:val="PreformattedText"/>
        <w:bidi w:val="0"/>
        <w:jc w:val="left"/>
        <w:rPr/>
      </w:pPr>
      <w:r>
        <w:rPr>
          <w:rStyle w:val="SourceText"/>
        </w:rPr>
        <w:t xml:space="preserve">    </w:t>
      </w:r>
      <w:r>
        <w:rPr>
          <w:rStyle w:val="SourceText"/>
        </w:rPr>
        <w:t>.load(source_file)</w:t>
      </w:r>
    </w:p>
    <w:p>
      <w:pPr>
        <w:pStyle w:val="PreformattedText"/>
        <w:bidi w:val="0"/>
        <w:spacing w:before="0" w:after="283"/>
        <w:jc w:val="left"/>
        <w:rPr/>
      </w:pPr>
      <w:r>
        <w:rPr>
          <w:rStyle w:val="SourceText"/>
        </w:rPr>
        <w:t>)</w:t>
      </w:r>
    </w:p>
    <w:tbl>
      <w:tblPr>
        <w:tblW w:w="8982" w:type="dxa"/>
        <w:jc w:val="left"/>
        <w:tblInd w:w="28" w:type="dxa"/>
        <w:tblLayout w:type="fixed"/>
        <w:tblCellMar>
          <w:top w:w="28" w:type="dxa"/>
          <w:left w:w="28" w:type="dxa"/>
          <w:bottom w:w="28" w:type="dxa"/>
          <w:right w:w="28" w:type="dxa"/>
        </w:tblCellMar>
      </w:tblPr>
      <w:tblGrid>
        <w:gridCol w:w="2226"/>
        <w:gridCol w:w="6756"/>
      </w:tblGrid>
      <w:tr>
        <w:trPr/>
        <w:tc>
          <w:tcPr>
            <w:tcW w:w="2226" w:type="dxa"/>
            <w:tcBorders/>
            <w:vAlign w:val="center"/>
          </w:tcPr>
          <w:p>
            <w:pPr>
              <w:pStyle w:val="TableHeading"/>
              <w:suppressLineNumbers/>
              <w:bidi w:val="0"/>
              <w:spacing w:before="0" w:after="283"/>
              <w:jc w:val="left"/>
              <w:rPr/>
            </w:pPr>
            <w:r>
              <w:rPr/>
              <w:t>Piece</w:t>
            </w:r>
          </w:p>
        </w:tc>
        <w:tc>
          <w:tcPr>
            <w:tcW w:w="6756" w:type="dxa"/>
            <w:tcBorders/>
            <w:vAlign w:val="center"/>
          </w:tcPr>
          <w:p>
            <w:pPr>
              <w:pStyle w:val="TableHeading"/>
              <w:suppressLineNumbers/>
              <w:bidi w:val="0"/>
              <w:spacing w:before="0" w:after="283"/>
              <w:jc w:val="left"/>
              <w:rPr/>
            </w:pPr>
            <w:r>
              <w:rPr/>
              <w:t>What it buys</w:t>
            </w:r>
          </w:p>
        </w:tc>
      </w:tr>
      <w:tr>
        <w:trPr/>
        <w:tc>
          <w:tcPr>
            <w:tcW w:w="2226" w:type="dxa"/>
            <w:tcBorders/>
            <w:vAlign w:val="center"/>
          </w:tcPr>
          <w:p>
            <w:pPr>
              <w:pStyle w:val="TableContents"/>
              <w:bidi w:val="0"/>
              <w:spacing w:before="0" w:after="283"/>
              <w:jc w:val="left"/>
              <w:rPr/>
            </w:pPr>
            <w:r>
              <w:rPr>
                <w:rStyle w:val="SourceText"/>
              </w:rPr>
              <w:t>.schema(...)</w:t>
            </w:r>
          </w:p>
        </w:tc>
        <w:tc>
          <w:tcPr>
            <w:tcW w:w="6756" w:type="dxa"/>
            <w:tcBorders/>
            <w:vAlign w:val="center"/>
          </w:tcPr>
          <w:p>
            <w:pPr>
              <w:pStyle w:val="TableContents"/>
              <w:bidi w:val="0"/>
              <w:spacing w:before="0" w:after="283"/>
              <w:jc w:val="left"/>
              <w:rPr/>
            </w:pPr>
            <w:r>
              <w:rPr/>
              <w:t>Types are a decision on the record, not a guess that can drift between batches.</w:t>
            </w:r>
          </w:p>
        </w:tc>
      </w:tr>
      <w:tr>
        <w:trPr/>
        <w:tc>
          <w:tcPr>
            <w:tcW w:w="2226" w:type="dxa"/>
            <w:tcBorders/>
            <w:vAlign w:val="center"/>
          </w:tcPr>
          <w:p>
            <w:pPr>
              <w:pStyle w:val="TableContents"/>
              <w:bidi w:val="0"/>
              <w:spacing w:before="0" w:after="283"/>
              <w:jc w:val="left"/>
              <w:rPr/>
            </w:pPr>
            <w:r>
              <w:rPr>
                <w:rStyle w:val="SourceText"/>
              </w:rPr>
              <w:t>enforceSchema = false</w:t>
            </w:r>
          </w:p>
        </w:tc>
        <w:tc>
          <w:tcPr>
            <w:tcW w:w="6756" w:type="dxa"/>
            <w:tcBorders/>
            <w:vAlign w:val="center"/>
          </w:tcPr>
          <w:p>
            <w:pPr>
              <w:pStyle w:val="TableContents"/>
              <w:bidi w:val="0"/>
              <w:spacing w:before="0" w:after="283"/>
              <w:ind w:hanging="0" w:left="0" w:right="0"/>
              <w:jc w:val="left"/>
              <w:rPr/>
            </w:pPr>
            <w:r>
              <w:rPr>
                <w:b/>
              </w:rPr>
              <w:t>Closes the one gap where inference was ahead.</w:t>
            </w:r>
            <w:r>
              <w:rPr/>
              <w:t xml:space="preserve"> Spark validates the file's header names against the declared schema and </w:t>
            </w:r>
            <w:r>
              <w:rPr>
                <w:rStyle w:val="Strong"/>
              </w:rPr>
              <w:t>fails</w:t>
            </w:r>
            <w:r>
              <w:rPr/>
              <w:t xml:space="preserve"> on mismatch, converting silent column-swap corruption into an immediate, obvious error.</w:t>
            </w:r>
          </w:p>
        </w:tc>
      </w:tr>
    </w:tbl>
    <w:p>
      <w:pPr>
        <w:pStyle w:val="BodyText"/>
        <w:bidi w:val="0"/>
        <w:jc w:val="left"/>
        <w:rPr/>
      </w:pPr>
      <w:r>
        <w:rPr/>
        <w:t xml:space="preserve">Neither piece is sufficient alone: fixed types </w:t>
      </w:r>
      <w:r>
        <w:rPr>
          <w:rStyle w:val="Emphasis"/>
        </w:rPr>
        <w:t>and</w:t>
      </w:r>
      <w:r>
        <w:rPr/>
        <w:t xml:space="preserve"> a loud failure when the source moves.</w:t>
      </w:r>
    </w:p>
    <w:p>
      <w:pPr>
        <w:pStyle w:val="Heading2"/>
        <w:bidi w:val="0"/>
        <w:jc w:val="left"/>
        <w:rPr/>
      </w:pPr>
      <w:r>
        <w:rPr/>
        <w:t>When a change turns out to be real</w:t>
      </w:r>
    </w:p>
    <w:tbl>
      <w:tblPr>
        <w:tblW w:w="8982" w:type="dxa"/>
        <w:jc w:val="left"/>
        <w:tblInd w:w="28" w:type="dxa"/>
        <w:tblLayout w:type="fixed"/>
        <w:tblCellMar>
          <w:top w:w="28" w:type="dxa"/>
          <w:left w:w="28" w:type="dxa"/>
          <w:bottom w:w="28" w:type="dxa"/>
          <w:right w:w="28" w:type="dxa"/>
        </w:tblCellMar>
      </w:tblPr>
      <w:tblGrid>
        <w:gridCol w:w="1456"/>
        <w:gridCol w:w="7526"/>
      </w:tblGrid>
      <w:tr>
        <w:trPr/>
        <w:tc>
          <w:tcPr>
            <w:tcW w:w="1456" w:type="dxa"/>
            <w:tcBorders/>
            <w:vAlign w:val="center"/>
          </w:tcPr>
          <w:p>
            <w:pPr>
              <w:pStyle w:val="TableHeading"/>
              <w:suppressLineNumbers/>
              <w:bidi w:val="0"/>
              <w:spacing w:before="0" w:after="283"/>
              <w:jc w:val="left"/>
              <w:rPr/>
            </w:pPr>
            <w:r>
              <w:rPr/>
              <w:t>Kind of change</w:t>
            </w:r>
          </w:p>
        </w:tc>
        <w:tc>
          <w:tcPr>
            <w:tcW w:w="7526" w:type="dxa"/>
            <w:tcBorders/>
            <w:vAlign w:val="center"/>
          </w:tcPr>
          <w:p>
            <w:pPr>
              <w:pStyle w:val="TableHeading"/>
              <w:suppressLineNumbers/>
              <w:bidi w:val="0"/>
              <w:spacing w:before="0" w:after="283"/>
              <w:jc w:val="left"/>
              <w:rPr/>
            </w:pPr>
            <w:r>
              <w:rPr/>
              <w:t>How bronze absorbs it</w:t>
            </w:r>
          </w:p>
        </w:tc>
      </w:tr>
      <w:tr>
        <w:trPr/>
        <w:tc>
          <w:tcPr>
            <w:tcW w:w="1456" w:type="dxa"/>
            <w:tcBorders/>
            <w:vAlign w:val="center"/>
          </w:tcPr>
          <w:p>
            <w:pPr>
              <w:pStyle w:val="TableContents"/>
              <w:bidi w:val="0"/>
              <w:spacing w:before="0" w:after="283"/>
              <w:jc w:val="left"/>
              <w:rPr/>
            </w:pPr>
            <w:r>
              <w:rPr/>
              <w:t>Additive (new column)</w:t>
            </w:r>
          </w:p>
        </w:tc>
        <w:tc>
          <w:tcPr>
            <w:tcW w:w="7526" w:type="dxa"/>
            <w:tcBorders/>
            <w:vAlign w:val="center"/>
          </w:tcPr>
          <w:p>
            <w:pPr>
              <w:pStyle w:val="TableContents"/>
              <w:bidi w:val="0"/>
              <w:spacing w:before="0" w:after="283"/>
              <w:jc w:val="left"/>
              <w:rPr/>
            </w:pPr>
            <w:r>
              <w:rPr/>
              <w:t xml:space="preserve">Add the field to the </w:t>
            </w:r>
            <w:r>
              <w:rPr>
                <w:rStyle w:val="SourceText"/>
              </w:rPr>
              <w:t>StructType</w:t>
            </w:r>
            <w:r>
              <w:rPr/>
              <w:t xml:space="preserve"> and write with Delta </w:t>
            </w:r>
            <w:r>
              <w:rPr>
                <w:rStyle w:val="SourceText"/>
              </w:rPr>
              <w:t>mergeSchema</w:t>
            </w:r>
            <w:r>
              <w:rPr/>
              <w:t xml:space="preserve">. Historic rows carry </w:t>
            </w:r>
            <w:r>
              <w:rPr>
                <w:rStyle w:val="SourceText"/>
              </w:rPr>
              <w:t>null</w:t>
            </w:r>
            <w:r>
              <w:rPr/>
              <w:t xml:space="preserve"> for the new column — which is </w:t>
            </w:r>
            <w:r>
              <w:rPr>
                <w:rStyle w:val="Emphasis"/>
              </w:rPr>
              <w:t>honest</w:t>
            </w:r>
            <w:r>
              <w:rPr/>
              <w:t>: those rows genuinely never had that field.</w:t>
            </w:r>
          </w:p>
        </w:tc>
      </w:tr>
      <w:tr>
        <w:trPr/>
        <w:tc>
          <w:tcPr>
            <w:tcW w:w="1456" w:type="dxa"/>
            <w:tcBorders/>
            <w:vAlign w:val="center"/>
          </w:tcPr>
          <w:p>
            <w:pPr>
              <w:pStyle w:val="TableContents"/>
              <w:bidi w:val="0"/>
              <w:spacing w:before="0" w:after="283"/>
              <w:jc w:val="left"/>
              <w:rPr/>
            </w:pPr>
            <w:r>
              <w:rPr/>
              <w:t>Type change</w:t>
            </w:r>
          </w:p>
        </w:tc>
        <w:tc>
          <w:tcPr>
            <w:tcW w:w="7526" w:type="dxa"/>
            <w:tcBorders/>
            <w:vAlign w:val="center"/>
          </w:tcPr>
          <w:p>
            <w:pPr>
              <w:pStyle w:val="TableContents"/>
              <w:bidi w:val="0"/>
              <w:spacing w:before="0" w:after="283"/>
              <w:ind w:hanging="0" w:left="0" w:right="0"/>
              <w:jc w:val="left"/>
              <w:rPr/>
            </w:pPr>
            <w:r>
              <w:rPr/>
              <w:t xml:space="preserve">The painful case. Requires a deliberate rebuild rather than an in-place edit — </w:t>
            </w:r>
            <w:r>
              <w:rPr>
                <w:b/>
              </w:rPr>
              <w:t>which is precisely why bronze stores the source untouched.</w:t>
            </w:r>
            <w:r>
              <w:rPr/>
              <w:t xml:space="preserve"> Rebuilding downstream from an unmodified bronze is always possible; recovering data bronze never captured is not.</w:t>
            </w:r>
          </w:p>
        </w:tc>
      </w:tr>
    </w:tbl>
    <w:p>
      <w:pPr>
        <w:pStyle w:val="BodyText"/>
        <w:bidi w:val="0"/>
        <w:jc w:val="left"/>
        <w:rPr/>
      </w:pPr>
      <w:r>
        <w:rPr/>
        <w:t>Because bronze is append-only and stores raw source data, no schema change is ever a dead end.</w:t>
      </w:r>
    </w:p>
    <w:p>
      <w:pPr>
        <w:pStyle w:val="Heading2"/>
        <w:bidi w:val="0"/>
        <w:jc w:val="left"/>
        <w:rPr/>
      </w:pPr>
      <w:r>
        <w:rPr/>
        <w:t>Forward link — Auto Loader (Phase 3)</w:t>
      </w:r>
    </w:p>
    <w:p>
      <w:pPr>
        <w:pStyle w:val="BodyText"/>
        <w:bidi w:val="0"/>
        <w:jc w:val="left"/>
        <w:rPr/>
      </w:pPr>
      <w:r>
        <w:rPr/>
        <w:t xml:space="preserve">Auto Loader automates exactly this: </w:t>
      </w:r>
      <w:r>
        <w:rPr>
          <w:rStyle w:val="SourceText"/>
        </w:rPr>
        <w:t>schemaEvolutionMode</w:t>
      </w:r>
      <w:r>
        <w:rPr/>
        <w:t xml:space="preserve"> decides what happens when new columns appear, and </w:t>
      </w:r>
      <w:r>
        <w:rPr>
          <w:rStyle w:val="SourceText"/>
        </w:rPr>
        <w:t>rescuedDataColumn</w:t>
      </w:r>
      <w:r>
        <w:rPr/>
        <w:t xml:space="preserve"> captures anything unexpected </w:t>
      </w:r>
      <w:r>
        <w:rPr>
          <w:rStyle w:val="Emphasis"/>
        </w:rPr>
        <w:t>instead of discarding it</w:t>
      </w:r>
      <w:r>
        <w:rPr/>
        <w:t xml:space="preserve"> — directly fixing failure #1 above. Meeting these three failures by hand first is what makes Auto Loader legible later rather than magic.</w:t>
      </w:r>
    </w:p>
    <w:p>
      <w:pPr>
        <w:pStyle w:val="Heading2"/>
        <w:bidi w:val="0"/>
        <w:jc w:val="left"/>
        <w:rPr/>
      </w:pPr>
      <w:r>
        <w:rPr/>
        <w:t>Vocabulary clarified</w:t>
      </w:r>
    </w:p>
    <w:tbl>
      <w:tblPr>
        <w:tblW w:w="8982" w:type="dxa"/>
        <w:jc w:val="left"/>
        <w:tblInd w:w="28" w:type="dxa"/>
        <w:tblLayout w:type="fixed"/>
        <w:tblCellMar>
          <w:top w:w="28" w:type="dxa"/>
          <w:left w:w="28" w:type="dxa"/>
          <w:bottom w:w="28" w:type="dxa"/>
          <w:right w:w="28" w:type="dxa"/>
        </w:tblCellMar>
      </w:tblPr>
      <w:tblGrid>
        <w:gridCol w:w="1323"/>
        <w:gridCol w:w="7659"/>
      </w:tblGrid>
      <w:tr>
        <w:trPr/>
        <w:tc>
          <w:tcPr>
            <w:tcW w:w="1323" w:type="dxa"/>
            <w:tcBorders/>
            <w:vAlign w:val="center"/>
          </w:tcPr>
          <w:p>
            <w:pPr>
              <w:pStyle w:val="TableHeading"/>
              <w:suppressLineNumbers/>
              <w:bidi w:val="0"/>
              <w:spacing w:before="0" w:after="283"/>
              <w:jc w:val="left"/>
              <w:rPr/>
            </w:pPr>
            <w:r>
              <w:rPr/>
              <w:t>Term</w:t>
            </w:r>
          </w:p>
        </w:tc>
        <w:tc>
          <w:tcPr>
            <w:tcW w:w="7659" w:type="dxa"/>
            <w:tcBorders/>
            <w:vAlign w:val="center"/>
          </w:tcPr>
          <w:p>
            <w:pPr>
              <w:pStyle w:val="TableHeading"/>
              <w:suppressLineNumbers/>
              <w:bidi w:val="0"/>
              <w:spacing w:before="0" w:after="283"/>
              <w:jc w:val="left"/>
              <w:rPr/>
            </w:pPr>
            <w:r>
              <w:rPr/>
              <w:t>Meaning</w:t>
            </w:r>
          </w:p>
        </w:tc>
      </w:tr>
      <w:tr>
        <w:trPr/>
        <w:tc>
          <w:tcPr>
            <w:tcW w:w="1323" w:type="dxa"/>
            <w:tcBorders/>
            <w:vAlign w:val="center"/>
          </w:tcPr>
          <w:p>
            <w:pPr>
              <w:pStyle w:val="TableContents"/>
              <w:bidi w:val="0"/>
              <w:spacing w:before="0" w:after="283"/>
              <w:jc w:val="left"/>
              <w:rPr/>
            </w:pPr>
            <w:r>
              <w:rPr>
                <w:rStyle w:val="Strong"/>
              </w:rPr>
              <w:t>Coercion</w:t>
            </w:r>
          </w:p>
        </w:tc>
        <w:tc>
          <w:tcPr>
            <w:tcW w:w="7659" w:type="dxa"/>
            <w:tcBorders/>
            <w:vAlign w:val="center"/>
          </w:tcPr>
          <w:p>
            <w:pPr>
              <w:pStyle w:val="TableContents"/>
              <w:bidi w:val="0"/>
              <w:spacing w:before="0" w:after="283"/>
              <w:jc w:val="left"/>
              <w:rPr/>
            </w:pPr>
            <w:r>
              <w:rPr/>
              <w:t xml:space="preserve">Spark silently converting a type on your behalf — e.g. seeing </w:t>
            </w:r>
            <w:r>
              <w:rPr>
                <w:rStyle w:val="SourceText"/>
              </w:rPr>
              <w:t>amount &gt; 200000</w:t>
            </w:r>
            <w:r>
              <w:rPr/>
              <w:t>, noticing a string against a number, and casting the column to double without asking or warning. The Note 05 trap.</w:t>
            </w:r>
          </w:p>
        </w:tc>
      </w:tr>
      <w:tr>
        <w:trPr/>
        <w:tc>
          <w:tcPr>
            <w:tcW w:w="1323" w:type="dxa"/>
            <w:tcBorders/>
            <w:vAlign w:val="center"/>
          </w:tcPr>
          <w:p>
            <w:pPr>
              <w:pStyle w:val="TableContents"/>
              <w:bidi w:val="0"/>
              <w:spacing w:before="0" w:after="283"/>
              <w:jc w:val="left"/>
              <w:rPr/>
            </w:pPr>
            <w:r>
              <w:rPr>
                <w:rStyle w:val="Strong"/>
              </w:rPr>
              <w:t>Coalesce</w:t>
            </w:r>
          </w:p>
        </w:tc>
        <w:tc>
          <w:tcPr>
            <w:tcW w:w="7659" w:type="dxa"/>
            <w:tcBorders/>
            <w:vAlign w:val="center"/>
          </w:tcPr>
          <w:p>
            <w:pPr>
              <w:pStyle w:val="TableContents"/>
              <w:bidi w:val="0"/>
              <w:spacing w:before="0" w:after="283"/>
              <w:jc w:val="left"/>
              <w:rPr/>
            </w:pPr>
            <w:r>
              <w:rPr/>
              <w:t xml:space="preserve">Unrelated, and confusingly two different things: </w:t>
            </w:r>
            <w:r>
              <w:rPr>
                <w:rStyle w:val="SourceText"/>
              </w:rPr>
              <w:t>coalesce(a, b, c)</w:t>
            </w:r>
            <w:r>
              <w:rPr/>
              <w:t xml:space="preserve"> in SQL returns the first non-null value from a list; </w:t>
            </w:r>
            <w:r>
              <w:rPr>
                <w:rStyle w:val="SourceText"/>
              </w:rPr>
              <w:t>df.coalesce(n)</w:t>
            </w:r>
            <w:r>
              <w:rPr/>
              <w:t xml:space="preserve"> in Python reduces the number of partitions. Same word, no relationship to coercion.</w:t>
            </w:r>
          </w:p>
        </w:tc>
      </w:tr>
    </w:tbl>
    <w:p>
      <w:pPr>
        <w:pStyle w:val="BodyTextlearn"/>
        <w:bidi w:val="0"/>
        <w:jc w:val="left"/>
        <w:rPr/>
      </w:pPr>
      <w:r>
        <w:rPr>
          <w:rStyle w:val="Strong"/>
        </w:rPr>
        <w:t>You learn:</w:t>
      </w:r>
      <w:r>
        <w:rPr/>
        <w:t xml:space="preserve"> that schema enforcement is positional by default, the three silent failure modes of a declared schema, the real trade-off against inference, </w:t>
      </w:r>
      <w:r>
        <w:rPr>
          <w:rStyle w:val="SourceText"/>
        </w:rPr>
        <w:t>enforceSchema</w:t>
      </w:r>
      <w:r>
        <w:rPr/>
        <w:t xml:space="preserve"> as the missing guard, Delta </w:t>
      </w:r>
      <w:r>
        <w:rPr>
          <w:rStyle w:val="SourceText"/>
        </w:rPr>
        <w:t>mergeSchema</w:t>
      </w:r>
      <w:r>
        <w:rPr/>
        <w:t xml:space="preserve"> for additive evolution, and why append-only raw bronze makes every schema change recoverable.</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07 — Correction: Bronze Stores Text, Not Types </w:t>
      </w:r>
      <w:r>
        <w:rPr>
          <w:b w:val="false"/>
          <w:color w:val="FFFFFF"/>
        </w:rPr>
        <w:t>· July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What changed</w:t>
      </w:r>
    </w:p>
    <w:p>
      <w:pPr>
        <w:pStyle w:val="BodyText"/>
        <w:bidi w:val="0"/>
        <w:spacing w:before="300" w:after="300"/>
        <w:ind w:hanging="0" w:left="300" w:right="300"/>
        <w:jc w:val="left"/>
        <w:rPr/>
      </w:pPr>
      <w:r>
        <w:rPr>
          <w:rStyle w:val="Strong"/>
          <w:bdr w:val="single" w:sz="2" w:space="12" w:color="000000"/>
        </w:rPr>
        <w:t>Bronze now reads every column as STRING.</w:t>
      </w:r>
      <w:r>
        <w:rPr>
          <w:bdr w:val="single" w:sz="2" w:space="12" w:color="000000"/>
        </w:rPr>
        <w:t xml:space="preserve"> The typed bronze schema from Note 03 (DOUBLE for money, INT for flags) is superseded.</w:t>
      </w:r>
    </w:p>
    <w:p>
      <w:pPr>
        <w:pStyle w:val="BodyTextwhy"/>
        <w:bidi w:val="0"/>
        <w:spacing w:before="300" w:after="300"/>
        <w:ind w:hanging="0" w:left="300" w:right="300"/>
        <w:jc w:val="left"/>
        <w:rPr>
          <w:bdr w:val="single" w:sz="2" w:space="12" w:color="000000"/>
        </w:rPr>
      </w:pPr>
      <w:r>
        <w:rPr>
          <w:bdr w:val="single" w:sz="2" w:space="12" w:color="000000"/>
        </w:rPr>
        <w:t>One line to remember: bronze keeps, silver converts.</w:t>
      </w:r>
    </w:p>
    <w:p>
      <w:pPr>
        <w:pStyle w:val="Heading2"/>
        <w:bidi w:val="0"/>
        <w:ind w:hanging="0"/>
        <w:jc w:val="left"/>
        <w:rPr/>
      </w:pPr>
      <w:r>
        <w:rPr/>
        <w:t>Why — the contradiction in our own contract</w:t>
      </w:r>
    </w:p>
    <w:p>
      <w:pPr>
        <w:pStyle w:val="BodyText"/>
        <w:bidi w:val="0"/>
        <w:jc w:val="left"/>
        <w:rPr/>
      </w:pPr>
      <w:r>
        <w:rPr/>
        <w:t xml:space="preserve">The bronze contract says </w:t>
      </w:r>
      <w:r>
        <w:rPr>
          <w:rStyle w:val="Strong"/>
        </w:rPr>
        <w:t>"no fixes, no filters, no renames."</w:t>
      </w:r>
      <w:r>
        <w:rPr/>
        <w:t xml:space="preserve"> Casting </w:t>
      </w:r>
      <w:r>
        <w:rPr>
          <w:rStyle w:val="SourceText"/>
        </w:rPr>
        <w:t>"9839.64"</w:t>
      </w:r>
      <w:r>
        <w:rPr/>
        <w:t xml:space="preserve"> into a double </w:t>
      </w:r>
      <w:r>
        <w:rPr>
          <w:rStyle w:val="Emphasis"/>
        </w:rPr>
        <w:t>is</w:t>
      </w:r>
      <w:r>
        <w:rPr/>
        <w:t xml:space="preserve"> a fix. The typed schema table sat three lines below the rule that forbade it.</w:t>
      </w:r>
    </w:p>
    <w:p>
      <w:pPr>
        <w:pStyle w:val="Heading3"/>
        <w:bidi w:val="0"/>
        <w:jc w:val="left"/>
        <w:rPr/>
      </w:pPr>
      <w:r>
        <w:rPr/>
        <w:t>The concrete failure</w:t>
      </w:r>
    </w:p>
    <w:tbl>
      <w:tblPr>
        <w:tblW w:w="8982" w:type="dxa"/>
        <w:jc w:val="left"/>
        <w:tblInd w:w="28" w:type="dxa"/>
        <w:tblLayout w:type="fixed"/>
        <w:tblCellMar>
          <w:top w:w="28" w:type="dxa"/>
          <w:left w:w="28" w:type="dxa"/>
          <w:bottom w:w="28" w:type="dxa"/>
          <w:right w:w="28" w:type="dxa"/>
        </w:tblCellMar>
      </w:tblPr>
      <w:tblGrid>
        <w:gridCol w:w="2917"/>
        <w:gridCol w:w="6065"/>
      </w:tblGrid>
      <w:tr>
        <w:trPr/>
        <w:tc>
          <w:tcPr>
            <w:tcW w:w="2917" w:type="dxa"/>
            <w:tcBorders/>
            <w:vAlign w:val="center"/>
          </w:tcPr>
          <w:p>
            <w:pPr>
              <w:pStyle w:val="TableHeading"/>
              <w:suppressLineNumbers/>
              <w:bidi w:val="0"/>
              <w:spacing w:before="0" w:after="283"/>
              <w:jc w:val="left"/>
              <w:rPr/>
            </w:pPr>
            <w:r>
              <w:rPr/>
              <w:t>Step</w:t>
            </w:r>
          </w:p>
        </w:tc>
        <w:tc>
          <w:tcPr>
            <w:tcW w:w="6065" w:type="dxa"/>
            <w:tcBorders/>
            <w:vAlign w:val="center"/>
          </w:tcPr>
          <w:p>
            <w:pPr>
              <w:pStyle w:val="TableHeading"/>
              <w:suppressLineNumbers/>
              <w:bidi w:val="0"/>
              <w:spacing w:before="0" w:after="283"/>
              <w:jc w:val="left"/>
              <w:rPr/>
            </w:pPr>
            <w:r>
              <w:rPr/>
              <w:t>What happens</w:t>
            </w:r>
          </w:p>
        </w:tc>
      </w:tr>
      <w:tr>
        <w:trPr/>
        <w:tc>
          <w:tcPr>
            <w:tcW w:w="2917" w:type="dxa"/>
            <w:tcBorders/>
            <w:vAlign w:val="center"/>
          </w:tcPr>
          <w:p>
            <w:pPr>
              <w:pStyle w:val="TableContents"/>
              <w:bidi w:val="0"/>
              <w:spacing w:before="0" w:after="283"/>
              <w:jc w:val="left"/>
              <w:rPr/>
            </w:pPr>
            <w:r>
              <w:rPr/>
              <w:t xml:space="preserve">A row arrives with </w:t>
            </w:r>
            <w:r>
              <w:rPr>
                <w:rStyle w:val="SourceText"/>
              </w:rPr>
              <w:t>amount = "N/A"</w:t>
            </w:r>
          </w:p>
        </w:tc>
        <w:tc>
          <w:tcPr>
            <w:tcW w:w="6065" w:type="dxa"/>
            <w:tcBorders/>
            <w:vAlign w:val="center"/>
          </w:tcPr>
          <w:p>
            <w:pPr>
              <w:pStyle w:val="TableContents"/>
              <w:bidi w:val="0"/>
              <w:spacing w:before="0" w:after="283"/>
              <w:jc w:val="left"/>
              <w:rPr/>
            </w:pPr>
            <w:r>
              <w:rPr/>
              <w:t>Source sends something unexpected — normal in production.</w:t>
            </w:r>
          </w:p>
        </w:tc>
      </w:tr>
      <w:tr>
        <w:trPr/>
        <w:tc>
          <w:tcPr>
            <w:tcW w:w="2917" w:type="dxa"/>
            <w:tcBorders/>
            <w:vAlign w:val="center"/>
          </w:tcPr>
          <w:p>
            <w:pPr>
              <w:pStyle w:val="TableContents"/>
              <w:bidi w:val="0"/>
              <w:spacing w:before="0" w:after="283"/>
              <w:jc w:val="left"/>
              <w:rPr/>
            </w:pPr>
            <w:r>
              <w:rPr/>
              <w:t xml:space="preserve">Bronze schema says </w:t>
            </w:r>
            <w:r>
              <w:rPr>
                <w:rStyle w:val="SourceText"/>
              </w:rPr>
              <w:t>DoubleType</w:t>
            </w:r>
          </w:p>
        </w:tc>
        <w:tc>
          <w:tcPr>
            <w:tcW w:w="6065" w:type="dxa"/>
            <w:tcBorders/>
            <w:vAlign w:val="center"/>
          </w:tcPr>
          <w:p>
            <w:pPr>
              <w:pStyle w:val="TableContents"/>
              <w:bidi w:val="0"/>
              <w:spacing w:before="0" w:after="283"/>
              <w:jc w:val="left"/>
              <w:rPr/>
            </w:pPr>
            <w:r>
              <w:rPr/>
              <w:t>Spark tries to parse it as a number and fails.</w:t>
            </w:r>
          </w:p>
        </w:tc>
      </w:tr>
      <w:tr>
        <w:trPr/>
        <w:tc>
          <w:tcPr>
            <w:tcW w:w="2917" w:type="dxa"/>
            <w:tcBorders/>
            <w:vAlign w:val="center"/>
          </w:tcPr>
          <w:p>
            <w:pPr>
              <w:pStyle w:val="TableContents"/>
              <w:bidi w:val="0"/>
              <w:spacing w:before="0" w:after="283"/>
              <w:jc w:val="left"/>
              <w:rPr/>
            </w:pPr>
            <w:r>
              <w:rPr/>
              <w:t xml:space="preserve">Default </w:t>
            </w:r>
            <w:r>
              <w:rPr>
                <w:rStyle w:val="SourceText"/>
              </w:rPr>
              <w:t>PERMISSIVE</w:t>
            </w:r>
            <w:r>
              <w:rPr/>
              <w:t xml:space="preserve"> mode</w:t>
            </w:r>
          </w:p>
        </w:tc>
        <w:tc>
          <w:tcPr>
            <w:tcW w:w="6065" w:type="dxa"/>
            <w:tcBorders/>
            <w:vAlign w:val="center"/>
          </w:tcPr>
          <w:p>
            <w:pPr>
              <w:pStyle w:val="TableContents"/>
              <w:bidi w:val="0"/>
              <w:spacing w:before="0" w:after="283"/>
              <w:ind w:hanging="0" w:left="0" w:right="0"/>
              <w:jc w:val="left"/>
              <w:rPr/>
            </w:pPr>
            <w:r>
              <w:rPr/>
              <w:t xml:space="preserve">Writes </w:t>
            </w:r>
            <w:r>
              <w:rPr>
                <w:rStyle w:val="SourceText"/>
              </w:rPr>
              <w:t>null</w:t>
            </w:r>
            <w:r>
              <w:rPr/>
              <w:t>. No error, no warning.</w:t>
            </w:r>
          </w:p>
        </w:tc>
      </w:tr>
      <w:tr>
        <w:trPr/>
        <w:tc>
          <w:tcPr>
            <w:tcW w:w="2917" w:type="dxa"/>
            <w:tcBorders/>
            <w:vAlign w:val="center"/>
          </w:tcPr>
          <w:p>
            <w:pPr>
              <w:pStyle w:val="TableContents"/>
              <w:bidi w:val="0"/>
              <w:spacing w:before="0" w:after="283"/>
              <w:jc w:val="left"/>
              <w:rPr>
                <w:b/>
              </w:rPr>
            </w:pPr>
            <w:r>
              <w:rPr>
                <w:b/>
              </w:rPr>
              <w:t>The original text is gone</w:t>
            </w:r>
          </w:p>
        </w:tc>
        <w:tc>
          <w:tcPr>
            <w:tcW w:w="6065" w:type="dxa"/>
            <w:tcBorders/>
            <w:vAlign w:val="center"/>
          </w:tcPr>
          <w:p>
            <w:pPr>
              <w:pStyle w:val="TableContents"/>
              <w:bidi w:val="0"/>
              <w:spacing w:before="0" w:after="283"/>
              <w:ind w:hanging="0" w:left="0" w:right="0"/>
              <w:jc w:val="left"/>
              <w:rPr/>
            </w:pPr>
            <w:r>
              <w:rPr>
                <w:b/>
              </w:rPr>
              <w:t>It was never stored.</w:t>
            </w:r>
            <w:r>
              <w:rPr/>
              <w:t xml:space="preserve"> Bronze cannot be replayed to find out what the source actually sent.</w:t>
            </w:r>
          </w:p>
        </w:tc>
      </w:tr>
    </w:tbl>
    <w:p>
      <w:pPr>
        <w:pStyle w:val="BodyText"/>
        <w:bidi w:val="0"/>
        <w:jc w:val="left"/>
        <w:rPr/>
      </w:pPr>
      <w:r>
        <w:rPr/>
        <w:t>Note 03 calls bronze "the time machine — rebuild silver from untouched bronze if the cleaning logic has a bug in month 3." A bronze that silently nulls unparseable values is not a time machine. It has already made an irreversible decision at the door.</w:t>
      </w:r>
    </w:p>
    <w:p>
      <w:pPr>
        <w:pStyle w:val="Heading2"/>
        <w:bidi w:val="0"/>
        <w:jc w:val="left"/>
        <w:rPr/>
      </w:pPr>
      <w:r>
        <w:rPr/>
        <w:t>What the vendor guidance actually says</w:t>
      </w:r>
    </w:p>
    <w:p>
      <w:pPr>
        <w:pStyle w:val="BodyText"/>
        <w:bidi w:val="0"/>
        <w:jc w:val="left"/>
        <w:rPr/>
      </w:pPr>
      <w:r>
        <w:rPr/>
        <w:t xml:space="preserve">Databricks recommends </w:t>
      </w:r>
      <w:r>
        <w:rPr>
          <w:rStyle w:val="Strong"/>
        </w:rPr>
        <w:t>minimal validation in bronze</w:t>
      </w:r>
      <w:r>
        <w:rPr/>
        <w:t xml:space="preserve">, and — to protect against dropped data — storing most fields as </w:t>
      </w:r>
      <w:r>
        <w:rPr>
          <w:rStyle w:val="SourceText"/>
        </w:rPr>
        <w:t>STRING</w:t>
      </w:r>
      <w:r>
        <w:rPr/>
        <w:t xml:space="preserve">, </w:t>
      </w:r>
      <w:r>
        <w:rPr>
          <w:rStyle w:val="SourceText"/>
        </w:rPr>
        <w:t>VARIANT</w:t>
      </w:r>
      <w:r>
        <w:rPr/>
        <w:t xml:space="preserve">, or </w:t>
      </w:r>
      <w:r>
        <w:rPr>
          <w:rStyle w:val="SourceText"/>
        </w:rPr>
        <w:t>BINARY</w:t>
      </w:r>
      <w:r>
        <w:rPr/>
        <w:t xml:space="preserve">. Schema </w:t>
      </w:r>
      <w:r>
        <w:rPr>
          <w:rStyle w:val="Emphasis"/>
        </w:rPr>
        <w:t>enforcement</w:t>
      </w:r>
      <w:r>
        <w:rPr/>
        <w:t xml:space="preserve"> belongs to silver.</w:t>
      </w:r>
    </w:p>
    <w:p>
      <w:pPr>
        <w:pStyle w:val="BodyText"/>
        <w:bidi w:val="0"/>
        <w:spacing w:before="300" w:after="300"/>
        <w:ind w:hanging="0" w:left="300" w:right="300"/>
        <w:jc w:val="left"/>
        <w:rPr/>
      </w:pPr>
      <w:r>
        <w:rPr>
          <w:b/>
          <w:bdr w:val="single" w:sz="2" w:space="12" w:color="000000"/>
        </w:rPr>
        <w:t>Precision matters here.</w:t>
      </w:r>
      <w:r>
        <w:rPr>
          <w:bdr w:val="single" w:sz="2" w:space="12" w:color="000000"/>
        </w:rPr>
        <w:t xml:space="preserve"> The objection is </w:t>
      </w:r>
      <w:r>
        <w:rPr>
          <w:rStyle w:val="Strong"/>
          <w:bdr w:val="single" w:sz="2" w:space="12" w:color="000000"/>
        </w:rPr>
        <w:t>not</w:t>
      </w:r>
      <w:r>
        <w:rPr>
          <w:bdr w:val="single" w:sz="2" w:space="12" w:color="000000"/>
        </w:rPr>
        <w:t xml:space="preserve"> to declaring a schema in bronze. It is to </w:t>
      </w:r>
      <w:r>
        <w:rPr>
          <w:rStyle w:val="Strong"/>
          <w:bdr w:val="single" w:sz="2" w:space="12" w:color="000000"/>
        </w:rPr>
        <w:t>casting to strict types at read time</w:t>
      </w:r>
      <w:r>
        <w:rPr>
          <w:bdr w:val="single" w:sz="2" w:space="12" w:color="000000"/>
        </w:rPr>
        <w:t xml:space="preserve">. Declaring names and column order explicitly is still correct and still recommended; </w:t>
      </w:r>
      <w:r>
        <w:rPr>
          <w:rStyle w:val="SourceText"/>
          <w:bdr w:val="single" w:sz="2" w:space="12" w:color="000000"/>
        </w:rPr>
        <w:t>inferSchema</w:t>
      </w:r>
      <w:r>
        <w:rPr>
          <w:bdr w:val="single" w:sz="2" w:space="12" w:color="000000"/>
        </w:rPr>
        <w:t xml:space="preserve"> is still wrong. Only the </w:t>
      </w:r>
      <w:r>
        <w:rPr>
          <w:rStyle w:val="Emphasis"/>
          <w:bdr w:val="single" w:sz="2" w:space="12" w:color="000000"/>
        </w:rPr>
        <w:t>types</w:t>
      </w:r>
      <w:r>
        <w:rPr>
          <w:bdr w:val="single" w:sz="2" w:space="12" w:color="000000"/>
        </w:rPr>
        <w:t xml:space="preserve"> changed.</w:t>
      </w:r>
    </w:p>
    <w:p>
      <w:pPr>
        <w:pStyle w:val="Heading3"/>
        <w:bidi w:val="0"/>
        <w:ind w:hanging="0"/>
        <w:jc w:val="left"/>
        <w:rPr/>
      </w:pPr>
      <w:r>
        <w:rPr/>
        <w:t>The three "store it as-is" types</w:t>
      </w:r>
    </w:p>
    <w:tbl>
      <w:tblPr>
        <w:tblW w:w="8982" w:type="dxa"/>
        <w:jc w:val="left"/>
        <w:tblInd w:w="28" w:type="dxa"/>
        <w:tblLayout w:type="fixed"/>
        <w:tblCellMar>
          <w:top w:w="28" w:type="dxa"/>
          <w:left w:w="28" w:type="dxa"/>
          <w:bottom w:w="28" w:type="dxa"/>
          <w:right w:w="28" w:type="dxa"/>
        </w:tblCellMar>
      </w:tblPr>
      <w:tblGrid>
        <w:gridCol w:w="1262"/>
        <w:gridCol w:w="5230"/>
        <w:gridCol w:w="2490"/>
      </w:tblGrid>
      <w:tr>
        <w:trPr/>
        <w:tc>
          <w:tcPr>
            <w:tcW w:w="1262" w:type="dxa"/>
            <w:tcBorders/>
            <w:vAlign w:val="center"/>
          </w:tcPr>
          <w:p>
            <w:pPr>
              <w:pStyle w:val="TableHeading"/>
              <w:suppressLineNumbers/>
              <w:bidi w:val="0"/>
              <w:spacing w:before="0" w:after="283"/>
              <w:jc w:val="left"/>
              <w:rPr/>
            </w:pPr>
            <w:r>
              <w:rPr/>
              <w:t>Type</w:t>
            </w:r>
          </w:p>
        </w:tc>
        <w:tc>
          <w:tcPr>
            <w:tcW w:w="5230" w:type="dxa"/>
            <w:tcBorders/>
            <w:vAlign w:val="center"/>
          </w:tcPr>
          <w:p>
            <w:pPr>
              <w:pStyle w:val="TableHeading"/>
              <w:suppressLineNumbers/>
              <w:bidi w:val="0"/>
              <w:spacing w:before="0" w:after="283"/>
              <w:jc w:val="left"/>
              <w:rPr/>
            </w:pPr>
            <w:r>
              <w:rPr/>
              <w:t>What gets stored</w:t>
            </w:r>
          </w:p>
        </w:tc>
        <w:tc>
          <w:tcPr>
            <w:tcW w:w="2490" w:type="dxa"/>
            <w:tcBorders/>
            <w:vAlign w:val="center"/>
          </w:tcPr>
          <w:p>
            <w:pPr>
              <w:pStyle w:val="TableHeading"/>
              <w:suppressLineNumbers/>
              <w:bidi w:val="0"/>
              <w:spacing w:before="0" w:after="283"/>
              <w:jc w:val="left"/>
              <w:rPr/>
            </w:pPr>
            <w:r>
              <w:rPr/>
              <w:t>Use for</w:t>
            </w:r>
          </w:p>
        </w:tc>
      </w:tr>
      <w:tr>
        <w:trPr/>
        <w:tc>
          <w:tcPr>
            <w:tcW w:w="1262" w:type="dxa"/>
            <w:tcBorders/>
            <w:vAlign w:val="center"/>
          </w:tcPr>
          <w:p>
            <w:pPr>
              <w:pStyle w:val="TableContents"/>
              <w:bidi w:val="0"/>
              <w:spacing w:before="0" w:after="283"/>
              <w:ind w:hanging="0" w:left="0" w:right="0"/>
              <w:jc w:val="left"/>
              <w:rPr/>
            </w:pPr>
            <w:r>
              <w:rPr>
                <w:rStyle w:val="SourceText"/>
              </w:rPr>
              <w:t>STRING</w:t>
            </w:r>
            <w:r>
              <w:rPr/>
              <w:t xml:space="preserve"> </w:t>
            </w:r>
            <w:r>
              <w:rPr>
                <w:color w:val="2E7D32"/>
              </w:rPr>
              <w:t>← ours</w:t>
            </w:r>
          </w:p>
        </w:tc>
        <w:tc>
          <w:tcPr>
            <w:tcW w:w="5230" w:type="dxa"/>
            <w:tcBorders/>
            <w:vAlign w:val="center"/>
          </w:tcPr>
          <w:p>
            <w:pPr>
              <w:pStyle w:val="TableContents"/>
              <w:bidi w:val="0"/>
              <w:spacing w:before="0" w:after="283"/>
              <w:jc w:val="left"/>
              <w:rPr/>
            </w:pPr>
            <w:r>
              <w:rPr/>
              <w:t xml:space="preserve">The characters exactly as they arrived: </w:t>
            </w:r>
            <w:r>
              <w:rPr>
                <w:rStyle w:val="SourceText"/>
              </w:rPr>
              <w:t>"9839.64"</w:t>
            </w:r>
          </w:p>
        </w:tc>
        <w:tc>
          <w:tcPr>
            <w:tcW w:w="2490" w:type="dxa"/>
            <w:tcBorders/>
            <w:vAlign w:val="center"/>
          </w:tcPr>
          <w:p>
            <w:pPr>
              <w:pStyle w:val="TableContents"/>
              <w:bidi w:val="0"/>
              <w:spacing w:before="0" w:after="283"/>
              <w:jc w:val="left"/>
              <w:rPr/>
            </w:pPr>
            <w:r>
              <w:rPr/>
              <w:t>Flat files — CSV, TSV, plain text</w:t>
            </w:r>
          </w:p>
        </w:tc>
      </w:tr>
      <w:tr>
        <w:trPr/>
        <w:tc>
          <w:tcPr>
            <w:tcW w:w="1262" w:type="dxa"/>
            <w:tcBorders/>
            <w:vAlign w:val="center"/>
          </w:tcPr>
          <w:p>
            <w:pPr>
              <w:pStyle w:val="TableContents"/>
              <w:bidi w:val="0"/>
              <w:spacing w:before="0" w:after="283"/>
              <w:jc w:val="left"/>
              <w:rPr/>
            </w:pPr>
            <w:r>
              <w:rPr>
                <w:rStyle w:val="SourceText"/>
              </w:rPr>
              <w:t>VARIANT</w:t>
            </w:r>
          </w:p>
        </w:tc>
        <w:tc>
          <w:tcPr>
            <w:tcW w:w="5230" w:type="dxa"/>
            <w:tcBorders/>
            <w:vAlign w:val="center"/>
          </w:tcPr>
          <w:p>
            <w:pPr>
              <w:pStyle w:val="TableContents"/>
              <w:bidi w:val="0"/>
              <w:spacing w:before="0" w:after="283"/>
              <w:jc w:val="left"/>
              <w:rPr/>
            </w:pPr>
            <w:r>
              <w:rPr/>
              <w:t xml:space="preserve">Nested data with its structure intact — </w:t>
            </w:r>
            <w:r>
              <w:rPr>
                <w:rStyle w:val="SourceText"/>
              </w:rPr>
              <w:t>id</w:t>
            </w:r>
            <w:r>
              <w:rPr/>
              <w:t xml:space="preserve"> and </w:t>
            </w:r>
            <w:r>
              <w:rPr>
                <w:rStyle w:val="SourceText"/>
              </w:rPr>
              <w:t>tags</w:t>
            </w:r>
            <w:r>
              <w:rPr/>
              <w:t xml:space="preserve"> stay readable later without ever having been declared. Storing raw JSON as a string would work but forces a re-parse on every query.</w:t>
            </w:r>
          </w:p>
        </w:tc>
        <w:tc>
          <w:tcPr>
            <w:tcW w:w="2490" w:type="dxa"/>
            <w:tcBorders/>
            <w:vAlign w:val="center"/>
          </w:tcPr>
          <w:p>
            <w:pPr>
              <w:pStyle w:val="TableContents"/>
              <w:bidi w:val="0"/>
              <w:spacing w:before="0" w:after="283"/>
              <w:jc w:val="left"/>
              <w:rPr/>
            </w:pPr>
            <w:r>
              <w:rPr/>
              <w:t xml:space="preserve">JSON, API responses, event payloads </w:t>
            </w:r>
            <w:r>
              <w:rPr>
                <w:rStyle w:val="Emphasis"/>
              </w:rPr>
              <w:t>(relevant in Phase 2)</w:t>
            </w:r>
          </w:p>
        </w:tc>
      </w:tr>
      <w:tr>
        <w:trPr/>
        <w:tc>
          <w:tcPr>
            <w:tcW w:w="1262" w:type="dxa"/>
            <w:tcBorders/>
            <w:vAlign w:val="center"/>
          </w:tcPr>
          <w:p>
            <w:pPr>
              <w:pStyle w:val="TableContents"/>
              <w:bidi w:val="0"/>
              <w:spacing w:before="0" w:after="283"/>
              <w:jc w:val="left"/>
              <w:rPr/>
            </w:pPr>
            <w:r>
              <w:rPr>
                <w:rStyle w:val="SourceText"/>
              </w:rPr>
              <w:t>BINARY</w:t>
            </w:r>
          </w:p>
        </w:tc>
        <w:tc>
          <w:tcPr>
            <w:tcW w:w="5230" w:type="dxa"/>
            <w:tcBorders/>
            <w:vAlign w:val="center"/>
          </w:tcPr>
          <w:p>
            <w:pPr>
              <w:pStyle w:val="TableContents"/>
              <w:bidi w:val="0"/>
              <w:spacing w:before="0" w:after="283"/>
              <w:jc w:val="left"/>
              <w:rPr/>
            </w:pPr>
            <w:r>
              <w:rPr/>
              <w:t>The exact bytes. Nothing is read or interpreted at all.</w:t>
            </w:r>
          </w:p>
        </w:tc>
        <w:tc>
          <w:tcPr>
            <w:tcW w:w="2490" w:type="dxa"/>
            <w:tcBorders/>
            <w:vAlign w:val="center"/>
          </w:tcPr>
          <w:p>
            <w:pPr>
              <w:pStyle w:val="TableContents"/>
              <w:bidi w:val="0"/>
              <w:spacing w:before="0" w:after="283"/>
              <w:jc w:val="left"/>
              <w:rPr/>
            </w:pPr>
            <w:r>
              <w:rPr/>
              <w:t xml:space="preserve">Images, PDFs, undecoded formats </w:t>
            </w:r>
            <w:r>
              <w:rPr>
                <w:rStyle w:val="Emphasis"/>
              </w:rPr>
              <w:t>(not used in this project)</w:t>
            </w:r>
          </w:p>
        </w:tc>
      </w:tr>
    </w:tbl>
    <w:p>
      <w:pPr>
        <w:pStyle w:val="BodyText"/>
        <w:bidi w:val="0"/>
        <w:jc w:val="left"/>
        <w:rPr/>
      </w:pPr>
      <w:r>
        <w:rPr/>
        <w:t xml:space="preserve">All three do the same job — </w:t>
      </w:r>
      <w:r>
        <w:rPr>
          <w:rStyle w:val="Strong"/>
        </w:rPr>
        <w:t>store it now, understand it later</w:t>
      </w:r>
      <w:r>
        <w:rPr/>
        <w:t>. They differ only in how complicated the stored thing is.</w:t>
      </w:r>
    </w:p>
    <w:p>
      <w:pPr>
        <w:pStyle w:val="Heading2"/>
        <w:bidi w:val="0"/>
        <w:jc w:val="left"/>
        <w:rPr/>
      </w:pPr>
      <w:r>
        <w:rPr/>
        <w:t xml:space="preserve">Revised bronze schema — </w:t>
      </w:r>
      <w:r>
        <w:rPr>
          <w:rStyle w:val="SourceText"/>
        </w:rPr>
        <w:t>workspace.bronze.transactions</w:t>
      </w:r>
    </w:p>
    <w:p>
      <w:pPr>
        <w:pStyle w:val="PreformattedText"/>
        <w:bidi w:val="0"/>
        <w:jc w:val="left"/>
        <w:rPr/>
      </w:pPr>
      <w:r>
        <w:rPr>
          <w:rStyle w:val="SourceText"/>
        </w:rPr>
        <w:t>from pyspark.sql.types import StructType, StructField, StringType</w:t>
      </w:r>
    </w:p>
    <w:p>
      <w:pPr>
        <w:pStyle w:val="PreformattedText"/>
        <w:bidi w:val="0"/>
        <w:jc w:val="left"/>
        <w:rPr/>
      </w:pPr>
      <w:r>
        <w:rPr/>
      </w:r>
    </w:p>
    <w:p>
      <w:pPr>
        <w:pStyle w:val="PreformattedText"/>
        <w:bidi w:val="0"/>
        <w:jc w:val="left"/>
        <w:rPr/>
      </w:pPr>
      <w:r>
        <w:rPr>
          <w:rStyle w:val="SourceText"/>
        </w:rPr>
        <w:t>transactions_schema = StructType([</w:t>
      </w:r>
    </w:p>
    <w:p>
      <w:pPr>
        <w:pStyle w:val="PreformattedText"/>
        <w:bidi w:val="0"/>
        <w:jc w:val="left"/>
        <w:rPr/>
      </w:pPr>
      <w:r>
        <w:rPr>
          <w:rStyle w:val="SourceText"/>
        </w:rPr>
        <w:t xml:space="preserve">    </w:t>
      </w:r>
      <w:r>
        <w:rPr>
          <w:rStyle w:val="SourceText"/>
        </w:rPr>
        <w:t>StructField("step",           StringType(), True),</w:t>
      </w:r>
    </w:p>
    <w:p>
      <w:pPr>
        <w:pStyle w:val="PreformattedText"/>
        <w:bidi w:val="0"/>
        <w:jc w:val="left"/>
        <w:rPr/>
      </w:pPr>
      <w:r>
        <w:rPr>
          <w:rStyle w:val="SourceText"/>
        </w:rPr>
        <w:t xml:space="preserve">    </w:t>
      </w:r>
      <w:r>
        <w:rPr>
          <w:rStyle w:val="SourceText"/>
        </w:rPr>
        <w:t>StructField("type",           StringType(), True),</w:t>
      </w:r>
    </w:p>
    <w:p>
      <w:pPr>
        <w:pStyle w:val="PreformattedText"/>
        <w:bidi w:val="0"/>
        <w:jc w:val="left"/>
        <w:rPr/>
      </w:pPr>
      <w:r>
        <w:rPr>
          <w:rStyle w:val="SourceText"/>
        </w:rPr>
        <w:t xml:space="preserve">    </w:t>
      </w:r>
      <w:r>
        <w:rPr>
          <w:rStyle w:val="SourceText"/>
        </w:rPr>
        <w:t>StructField("amount",         StringType(), True),</w:t>
      </w:r>
    </w:p>
    <w:p>
      <w:pPr>
        <w:pStyle w:val="PreformattedText"/>
        <w:bidi w:val="0"/>
        <w:jc w:val="left"/>
        <w:rPr/>
      </w:pPr>
      <w:r>
        <w:rPr>
          <w:rStyle w:val="SourceText"/>
        </w:rPr>
        <w:t xml:space="preserve">    </w:t>
      </w:r>
      <w:r>
        <w:rPr>
          <w:rStyle w:val="SourceText"/>
        </w:rPr>
        <w:t>StructField("nameOrig",       StringType(), True),</w:t>
      </w:r>
    </w:p>
    <w:p>
      <w:pPr>
        <w:pStyle w:val="PreformattedText"/>
        <w:bidi w:val="0"/>
        <w:jc w:val="left"/>
        <w:rPr/>
      </w:pPr>
      <w:r>
        <w:rPr>
          <w:rStyle w:val="SourceText"/>
        </w:rPr>
        <w:t xml:space="preserve">    </w:t>
      </w:r>
      <w:r>
        <w:rPr>
          <w:rStyle w:val="SourceText"/>
        </w:rPr>
        <w:t>StructField("oldbalanceOrg",  StringType(), True),</w:t>
      </w:r>
    </w:p>
    <w:p>
      <w:pPr>
        <w:pStyle w:val="PreformattedText"/>
        <w:bidi w:val="0"/>
        <w:jc w:val="left"/>
        <w:rPr/>
      </w:pPr>
      <w:r>
        <w:rPr>
          <w:rStyle w:val="SourceText"/>
        </w:rPr>
        <w:t xml:space="preserve">    </w:t>
      </w:r>
      <w:r>
        <w:rPr>
          <w:rStyle w:val="SourceText"/>
        </w:rPr>
        <w:t>StructField("newbalanceOrig", StringType(), True),</w:t>
      </w:r>
    </w:p>
    <w:p>
      <w:pPr>
        <w:pStyle w:val="PreformattedText"/>
        <w:bidi w:val="0"/>
        <w:jc w:val="left"/>
        <w:rPr/>
      </w:pPr>
      <w:r>
        <w:rPr>
          <w:rStyle w:val="SourceText"/>
        </w:rPr>
        <w:t xml:space="preserve">    </w:t>
      </w:r>
      <w:r>
        <w:rPr>
          <w:rStyle w:val="SourceText"/>
        </w:rPr>
        <w:t>StructField("nameDest",       StringType(), True),</w:t>
      </w:r>
    </w:p>
    <w:p>
      <w:pPr>
        <w:pStyle w:val="PreformattedText"/>
        <w:bidi w:val="0"/>
        <w:jc w:val="left"/>
        <w:rPr/>
      </w:pPr>
      <w:r>
        <w:rPr>
          <w:rStyle w:val="SourceText"/>
        </w:rPr>
        <w:t xml:space="preserve">    </w:t>
      </w:r>
      <w:r>
        <w:rPr>
          <w:rStyle w:val="SourceText"/>
        </w:rPr>
        <w:t>StructField("oldbalanceDest", StringType(), True),</w:t>
      </w:r>
    </w:p>
    <w:p>
      <w:pPr>
        <w:pStyle w:val="PreformattedText"/>
        <w:bidi w:val="0"/>
        <w:jc w:val="left"/>
        <w:rPr/>
      </w:pPr>
      <w:r>
        <w:rPr>
          <w:rStyle w:val="SourceText"/>
        </w:rPr>
        <w:t xml:space="preserve">    </w:t>
      </w:r>
      <w:r>
        <w:rPr>
          <w:rStyle w:val="SourceText"/>
        </w:rPr>
        <w:t>StructField("newbalanceDest", StringType(), True),</w:t>
      </w:r>
    </w:p>
    <w:p>
      <w:pPr>
        <w:pStyle w:val="PreformattedText"/>
        <w:bidi w:val="0"/>
        <w:jc w:val="left"/>
        <w:rPr/>
      </w:pPr>
      <w:r>
        <w:rPr>
          <w:rStyle w:val="SourceText"/>
        </w:rPr>
        <w:t xml:space="preserve">    </w:t>
      </w:r>
      <w:r>
        <w:rPr>
          <w:rStyle w:val="SourceText"/>
        </w:rPr>
        <w:t>StructField("isFraud",        StringType(), True),</w:t>
      </w:r>
    </w:p>
    <w:p>
      <w:pPr>
        <w:pStyle w:val="PreformattedText"/>
        <w:bidi w:val="0"/>
        <w:jc w:val="left"/>
        <w:rPr/>
      </w:pPr>
      <w:r>
        <w:rPr>
          <w:rStyle w:val="SourceText"/>
        </w:rPr>
        <w:t xml:space="preserve">    </w:t>
      </w:r>
      <w:r>
        <w:rPr>
          <w:rStyle w:val="SourceText"/>
        </w:rPr>
        <w:t>StructField("isFlaggedFraud", StringType(), True),</w:t>
      </w:r>
    </w:p>
    <w:p>
      <w:pPr>
        <w:pStyle w:val="PreformattedText"/>
        <w:bidi w:val="0"/>
        <w:spacing w:before="0" w:after="283"/>
        <w:jc w:val="left"/>
        <w:rPr/>
      </w:pPr>
      <w:r>
        <w:rPr>
          <w:rStyle w:val="SourceText"/>
        </w:rPr>
        <w:t>])</w:t>
      </w:r>
    </w:p>
    <w:p>
      <w:pPr>
        <w:pStyle w:val="PreformattedText"/>
        <w:bidi w:val="0"/>
        <w:jc w:val="left"/>
        <w:rPr/>
      </w:pPr>
      <w:r>
        <w:rPr>
          <w:rStyle w:val="SourceText"/>
        </w:rPr>
        <w:t>df = (</w:t>
      </w:r>
    </w:p>
    <w:p>
      <w:pPr>
        <w:pStyle w:val="PreformattedText"/>
        <w:bidi w:val="0"/>
        <w:jc w:val="left"/>
        <w:rPr/>
      </w:pPr>
      <w:r>
        <w:rPr>
          <w:rStyle w:val="SourceText"/>
        </w:rPr>
        <w:t xml:space="preserve">    </w:t>
      </w:r>
      <w:r>
        <w:rPr>
          <w:rStyle w:val="SourceText"/>
        </w:rPr>
        <w:t>spark.read</w:t>
      </w:r>
    </w:p>
    <w:p>
      <w:pPr>
        <w:pStyle w:val="PreformattedText"/>
        <w:bidi w:val="0"/>
        <w:jc w:val="left"/>
        <w:rPr/>
      </w:pPr>
      <w:r>
        <w:rPr>
          <w:rStyle w:val="SourceText"/>
        </w:rPr>
        <w:t xml:space="preserve">    </w:t>
      </w:r>
      <w:r>
        <w:rPr>
          <w:rStyle w:val="SourceText"/>
        </w:rPr>
        <w:t>.format("csv")</w:t>
      </w:r>
    </w:p>
    <w:p>
      <w:pPr>
        <w:pStyle w:val="PreformattedText"/>
        <w:bidi w:val="0"/>
        <w:jc w:val="left"/>
        <w:rPr/>
      </w:pPr>
      <w:r>
        <w:rPr>
          <w:rStyle w:val="SourceText"/>
        </w:rPr>
        <w:t xml:space="preserve">    </w:t>
      </w:r>
      <w:r>
        <w:rPr>
          <w:rStyle w:val="SourceText"/>
        </w:rPr>
        <w:t>.option("header", "true")</w:t>
      </w:r>
    </w:p>
    <w:p>
      <w:pPr>
        <w:pStyle w:val="PreformattedText"/>
        <w:bidi w:val="0"/>
        <w:jc w:val="left"/>
        <w:rPr/>
      </w:pPr>
      <w:r>
        <w:rPr>
          <w:rStyle w:val="SourceText"/>
        </w:rPr>
        <w:t xml:space="preserve">    </w:t>
      </w:r>
      <w:r>
        <w:rPr>
          <w:rStyle w:val="SourceText"/>
        </w:rPr>
        <w:t>.option("enforceSchema", "false")</w:t>
      </w:r>
    </w:p>
    <w:p>
      <w:pPr>
        <w:pStyle w:val="PreformattedText"/>
        <w:bidi w:val="0"/>
        <w:jc w:val="left"/>
        <w:rPr/>
      </w:pPr>
      <w:r>
        <w:rPr>
          <w:rStyle w:val="SourceText"/>
        </w:rPr>
        <w:t xml:space="preserve">    </w:t>
      </w:r>
      <w:r>
        <w:rPr>
          <w:rStyle w:val="SourceText"/>
        </w:rPr>
        <w:t>.schema(transactions_schema)</w:t>
      </w:r>
    </w:p>
    <w:p>
      <w:pPr>
        <w:pStyle w:val="PreformattedText"/>
        <w:bidi w:val="0"/>
        <w:jc w:val="left"/>
        <w:rPr/>
      </w:pPr>
      <w:r>
        <w:rPr>
          <w:rStyle w:val="SourceText"/>
        </w:rPr>
        <w:t xml:space="preserve">    </w:t>
      </w:r>
      <w:r>
        <w:rPr>
          <w:rStyle w:val="SourceText"/>
        </w:rPr>
        <w:t>.load(source_file)</w:t>
      </w:r>
    </w:p>
    <w:p>
      <w:pPr>
        <w:pStyle w:val="PreformattedText"/>
        <w:bidi w:val="0"/>
        <w:spacing w:before="0" w:after="283"/>
        <w:jc w:val="left"/>
        <w:rPr/>
      </w:pPr>
      <w:r>
        <w:rPr>
          <w:rStyle w:val="SourceText"/>
        </w:rPr>
        <w:t>)</w:t>
      </w:r>
    </w:p>
    <w:p>
      <w:pPr>
        <w:pStyle w:val="BodyText"/>
        <w:bidi w:val="0"/>
        <w:jc w:val="left"/>
        <w:rPr/>
      </w:pPr>
      <w:r>
        <w:rPr/>
        <w:t xml:space="preserve">Eleven strings again — but </w:t>
      </w:r>
      <w:r>
        <w:rPr>
          <w:rStyle w:val="Strong"/>
        </w:rPr>
        <w:t>by decision this time, not by Spark's default</w:t>
      </w:r>
      <w:r>
        <w:rPr/>
        <w:t>. Audit columns (</w:t>
      </w:r>
      <w:r>
        <w:rPr>
          <w:rStyle w:val="SourceText"/>
        </w:rPr>
        <w:t>source_file</w:t>
      </w:r>
      <w:r>
        <w:rPr/>
        <w:t xml:space="preserve">, </w:t>
      </w:r>
      <w:r>
        <w:rPr>
          <w:rStyle w:val="SourceText"/>
        </w:rPr>
        <w:t>ingest_timestamp</w:t>
      </w:r>
      <w:r>
        <w:rPr/>
        <w:t xml:space="preserve">, </w:t>
      </w:r>
      <w:r>
        <w:rPr>
          <w:rStyle w:val="SourceText"/>
        </w:rPr>
        <w:t>batch_date</w:t>
      </w:r>
      <w:r>
        <w:rPr/>
        <w:t>) are unaffected and still added after the read.</w:t>
      </w:r>
    </w:p>
    <w:p>
      <w:pPr>
        <w:pStyle w:val="Heading2"/>
        <w:bidi w:val="0"/>
        <w:jc w:val="left"/>
        <w:rPr/>
      </w:pPr>
      <w:r>
        <w:rPr/>
        <w:t xml:space="preserve">What did </w:t>
      </w:r>
      <w:r>
        <w:rPr>
          <w:rStyle w:val="Emphasis"/>
        </w:rPr>
        <w:t>not</w:t>
      </w:r>
      <w:r>
        <w:rPr/>
        <w:t xml:space="preserve"> change</w:t>
      </w:r>
    </w:p>
    <w:tbl>
      <w:tblPr>
        <w:tblW w:w="8982" w:type="dxa"/>
        <w:jc w:val="left"/>
        <w:tblInd w:w="28" w:type="dxa"/>
        <w:tblLayout w:type="fixed"/>
        <w:tblCellMar>
          <w:top w:w="28" w:type="dxa"/>
          <w:left w:w="28" w:type="dxa"/>
          <w:bottom w:w="28" w:type="dxa"/>
          <w:right w:w="28" w:type="dxa"/>
        </w:tblCellMar>
      </w:tblPr>
      <w:tblGrid>
        <w:gridCol w:w="3068"/>
        <w:gridCol w:w="5914"/>
      </w:tblGrid>
      <w:tr>
        <w:trPr/>
        <w:tc>
          <w:tcPr>
            <w:tcW w:w="3068" w:type="dxa"/>
            <w:tcBorders/>
            <w:vAlign w:val="center"/>
          </w:tcPr>
          <w:p>
            <w:pPr>
              <w:pStyle w:val="TableHeading"/>
              <w:suppressLineNumbers/>
              <w:bidi w:val="0"/>
              <w:spacing w:before="0" w:after="283"/>
              <w:jc w:val="left"/>
              <w:rPr/>
            </w:pPr>
            <w:r>
              <w:rPr/>
              <w:t>Decision</w:t>
            </w:r>
          </w:p>
        </w:tc>
        <w:tc>
          <w:tcPr>
            <w:tcW w:w="5914" w:type="dxa"/>
            <w:tcBorders/>
            <w:vAlign w:val="center"/>
          </w:tcPr>
          <w:p>
            <w:pPr>
              <w:pStyle w:val="TableHeading"/>
              <w:suppressLineNumbers/>
              <w:bidi w:val="0"/>
              <w:spacing w:before="0" w:after="283"/>
              <w:jc w:val="left"/>
              <w:rPr/>
            </w:pPr>
            <w:r>
              <w:rPr/>
              <w:t>Still correct because…</w:t>
            </w:r>
          </w:p>
        </w:tc>
      </w:tr>
      <w:tr>
        <w:trPr/>
        <w:tc>
          <w:tcPr>
            <w:tcW w:w="3068" w:type="dxa"/>
            <w:tcBorders/>
            <w:vAlign w:val="center"/>
          </w:tcPr>
          <w:p>
            <w:pPr>
              <w:pStyle w:val="TableContents"/>
              <w:bidi w:val="0"/>
              <w:spacing w:before="0" w:after="283"/>
              <w:jc w:val="left"/>
              <w:rPr/>
            </w:pPr>
            <w:r>
              <w:rPr/>
              <w:t xml:space="preserve">Explicit schema, never </w:t>
            </w:r>
            <w:r>
              <w:rPr>
                <w:rStyle w:val="SourceText"/>
              </w:rPr>
              <w:t>inferSchema</w:t>
            </w:r>
          </w:p>
        </w:tc>
        <w:tc>
          <w:tcPr>
            <w:tcW w:w="5914" w:type="dxa"/>
            <w:tcBorders/>
            <w:vAlign w:val="center"/>
          </w:tcPr>
          <w:p>
            <w:pPr>
              <w:pStyle w:val="TableContents"/>
              <w:bidi w:val="0"/>
              <w:spacing w:before="0" w:after="283"/>
              <w:jc w:val="left"/>
              <w:rPr/>
            </w:pPr>
            <w:r>
              <w:rPr/>
              <w:t>Inference costs a second full pass and lets the source silently redefine the table's shape (Note 05).</w:t>
            </w:r>
          </w:p>
        </w:tc>
      </w:tr>
      <w:tr>
        <w:trPr/>
        <w:tc>
          <w:tcPr>
            <w:tcW w:w="3068" w:type="dxa"/>
            <w:tcBorders/>
            <w:vAlign w:val="center"/>
          </w:tcPr>
          <w:p>
            <w:pPr>
              <w:pStyle w:val="TableContents"/>
              <w:bidi w:val="0"/>
              <w:spacing w:before="0" w:after="283"/>
              <w:jc w:val="left"/>
              <w:rPr/>
            </w:pPr>
            <w:r>
              <w:rPr/>
              <w:t>Column names and order declared</w:t>
            </w:r>
          </w:p>
        </w:tc>
        <w:tc>
          <w:tcPr>
            <w:tcW w:w="5914" w:type="dxa"/>
            <w:tcBorders/>
            <w:vAlign w:val="center"/>
          </w:tcPr>
          <w:p>
            <w:pPr>
              <w:pStyle w:val="TableContents"/>
              <w:bidi w:val="0"/>
              <w:spacing w:before="0" w:after="283"/>
              <w:jc w:val="left"/>
              <w:rPr/>
            </w:pPr>
            <w:r>
              <w:rPr/>
              <w:t>Still the contract. Order is positional; names must match the header exactly, ugly ones included.</w:t>
            </w:r>
          </w:p>
        </w:tc>
      </w:tr>
      <w:tr>
        <w:trPr/>
        <w:tc>
          <w:tcPr>
            <w:tcW w:w="3068" w:type="dxa"/>
            <w:tcBorders/>
            <w:vAlign w:val="center"/>
          </w:tcPr>
          <w:p>
            <w:pPr>
              <w:pStyle w:val="TableContents"/>
              <w:bidi w:val="0"/>
              <w:spacing w:before="0" w:after="283"/>
              <w:jc w:val="left"/>
              <w:rPr/>
            </w:pPr>
            <w:r>
              <w:rPr>
                <w:rStyle w:val="SourceText"/>
              </w:rPr>
              <w:t>enforceSchema = "false"</w:t>
            </w:r>
          </w:p>
        </w:tc>
        <w:tc>
          <w:tcPr>
            <w:tcW w:w="5914" w:type="dxa"/>
            <w:tcBorders/>
            <w:vAlign w:val="center"/>
          </w:tcPr>
          <w:p>
            <w:pPr>
              <w:pStyle w:val="TableContents"/>
              <w:bidi w:val="0"/>
              <w:spacing w:before="0" w:after="283"/>
              <w:jc w:val="left"/>
              <w:rPr/>
            </w:pPr>
            <w:r>
              <w:rPr/>
              <w:t>Still the guard that turns a silent column swap into a loud failure (Note 06).</w:t>
            </w:r>
          </w:p>
        </w:tc>
      </w:tr>
      <w:tr>
        <w:trPr/>
        <w:tc>
          <w:tcPr>
            <w:tcW w:w="3068" w:type="dxa"/>
            <w:tcBorders/>
            <w:vAlign w:val="center"/>
          </w:tcPr>
          <w:p>
            <w:pPr>
              <w:pStyle w:val="TableContents"/>
              <w:bidi w:val="0"/>
              <w:spacing w:before="0" w:after="283"/>
              <w:jc w:val="left"/>
              <w:rPr/>
            </w:pPr>
            <w:r>
              <w:rPr/>
              <w:t>All fields nullable</w:t>
            </w:r>
          </w:p>
        </w:tc>
        <w:tc>
          <w:tcPr>
            <w:tcW w:w="5914" w:type="dxa"/>
            <w:tcBorders/>
            <w:vAlign w:val="center"/>
          </w:tcPr>
          <w:p>
            <w:pPr>
              <w:pStyle w:val="TableContents"/>
              <w:bidi w:val="0"/>
              <w:spacing w:before="0" w:after="283"/>
              <w:jc w:val="left"/>
              <w:rPr/>
            </w:pPr>
            <w:r>
              <w:rPr/>
              <w:t>Bronze accepts whatever arrives; enforcement is silver's job.</w:t>
            </w:r>
          </w:p>
        </w:tc>
      </w:tr>
    </w:tbl>
    <w:p>
      <w:pPr>
        <w:pStyle w:val="Heading2"/>
        <w:bidi w:val="0"/>
        <w:jc w:val="left"/>
        <w:rPr/>
      </w:pPr>
      <w:r>
        <w:rPr/>
        <w:t>Knock-on effects</w:t>
      </w:r>
    </w:p>
    <w:tbl>
      <w:tblPr>
        <w:tblW w:w="8982" w:type="dxa"/>
        <w:jc w:val="left"/>
        <w:tblInd w:w="28" w:type="dxa"/>
        <w:tblLayout w:type="fixed"/>
        <w:tblCellMar>
          <w:top w:w="28" w:type="dxa"/>
          <w:left w:w="28" w:type="dxa"/>
          <w:bottom w:w="28" w:type="dxa"/>
          <w:right w:w="28" w:type="dxa"/>
        </w:tblCellMar>
      </w:tblPr>
      <w:tblGrid>
        <w:gridCol w:w="2166"/>
        <w:gridCol w:w="6816"/>
      </w:tblGrid>
      <w:tr>
        <w:trPr/>
        <w:tc>
          <w:tcPr>
            <w:tcW w:w="2166" w:type="dxa"/>
            <w:tcBorders/>
            <w:vAlign w:val="center"/>
          </w:tcPr>
          <w:p>
            <w:pPr>
              <w:pStyle w:val="TableHeading"/>
              <w:suppressLineNumbers/>
              <w:bidi w:val="0"/>
              <w:spacing w:before="0" w:after="283"/>
              <w:jc w:val="left"/>
              <w:rPr/>
            </w:pPr>
            <w:r>
              <w:rPr/>
              <w:t>Item</w:t>
            </w:r>
          </w:p>
        </w:tc>
        <w:tc>
          <w:tcPr>
            <w:tcW w:w="6816" w:type="dxa"/>
            <w:tcBorders/>
            <w:vAlign w:val="center"/>
          </w:tcPr>
          <w:p>
            <w:pPr>
              <w:pStyle w:val="TableHeading"/>
              <w:suppressLineNumbers/>
              <w:bidi w:val="0"/>
              <w:spacing w:before="0" w:after="283"/>
              <w:jc w:val="left"/>
              <w:rPr/>
            </w:pPr>
            <w:r>
              <w:rPr/>
              <w:t>Resolution</w:t>
            </w:r>
          </w:p>
        </w:tc>
      </w:tr>
      <w:tr>
        <w:trPr/>
        <w:tc>
          <w:tcPr>
            <w:tcW w:w="2166" w:type="dxa"/>
            <w:tcBorders/>
            <w:vAlign w:val="center"/>
          </w:tcPr>
          <w:p>
            <w:pPr>
              <w:pStyle w:val="TableContents"/>
              <w:bidi w:val="0"/>
              <w:spacing w:before="0" w:after="283"/>
              <w:ind w:hanging="0" w:left="0" w:right="0"/>
              <w:jc w:val="left"/>
              <w:rPr/>
            </w:pPr>
            <w:r>
              <w:rPr/>
              <w:t xml:space="preserve">Open question: </w:t>
            </w:r>
            <w:r>
              <w:rPr>
                <w:rStyle w:val="SourceText"/>
              </w:rPr>
              <w:t>DOUBLE</w:t>
            </w:r>
            <w:r>
              <w:rPr/>
              <w:t xml:space="preserve"> vs </w:t>
            </w:r>
            <w:r>
              <w:rPr>
                <w:rStyle w:val="SourceText"/>
              </w:rPr>
              <w:t>DECIMAL</w:t>
            </w:r>
            <w:r>
              <w:rPr/>
              <w:t xml:space="preserve"> for </w:t>
            </w:r>
            <w:r>
              <w:rPr>
                <w:rStyle w:val="SourceText"/>
              </w:rPr>
              <w:t>amount</w:t>
            </w:r>
            <w:r>
              <w:rPr/>
              <w:t xml:space="preserve"> (Note 05)</w:t>
            </w:r>
          </w:p>
        </w:tc>
        <w:tc>
          <w:tcPr>
            <w:tcW w:w="6816" w:type="dxa"/>
            <w:tcBorders/>
            <w:vAlign w:val="center"/>
          </w:tcPr>
          <w:p>
            <w:pPr>
              <w:pStyle w:val="TableContents"/>
              <w:bidi w:val="0"/>
              <w:spacing w:before="0" w:after="283"/>
              <w:jc w:val="left"/>
              <w:rPr/>
            </w:pPr>
            <w:r>
              <w:rPr>
                <w:color w:val="2E7D32"/>
              </w:rPr>
              <w:t xml:space="preserve">Dissolved at bronze. It becomes a </w:t>
            </w:r>
            <w:r>
              <w:rPr>
                <w:rStyle w:val="Strong"/>
                <w:color w:val="2E7D32"/>
              </w:rPr>
              <w:t>silver</w:t>
            </w:r>
            <w:r>
              <w:rPr>
                <w:color w:val="2E7D32"/>
              </w:rPr>
              <w:t xml:space="preserve"> decision, made where transformation is permitted.</w:t>
            </w:r>
          </w:p>
        </w:tc>
      </w:tr>
      <w:tr>
        <w:trPr/>
        <w:tc>
          <w:tcPr>
            <w:tcW w:w="2166" w:type="dxa"/>
            <w:tcBorders/>
            <w:vAlign w:val="center"/>
          </w:tcPr>
          <w:p>
            <w:pPr>
              <w:pStyle w:val="TableContents"/>
              <w:bidi w:val="0"/>
              <w:spacing w:before="0" w:after="283"/>
              <w:jc w:val="left"/>
              <w:rPr/>
            </w:pPr>
            <w:r>
              <w:rPr/>
              <w:t>Note 05's "amount sorts wrong" lesson</w:t>
            </w:r>
          </w:p>
        </w:tc>
        <w:tc>
          <w:tcPr>
            <w:tcW w:w="6816" w:type="dxa"/>
            <w:tcBorders/>
            <w:vAlign w:val="center"/>
          </w:tcPr>
          <w:p>
            <w:pPr>
              <w:pStyle w:val="TableContents"/>
              <w:bidi w:val="0"/>
              <w:spacing w:before="0" w:after="283"/>
              <w:jc w:val="left"/>
              <w:rPr/>
            </w:pPr>
            <w:r>
              <w:rPr/>
              <w:t xml:space="preserve">Still true, and now a </w:t>
            </w:r>
            <w:r>
              <w:rPr>
                <w:rStyle w:val="Emphasis"/>
              </w:rPr>
              <w:t>known, accepted property</w:t>
            </w:r>
            <w:r>
              <w:rPr/>
              <w:t xml:space="preserve"> of bronze rather than a bug. Nobody runs analytics against bronze. Silver's casting step is what fixes it — and a value that fails to cast becomes a quarantined row </w:t>
            </w:r>
            <w:r>
              <w:rPr>
                <w:rStyle w:val="Strong"/>
              </w:rPr>
              <w:t>with a reason attached</w:t>
            </w:r>
            <w:r>
              <w:rPr/>
              <w:t>, instead of a silent null.</w:t>
            </w:r>
          </w:p>
        </w:tc>
      </w:tr>
      <w:tr>
        <w:trPr/>
        <w:tc>
          <w:tcPr>
            <w:tcW w:w="2166" w:type="dxa"/>
            <w:tcBorders/>
            <w:vAlign w:val="center"/>
          </w:tcPr>
          <w:p>
            <w:pPr>
              <w:pStyle w:val="TableContents"/>
              <w:bidi w:val="0"/>
              <w:spacing w:before="0" w:after="283"/>
              <w:jc w:val="left"/>
              <w:rPr/>
            </w:pPr>
            <w:r>
              <w:rPr/>
              <w:t>Note 03 bronze schema table</w:t>
            </w:r>
          </w:p>
        </w:tc>
        <w:tc>
          <w:tcPr>
            <w:tcW w:w="6816" w:type="dxa"/>
            <w:tcBorders/>
            <w:vAlign w:val="center"/>
          </w:tcPr>
          <w:p>
            <w:pPr>
              <w:pStyle w:val="TableContents"/>
              <w:bidi w:val="0"/>
              <w:spacing w:before="0" w:after="283"/>
              <w:jc w:val="left"/>
              <w:rPr/>
            </w:pPr>
            <w:r>
              <w:rPr/>
              <w:t>Marked superseded in place; names and order still stand.</w:t>
            </w:r>
          </w:p>
        </w:tc>
      </w:tr>
    </w:tbl>
    <w:p>
      <w:pPr>
        <w:pStyle w:val="Heading2"/>
        <w:bidi w:val="0"/>
        <w:jc w:val="left"/>
        <w:rPr/>
      </w:pPr>
      <w:r>
        <w:rPr/>
        <w:t>The alternative we did not choose</w:t>
      </w:r>
    </w:p>
    <w:p>
      <w:pPr>
        <w:pStyle w:val="BodyText"/>
        <w:bidi w:val="0"/>
        <w:jc w:val="left"/>
        <w:rPr/>
      </w:pPr>
      <w:r>
        <w:rPr/>
        <w:t xml:space="preserve">A second legitimate approach keeps typed columns in bronze </w:t>
      </w:r>
      <w:r>
        <w:rPr>
          <w:rStyle w:val="Emphasis"/>
        </w:rPr>
        <w:t>and</w:t>
      </w:r>
      <w:r>
        <w:rPr/>
        <w:t xml:space="preserve"> adds a rescue mechanism — </w:t>
      </w:r>
      <w:r>
        <w:rPr>
          <w:rStyle w:val="SourceText"/>
        </w:rPr>
        <w:t>columnNameOfCorruptRecord</w:t>
      </w:r>
      <w:r>
        <w:rPr/>
        <w:t xml:space="preserve"> for CSV, or Auto Loader's </w:t>
      </w:r>
      <w:r>
        <w:rPr>
          <w:rStyle w:val="SourceText"/>
        </w:rPr>
        <w:t>_rescued_data</w:t>
      </w:r>
      <w:r>
        <w:rPr/>
        <w:t xml:space="preserve"> — so unparseable values are captured rather than destroyed. That also preserves replayability.</w:t>
      </w:r>
    </w:p>
    <w:p>
      <w:pPr>
        <w:pStyle w:val="BodyText"/>
        <w:bidi w:val="0"/>
        <w:ind w:hanging="0" w:left="0" w:right="0"/>
        <w:jc w:val="left"/>
        <w:rPr/>
      </w:pPr>
      <w:r>
        <w:rPr>
          <w:b/>
        </w:rPr>
        <w:t>What is never acceptable</w:t>
      </w:r>
      <w:r>
        <w:rPr/>
        <w:t xml:space="preserve"> is typed bronze with neither — which is exactly what the first draft of this pipeline had. Being able to explain this trade-off is worth more than having picked the fashionable option.</w:t>
      </w:r>
    </w:p>
    <w:p>
      <w:pPr>
        <w:pStyle w:val="Heading2"/>
        <w:bidi w:val="0"/>
        <w:jc w:val="left"/>
        <w:rPr/>
      </w:pPr>
      <w:r>
        <w:rPr/>
        <w:t>Sources</w:t>
      </w:r>
    </w:p>
    <w:p>
      <w:pPr>
        <w:pStyle w:val="BodyText"/>
        <w:numPr>
          <w:ilvl w:val="0"/>
          <w:numId w:val="1"/>
        </w:numPr>
        <w:tabs>
          <w:tab w:val="clear" w:pos="1134"/>
          <w:tab w:val="left" w:pos="709" w:leader="none"/>
        </w:tabs>
        <w:bidi w:val="0"/>
        <w:spacing w:before="0" w:after="0"/>
        <w:ind w:hanging="283" w:left="709"/>
        <w:jc w:val="left"/>
        <w:rPr/>
      </w:pPr>
      <w:hyperlink r:id="rId2">
        <w:r>
          <w:rPr>
            <w:rStyle w:val="Hyperlink"/>
          </w:rPr>
          <w:t>What is the medallion lakehouse architecture? — Azure Databricks, Microsoft Learn</w:t>
        </w:r>
      </w:hyperlink>
      <w:r>
        <w:rPr/>
        <w:t xml:space="preserve"> </w:t>
      </w:r>
    </w:p>
    <w:p>
      <w:pPr>
        <w:pStyle w:val="BodyText"/>
        <w:numPr>
          <w:ilvl w:val="0"/>
          <w:numId w:val="1"/>
        </w:numPr>
        <w:tabs>
          <w:tab w:val="clear" w:pos="1134"/>
          <w:tab w:val="left" w:pos="709" w:leader="none"/>
        </w:tabs>
        <w:bidi w:val="0"/>
        <w:spacing w:before="0" w:after="0"/>
        <w:ind w:hanging="283" w:left="709"/>
        <w:jc w:val="left"/>
        <w:rPr/>
      </w:pPr>
      <w:hyperlink r:id="rId3">
        <w:r>
          <w:rPr>
            <w:rStyle w:val="Hyperlink"/>
          </w:rPr>
          <w:t>What is the medallion lakehouse architecture? — Databricks on AWS</w:t>
        </w:r>
      </w:hyperlink>
      <w:r>
        <w:rPr/>
        <w:t xml:space="preserve"> </w:t>
      </w:r>
    </w:p>
    <w:p>
      <w:pPr>
        <w:pStyle w:val="BodyText"/>
        <w:numPr>
          <w:ilvl w:val="0"/>
          <w:numId w:val="1"/>
        </w:numPr>
        <w:tabs>
          <w:tab w:val="clear" w:pos="1134"/>
          <w:tab w:val="left" w:pos="709" w:leader="none"/>
        </w:tabs>
        <w:bidi w:val="0"/>
        <w:ind w:hanging="283" w:left="709"/>
        <w:jc w:val="left"/>
        <w:rPr/>
      </w:pPr>
      <w:hyperlink r:id="rId4">
        <w:r>
          <w:rPr>
            <w:rStyle w:val="Hyperlink"/>
          </w:rPr>
          <w:t>Best Practices for Designing Bronze Layer — Databricks Community</w:t>
        </w:r>
      </w:hyperlink>
      <w:r>
        <w:rPr/>
        <w:t xml:space="preserve"> </w:t>
      </w:r>
    </w:p>
    <w:p>
      <w:pPr>
        <w:pStyle w:val="BodyTextlearn"/>
        <w:bidi w:val="0"/>
        <w:jc w:val="left"/>
        <w:rPr/>
      </w:pPr>
      <w:r>
        <w:rPr>
          <w:rStyle w:val="Strong"/>
        </w:rPr>
        <w:t>You learn:</w:t>
      </w:r>
      <w:r>
        <w:rPr/>
        <w:t xml:space="preserve"> that "schema-on-read" means declaring shape without imposing types, why casting at ingestion destroys replayability, the difference between STRING / VARIANT / BINARY, and — most usefully — that a design document can contradict itself, so rules must be checked against the tables beneath them.</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08 — Idempotency: Breaking Append, Choosing replaceWhere </w:t>
      </w:r>
      <w:r>
        <w:rPr>
          <w:b w:val="false"/>
          <w:color w:val="FFFFFF"/>
        </w:rPr>
        <w:t>· August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The experiment: run the same notebook three times</w:t>
      </w:r>
    </w:p>
    <w:p>
      <w:pPr>
        <w:pStyle w:val="BodyText"/>
        <w:bidi w:val="0"/>
        <w:jc w:val="left"/>
        <w:rPr/>
      </w:pPr>
      <w:r>
        <w:rPr/>
        <w:t xml:space="preserve">The rung-1 write was </w:t>
      </w:r>
      <w:r>
        <w:rPr>
          <w:rStyle w:val="SourceText"/>
        </w:rPr>
        <w:t>mode("append")</w:t>
      </w:r>
      <w:r>
        <w:rPr/>
        <w:t>. The notebook ran three times (two on Aug 11, one on Aug 12) — each run appended the full day-1 file again. Nothing errored. The table reported June 1 as having 1,722,765 transactions when reality had 574,255. Every downstream number would inherit the 3× lie.</w:t>
      </w:r>
    </w:p>
    <w:p>
      <w:pPr>
        <w:pStyle w:val="BodyText"/>
        <w:bidi w:val="0"/>
        <w:spacing w:before="300" w:after="300"/>
        <w:ind w:hanging="0" w:left="300" w:right="300"/>
        <w:jc w:val="left"/>
        <w:rPr/>
      </w:pPr>
      <w:r>
        <w:rPr>
          <w:rStyle w:val="Strong"/>
          <w:bdr w:val="single" w:sz="2" w:space="12" w:color="000000"/>
        </w:rPr>
        <w:t>The diagnosis query, and why it worked:</w:t>
      </w:r>
    </w:p>
    <w:p>
      <w:pPr>
        <w:pStyle w:val="PreformattedText"/>
        <w:bidi w:val="0"/>
        <w:spacing w:before="300" w:after="300"/>
        <w:ind w:hanging="0" w:left="300" w:right="300"/>
        <w:jc w:val="left"/>
        <w:rPr/>
      </w:pPr>
      <w:r>
        <w:rPr>
          <w:rStyle w:val="SourceText"/>
          <w:bdr w:val="single" w:sz="2" w:space="12" w:color="000000"/>
        </w:rPr>
        <w:t>SELECT batch_date, ingest_timestamp, COUNT(*)</w:t>
      </w:r>
    </w:p>
    <w:p>
      <w:pPr>
        <w:pStyle w:val="PreformattedText"/>
        <w:bidi w:val="0"/>
        <w:spacing w:before="300" w:after="300"/>
        <w:ind w:hanging="0" w:left="300" w:right="300"/>
        <w:jc w:val="left"/>
        <w:rPr/>
      </w:pPr>
      <w:r>
        <w:rPr>
          <w:rStyle w:val="SourceText"/>
          <w:bdr w:val="single" w:sz="2" w:space="12" w:color="000000"/>
        </w:rPr>
        <w:t>FROM workspace.bronze.transactions</w:t>
      </w:r>
    </w:p>
    <w:p>
      <w:pPr>
        <w:pStyle w:val="PreformattedText"/>
        <w:bidi w:val="0"/>
        <w:spacing w:before="300" w:after="300"/>
        <w:ind w:hanging="0" w:left="300" w:right="300"/>
        <w:jc w:val="left"/>
        <w:rPr/>
      </w:pPr>
      <w:r>
        <w:rPr>
          <w:rStyle w:val="SourceText"/>
          <w:bdr w:val="single" w:sz="2" w:space="12" w:color="000000"/>
        </w:rPr>
        <w:t>GROUP BY batch_date, ingest_timestamp</w:t>
      </w:r>
    </w:p>
    <w:p>
      <w:pPr>
        <w:pStyle w:val="BodyText"/>
        <w:bidi w:val="0"/>
        <w:spacing w:before="300" w:after="300"/>
        <w:ind w:hanging="0" w:left="300" w:right="300"/>
        <w:jc w:val="left"/>
        <w:rPr/>
      </w:pPr>
      <w:r>
        <w:rPr>
          <w:rStyle w:val="SourceText"/>
          <w:bdr w:val="single" w:sz="2" w:space="12" w:color="000000"/>
        </w:rPr>
        <w:t>GROUP BY</w:t>
      </w:r>
      <w:r>
        <w:rPr>
          <w:bdr w:val="single" w:sz="2" w:space="12" w:color="000000"/>
        </w:rPr>
        <w:t xml:space="preserve"> returns one row per </w:t>
      </w:r>
      <w:r>
        <w:rPr>
          <w:rStyle w:val="Strong"/>
          <w:bdr w:val="single" w:sz="2" w:space="12" w:color="000000"/>
        </w:rPr>
        <w:t>unique combination</w:t>
      </w:r>
      <w:r>
        <w:rPr>
          <w:bdr w:val="single" w:sz="2" w:space="12" w:color="000000"/>
        </w:rPr>
        <w:t xml:space="preserve"> of the listed columns. One distinct </w:t>
      </w:r>
      <w:r>
        <w:rPr>
          <w:rStyle w:val="SourceText"/>
          <w:bdr w:val="single" w:sz="2" w:space="12" w:color="000000"/>
        </w:rPr>
        <w:t>batch_date</w:t>
      </w:r>
      <w:r>
        <w:rPr>
          <w:bdr w:val="single" w:sz="2" w:space="12" w:color="000000"/>
        </w:rPr>
        <w:t xml:space="preserve"> × three distinct </w:t>
      </w:r>
      <w:r>
        <w:rPr>
          <w:rStyle w:val="SourceText"/>
          <w:bdr w:val="single" w:sz="2" w:space="12" w:color="000000"/>
        </w:rPr>
        <w:t>ingest_timestamp</w:t>
      </w:r>
      <w:r>
        <w:rPr>
          <w:bdr w:val="single" w:sz="2" w:space="12" w:color="000000"/>
        </w:rPr>
        <w:t xml:space="preserve">s = three rows of 574,255 each — the three loads, individually visible. Grouped by </w:t>
      </w:r>
      <w:r>
        <w:rPr>
          <w:rStyle w:val="SourceText"/>
          <w:bdr w:val="single" w:sz="2" w:space="12" w:color="000000"/>
        </w:rPr>
        <w:t>batch_date</w:t>
      </w:r>
      <w:r>
        <w:rPr>
          <w:bdr w:val="single" w:sz="2" w:space="12" w:color="000000"/>
        </w:rPr>
        <w:t xml:space="preserve"> alone it would have shown a single 1.72M row and hidden the evidence. </w:t>
      </w:r>
      <w:r>
        <w:rPr>
          <w:b/>
          <w:bdr w:val="single" w:sz="2" w:space="12" w:color="000000"/>
        </w:rPr>
        <w:t>Debugging principle: group by the column that distinguishes the thing you suspect.</w:t>
      </w:r>
      <w:r>
        <w:rPr>
          <w:bdr w:val="single" w:sz="2" w:space="12" w:color="000000"/>
        </w:rPr>
        <w:t xml:space="preserve"> Suspecting multiple runs → group by the column that differs per run. This is also the audit columns paying rent: without </w:t>
      </w:r>
      <w:r>
        <w:rPr>
          <w:rStyle w:val="SourceText"/>
          <w:bdr w:val="single" w:sz="2" w:space="12" w:color="000000"/>
        </w:rPr>
        <w:t>ingest_timestamp</w:t>
      </w:r>
      <w:r>
        <w:rPr>
          <w:bdr w:val="single" w:sz="2" w:space="12" w:color="000000"/>
        </w:rPr>
        <w:t>, the three loads would be indistinguishable.</w:t>
      </w:r>
    </w:p>
    <w:p>
      <w:pPr>
        <w:pStyle w:val="Heading2"/>
        <w:bidi w:val="0"/>
        <w:ind w:hanging="0"/>
        <w:jc w:val="left"/>
        <w:rPr/>
      </w:pPr>
      <w:r>
        <w:rPr/>
        <w:t>Why not UPSERT/MERGE (the course's answer)</w:t>
      </w:r>
    </w:p>
    <w:tbl>
      <w:tblPr>
        <w:tblW w:w="8982" w:type="dxa"/>
        <w:jc w:val="left"/>
        <w:tblInd w:w="28" w:type="dxa"/>
        <w:tblLayout w:type="fixed"/>
        <w:tblCellMar>
          <w:top w:w="28" w:type="dxa"/>
          <w:left w:w="28" w:type="dxa"/>
          <w:bottom w:w="28" w:type="dxa"/>
          <w:right w:w="28" w:type="dxa"/>
        </w:tblCellMar>
      </w:tblPr>
      <w:tblGrid>
        <w:gridCol w:w="2279"/>
        <w:gridCol w:w="6703"/>
      </w:tblGrid>
      <w:tr>
        <w:trPr/>
        <w:tc>
          <w:tcPr>
            <w:tcW w:w="2279" w:type="dxa"/>
            <w:tcBorders/>
            <w:vAlign w:val="center"/>
          </w:tcPr>
          <w:p>
            <w:pPr>
              <w:pStyle w:val="TableHeading"/>
              <w:suppressLineNumbers/>
              <w:bidi w:val="0"/>
              <w:spacing w:before="0" w:after="283"/>
              <w:jc w:val="left"/>
              <w:rPr/>
            </w:pPr>
            <w:r>
              <w:rPr/>
              <w:t>Consideration</w:t>
            </w:r>
          </w:p>
        </w:tc>
        <w:tc>
          <w:tcPr>
            <w:tcW w:w="6703" w:type="dxa"/>
            <w:tcBorders/>
            <w:vAlign w:val="center"/>
          </w:tcPr>
          <w:p>
            <w:pPr>
              <w:pStyle w:val="TableHeading"/>
              <w:suppressLineNumbers/>
              <w:bidi w:val="0"/>
              <w:spacing w:before="0" w:after="283"/>
              <w:jc w:val="left"/>
              <w:rPr/>
            </w:pPr>
            <w:r>
              <w:rPr/>
              <w:t>Finding for our source</w:t>
            </w:r>
          </w:p>
        </w:tc>
      </w:tr>
      <w:tr>
        <w:trPr/>
        <w:tc>
          <w:tcPr>
            <w:tcW w:w="2279" w:type="dxa"/>
            <w:tcBorders/>
            <w:vAlign w:val="center"/>
          </w:tcPr>
          <w:p>
            <w:pPr>
              <w:pStyle w:val="TableContents"/>
              <w:bidi w:val="0"/>
              <w:spacing w:before="0" w:after="283"/>
              <w:jc w:val="left"/>
              <w:rPr/>
            </w:pPr>
            <w:r>
              <w:rPr/>
              <w:t>What MERGE is for</w:t>
            </w:r>
          </w:p>
        </w:tc>
        <w:tc>
          <w:tcPr>
            <w:tcW w:w="6703" w:type="dxa"/>
            <w:tcBorders/>
            <w:vAlign w:val="center"/>
          </w:tcPr>
          <w:p>
            <w:pPr>
              <w:pStyle w:val="TableContents"/>
              <w:bidi w:val="0"/>
              <w:spacing w:before="0" w:after="283"/>
              <w:jc w:val="left"/>
              <w:rPr/>
            </w:pPr>
            <w:r>
              <w:rPr/>
              <w:t xml:space="preserve">Sources whose rows </w:t>
            </w:r>
            <w:r>
              <w:rPr>
                <w:rStyle w:val="Emphasis"/>
              </w:rPr>
              <w:t>change</w:t>
            </w:r>
            <w:r>
              <w:rPr/>
              <w:t>: customer addresses, order statuses. Incoming rows carry corrections; match on a key, update matches, insert the rest.</w:t>
            </w:r>
          </w:p>
        </w:tc>
      </w:tr>
      <w:tr>
        <w:trPr/>
        <w:tc>
          <w:tcPr>
            <w:tcW w:w="2279" w:type="dxa"/>
            <w:tcBorders/>
            <w:vAlign w:val="center"/>
          </w:tcPr>
          <w:p>
            <w:pPr>
              <w:pStyle w:val="TableContents"/>
              <w:bidi w:val="0"/>
              <w:spacing w:before="0" w:after="283"/>
              <w:jc w:val="left"/>
              <w:rPr/>
            </w:pPr>
            <w:r>
              <w:rPr/>
              <w:t>Our source (Note 03 interview)</w:t>
            </w:r>
          </w:p>
        </w:tc>
        <w:tc>
          <w:tcPr>
            <w:tcW w:w="6703" w:type="dxa"/>
            <w:tcBorders/>
            <w:vAlign w:val="center"/>
          </w:tcPr>
          <w:p>
            <w:pPr>
              <w:pStyle w:val="TableContents"/>
              <w:bidi w:val="0"/>
              <w:spacing w:before="0" w:after="283"/>
              <w:jc w:val="left"/>
              <w:rPr/>
            </w:pPr>
            <w:r>
              <w:rPr/>
              <w:t xml:space="preserve">Append-only </w:t>
            </w:r>
            <w:r>
              <w:rPr>
                <w:rStyle w:val="Strong"/>
              </w:rPr>
              <w:t>event data</w:t>
            </w:r>
            <w:r>
              <w:rPr/>
              <w:t>. A transaction never changes after it happens. There is nothing to update, ever.</w:t>
            </w:r>
          </w:p>
        </w:tc>
      </w:tr>
      <w:tr>
        <w:trPr/>
        <w:tc>
          <w:tcPr>
            <w:tcW w:w="2279" w:type="dxa"/>
            <w:tcBorders/>
            <w:vAlign w:val="center"/>
          </w:tcPr>
          <w:p>
            <w:pPr>
              <w:pStyle w:val="TableContents"/>
              <w:bidi w:val="0"/>
              <w:spacing w:before="0" w:after="283"/>
              <w:jc w:val="left"/>
              <w:rPr/>
            </w:pPr>
            <w:r>
              <w:rPr/>
              <w:t>Our actual disease</w:t>
            </w:r>
          </w:p>
        </w:tc>
        <w:tc>
          <w:tcPr>
            <w:tcW w:w="6703" w:type="dxa"/>
            <w:tcBorders/>
            <w:vAlign w:val="center"/>
          </w:tcPr>
          <w:p>
            <w:pPr>
              <w:pStyle w:val="TableContents"/>
              <w:bidi w:val="0"/>
              <w:spacing w:before="0" w:after="283"/>
              <w:jc w:val="left"/>
              <w:rPr/>
            </w:pPr>
            <w:r>
              <w:rPr/>
              <w:t xml:space="preserve">Not "rows arrived with new versions" — </w:t>
            </w:r>
            <w:r>
              <w:rPr>
                <w:rStyle w:val="Strong"/>
              </w:rPr>
              <w:t>"the same file got loaded twice."</w:t>
            </w:r>
            <w:r>
              <w:rPr/>
              <w:t xml:space="preserve"> Different disease, different cure.</w:t>
            </w:r>
          </w:p>
        </w:tc>
      </w:tr>
      <w:tr>
        <w:trPr/>
        <w:tc>
          <w:tcPr>
            <w:tcW w:w="2279" w:type="dxa"/>
            <w:tcBorders/>
            <w:vAlign w:val="center"/>
          </w:tcPr>
          <w:p>
            <w:pPr>
              <w:pStyle w:val="TableContents"/>
              <w:bidi w:val="0"/>
              <w:spacing w:before="0" w:after="283"/>
              <w:jc w:val="left"/>
              <w:rPr/>
            </w:pPr>
            <w:r>
              <w:rPr/>
              <w:t>The killer: no key</w:t>
            </w:r>
          </w:p>
        </w:tc>
        <w:tc>
          <w:tcPr>
            <w:tcW w:w="6703" w:type="dxa"/>
            <w:tcBorders/>
            <w:vAlign w:val="center"/>
          </w:tcPr>
          <w:p>
            <w:pPr>
              <w:pStyle w:val="TableContents"/>
              <w:bidi w:val="0"/>
              <w:spacing w:before="0" w:after="283"/>
              <w:ind w:hanging="0" w:left="0" w:right="0"/>
              <w:jc w:val="left"/>
              <w:rPr/>
            </w:pPr>
            <w:r>
              <w:rPr/>
              <w:t>PaySim has no transaction ID. A composite key (</w:t>
            </w:r>
            <w:r>
              <w:rPr>
                <w:rStyle w:val="SourceText"/>
              </w:rPr>
              <w:t>nameOrig + step + amount + nameDest</w:t>
            </w:r>
            <w:r>
              <w:rPr/>
              <w:t xml:space="preserve">) would collide on two </w:t>
            </w:r>
            <w:r>
              <w:rPr>
                <w:rStyle w:val="Emphasis"/>
              </w:rPr>
              <w:t>legitimate</w:t>
            </w:r>
            <w:r>
              <w:rPr/>
              <w:t xml:space="preserve"> identical payments in the same hour — MERGE would silently drop real data. </w:t>
            </w:r>
            <w:r>
              <w:rPr>
                <w:b/>
              </w:rPr>
              <w:t>An UPSERT without a trustworthy key quietly destroys data — worse than a visible triple-load.</w:t>
            </w:r>
          </w:p>
        </w:tc>
      </w:tr>
    </w:tbl>
    <w:p>
      <w:pPr>
        <w:pStyle w:val="BodyText"/>
        <w:bidi w:val="0"/>
        <w:jc w:val="left"/>
        <w:rPr/>
      </w:pPr>
      <w:r>
        <w:rPr>
          <w:rStyle w:val="Strong"/>
        </w:rPr>
        <w:t>Conclusion:</w:t>
      </w:r>
      <w:r>
        <w:rPr/>
        <w:t xml:space="preserve"> for a file-drop source, the unit of idempotency is the </w:t>
      </w:r>
      <w:r>
        <w:rPr>
          <w:rStyle w:val="Strong"/>
        </w:rPr>
        <w:t>batch</w:t>
      </w:r>
      <w:r>
        <w:rPr/>
        <w:t>, not the row. Row-level MERGE enters later (gold aggregates are genuinely mutable; real sources have real keys). Same toolbox, different shelf.</w:t>
      </w:r>
    </w:p>
    <w:p>
      <w:pPr>
        <w:pStyle w:val="Heading2"/>
        <w:bidi w:val="0"/>
        <w:jc w:val="left"/>
        <w:rPr/>
      </w:pPr>
      <w:r>
        <w:rPr/>
        <w:t>The fix: scoped overwrite</w:t>
      </w:r>
    </w:p>
    <w:p>
      <w:pPr>
        <w:pStyle w:val="PreformattedText"/>
        <w:bidi w:val="0"/>
        <w:jc w:val="left"/>
        <w:rPr/>
      </w:pPr>
      <w:r>
        <w:rPr>
          <w:rStyle w:val="SourceText"/>
        </w:rPr>
        <w:t>(bronze_df.write</w:t>
      </w:r>
    </w:p>
    <w:p>
      <w:pPr>
        <w:pStyle w:val="PreformattedText"/>
        <w:bidi w:val="0"/>
        <w:jc w:val="left"/>
        <w:rPr/>
      </w:pPr>
      <w:r>
        <w:rPr>
          <w:rStyle w:val="SourceText"/>
        </w:rPr>
        <w:t xml:space="preserve">    </w:t>
      </w:r>
      <w:r>
        <w:rPr>
          <w:rStyle w:val="SourceText"/>
        </w:rPr>
        <w:t>.format("delta")</w:t>
      </w:r>
    </w:p>
    <w:p>
      <w:pPr>
        <w:pStyle w:val="PreformattedText"/>
        <w:bidi w:val="0"/>
        <w:jc w:val="left"/>
        <w:rPr/>
      </w:pPr>
      <w:r>
        <w:rPr>
          <w:rStyle w:val="SourceText"/>
        </w:rPr>
        <w:t xml:space="preserve">    </w:t>
      </w:r>
      <w:r>
        <w:rPr>
          <w:rStyle w:val="SourceText"/>
        </w:rPr>
        <w:t>.mode("overwrite")</w:t>
      </w:r>
    </w:p>
    <w:p>
      <w:pPr>
        <w:pStyle w:val="PreformattedText"/>
        <w:bidi w:val="0"/>
        <w:jc w:val="left"/>
        <w:rPr/>
      </w:pPr>
      <w:r>
        <w:rPr>
          <w:rStyle w:val="SourceText"/>
        </w:rPr>
        <w:t xml:space="preserve">    </w:t>
      </w:r>
      <w:r>
        <w:rPr>
          <w:rStyle w:val="SourceText"/>
        </w:rPr>
        <w:t>.option("replaceWhere", f"batch_date='{batch_date}'")</w:t>
      </w:r>
    </w:p>
    <w:p>
      <w:pPr>
        <w:pStyle w:val="PreformattedText"/>
        <w:bidi w:val="0"/>
        <w:spacing w:before="0" w:after="283"/>
        <w:jc w:val="left"/>
        <w:rPr/>
      </w:pPr>
      <w:r>
        <w:rPr>
          <w:rStyle w:val="SourceText"/>
        </w:rPr>
        <w:t xml:space="preserve">    </w:t>
      </w:r>
      <w:r>
        <w:rPr>
          <w:rStyle w:val="SourceText"/>
        </w:rPr>
        <w:t>.saveAsTable(table_name))</w:t>
      </w:r>
    </w:p>
    <w:tbl>
      <w:tblPr>
        <w:tblW w:w="8982" w:type="dxa"/>
        <w:jc w:val="left"/>
        <w:tblInd w:w="28" w:type="dxa"/>
        <w:tblLayout w:type="fixed"/>
        <w:tblCellMar>
          <w:top w:w="28" w:type="dxa"/>
          <w:left w:w="28" w:type="dxa"/>
          <w:bottom w:w="28" w:type="dxa"/>
          <w:right w:w="28" w:type="dxa"/>
        </w:tblCellMar>
      </w:tblPr>
      <w:tblGrid>
        <w:gridCol w:w="2277"/>
        <w:gridCol w:w="6705"/>
      </w:tblGrid>
      <w:tr>
        <w:trPr/>
        <w:tc>
          <w:tcPr>
            <w:tcW w:w="2277" w:type="dxa"/>
            <w:tcBorders/>
            <w:vAlign w:val="center"/>
          </w:tcPr>
          <w:p>
            <w:pPr>
              <w:pStyle w:val="TableHeading"/>
              <w:suppressLineNumbers/>
              <w:bidi w:val="0"/>
              <w:spacing w:before="0" w:after="283"/>
              <w:jc w:val="left"/>
              <w:rPr/>
            </w:pPr>
            <w:r>
              <w:rPr/>
              <w:t>Question</w:t>
            </w:r>
          </w:p>
        </w:tc>
        <w:tc>
          <w:tcPr>
            <w:tcW w:w="6705" w:type="dxa"/>
            <w:tcBorders/>
            <w:vAlign w:val="center"/>
          </w:tcPr>
          <w:p>
            <w:pPr>
              <w:pStyle w:val="TableHeading"/>
              <w:suppressLineNumbers/>
              <w:bidi w:val="0"/>
              <w:spacing w:before="0" w:after="283"/>
              <w:jc w:val="left"/>
              <w:rPr/>
            </w:pPr>
            <w:r>
              <w:rPr/>
              <w:t>Answer</w:t>
            </w:r>
          </w:p>
        </w:tc>
      </w:tr>
      <w:tr>
        <w:trPr/>
        <w:tc>
          <w:tcPr>
            <w:tcW w:w="2277" w:type="dxa"/>
            <w:tcBorders/>
            <w:vAlign w:val="center"/>
          </w:tcPr>
          <w:p>
            <w:pPr>
              <w:pStyle w:val="TableContents"/>
              <w:bidi w:val="0"/>
              <w:spacing w:before="0" w:after="283"/>
              <w:jc w:val="left"/>
              <w:rPr/>
            </w:pPr>
            <w:r>
              <w:rPr/>
              <w:t xml:space="preserve">What does </w:t>
            </w:r>
            <w:r>
              <w:rPr>
                <w:rStyle w:val="SourceText"/>
              </w:rPr>
              <w:t>replaceWhere</w:t>
            </w:r>
            <w:r>
              <w:rPr/>
              <w:t xml:space="preserve"> do?</w:t>
            </w:r>
          </w:p>
        </w:tc>
        <w:tc>
          <w:tcPr>
            <w:tcW w:w="6705" w:type="dxa"/>
            <w:tcBorders/>
            <w:vAlign w:val="center"/>
          </w:tcPr>
          <w:p>
            <w:pPr>
              <w:pStyle w:val="TableContents"/>
              <w:bidi w:val="0"/>
              <w:spacing w:before="0" w:after="283"/>
              <w:jc w:val="left"/>
              <w:rPr/>
            </w:pPr>
            <w:r>
              <w:rPr/>
              <w:t xml:space="preserve">One atomic transaction: </w:t>
            </w:r>
            <w:r>
              <w:rPr>
                <w:rStyle w:val="Emphasis"/>
              </w:rPr>
              <w:t>delete every existing row matching the predicate, insert the incoming rows.</w:t>
            </w:r>
            <w:r>
              <w:rPr/>
              <w:t xml:space="preserve"> Scope: only </w:t>
            </w:r>
            <w:r>
              <w:rPr>
                <w:rStyle w:val="SourceText"/>
              </w:rPr>
              <w:t>batch_date='2026-06-01'</w:t>
            </w:r>
            <w:r>
              <w:rPr/>
              <w:t>. Other days untouched.</w:t>
            </w:r>
          </w:p>
        </w:tc>
      </w:tr>
      <w:tr>
        <w:trPr/>
        <w:tc>
          <w:tcPr>
            <w:tcW w:w="2277" w:type="dxa"/>
            <w:tcBorders/>
            <w:vAlign w:val="center"/>
          </w:tcPr>
          <w:p>
            <w:pPr>
              <w:pStyle w:val="TableContents"/>
              <w:bidi w:val="0"/>
              <w:spacing w:before="0" w:after="283"/>
              <w:jc w:val="left"/>
              <w:rPr/>
            </w:pPr>
            <w:r>
              <w:rPr/>
              <w:t>How did one run clean up 1.72M rows?</w:t>
            </w:r>
          </w:p>
        </w:tc>
        <w:tc>
          <w:tcPr>
            <w:tcW w:w="6705" w:type="dxa"/>
            <w:tcBorders/>
            <w:vAlign w:val="center"/>
          </w:tcPr>
          <w:p>
            <w:pPr>
              <w:pStyle w:val="TableContents"/>
              <w:bidi w:val="0"/>
              <w:spacing w:before="0" w:after="283"/>
              <w:jc w:val="left"/>
              <w:rPr/>
            </w:pPr>
            <w:r>
              <w:rPr/>
              <w:t xml:space="preserve">All three loads carried the same </w:t>
            </w:r>
            <w:r>
              <w:rPr>
                <w:rStyle w:val="SourceText"/>
              </w:rPr>
              <w:t>batch_date</w:t>
            </w:r>
            <w:r>
              <w:rPr/>
              <w:t xml:space="preserve"> — so all 1,722,765 rows matched the predicate, were removed, and were replaced by one fresh 574,255. The mess and the fix used the same mechanism.</w:t>
            </w:r>
          </w:p>
        </w:tc>
      </w:tr>
      <w:tr>
        <w:trPr/>
        <w:tc>
          <w:tcPr>
            <w:tcW w:w="2277" w:type="dxa"/>
            <w:tcBorders/>
            <w:vAlign w:val="center"/>
          </w:tcPr>
          <w:p>
            <w:pPr>
              <w:pStyle w:val="TableContents"/>
              <w:bidi w:val="0"/>
              <w:spacing w:before="0" w:after="283"/>
              <w:jc w:val="left"/>
              <w:rPr/>
            </w:pPr>
            <w:r>
              <w:rPr/>
              <w:t xml:space="preserve">Why </w:t>
            </w:r>
            <w:r>
              <w:rPr>
                <w:rStyle w:val="SourceText"/>
              </w:rPr>
              <w:t>overwrite</w:t>
            </w:r>
            <w:r>
              <w:rPr/>
              <w:t xml:space="preserve"> and not </w:t>
            </w:r>
            <w:r>
              <w:rPr>
                <w:rStyle w:val="SourceText"/>
              </w:rPr>
              <w:t>append</w:t>
            </w:r>
            <w:r>
              <w:rPr/>
              <w:t>?</w:t>
            </w:r>
          </w:p>
        </w:tc>
        <w:tc>
          <w:tcPr>
            <w:tcW w:w="6705" w:type="dxa"/>
            <w:tcBorders/>
            <w:vAlign w:val="center"/>
          </w:tcPr>
          <w:p>
            <w:pPr>
              <w:pStyle w:val="TableContents"/>
              <w:bidi w:val="0"/>
              <w:spacing w:before="0" w:after="283"/>
              <w:jc w:val="left"/>
              <w:rPr/>
            </w:pPr>
            <w:r>
              <w:rPr>
                <w:rStyle w:val="SourceText"/>
              </w:rPr>
              <w:t>append</w:t>
            </w:r>
            <w:r>
              <w:rPr/>
              <w:t xml:space="preserve">'s contract is "add rows, </w:t>
            </w:r>
            <w:r>
              <w:rPr>
                <w:rStyle w:val="Emphasis"/>
              </w:rPr>
              <w:t>touch nothing existing</w:t>
            </w:r>
            <w:r>
              <w:rPr/>
              <w:t xml:space="preserve">" — the opposite of replacement. </w:t>
            </w:r>
            <w:r>
              <w:rPr>
                <w:rStyle w:val="SourceText"/>
              </w:rPr>
              <w:t>replaceWhere</w:t>
            </w:r>
            <w:r>
              <w:rPr/>
              <w:t xml:space="preserve"> is replacement semantics, so it belongs to the overwrite family: "the final state of this scope IS the incoming data." The two named together read oddly but mean: overwrite, </w:t>
            </w:r>
            <w:r>
              <w:rPr>
                <w:rStyle w:val="Emphasis"/>
              </w:rPr>
              <w:t>limited to the predicate</w:t>
            </w:r>
            <w:r>
              <w:rPr/>
              <w:t>.</w:t>
            </w:r>
          </w:p>
        </w:tc>
      </w:tr>
      <w:tr>
        <w:trPr/>
        <w:tc>
          <w:tcPr>
            <w:tcW w:w="2277" w:type="dxa"/>
            <w:tcBorders/>
            <w:vAlign w:val="center"/>
          </w:tcPr>
          <w:p>
            <w:pPr>
              <w:pStyle w:val="TableContents"/>
              <w:bidi w:val="0"/>
              <w:spacing w:before="0" w:after="283"/>
              <w:jc w:val="left"/>
              <w:rPr/>
            </w:pPr>
            <w:r>
              <w:rPr/>
              <w:t>Does Delta physically delete rows?</w:t>
            </w:r>
          </w:p>
        </w:tc>
        <w:tc>
          <w:tcPr>
            <w:tcW w:w="6705" w:type="dxa"/>
            <w:tcBorders/>
            <w:vAlign w:val="center"/>
          </w:tcPr>
          <w:p>
            <w:pPr>
              <w:pStyle w:val="TableContents"/>
              <w:bidi w:val="0"/>
              <w:spacing w:before="0" w:after="283"/>
              <w:jc w:val="left"/>
              <w:rPr/>
            </w:pPr>
            <w:r>
              <w:rPr/>
              <w:t>No — Delta never edits files in place. The transaction log marks the old Parquet files as removed and adds new ones. Old versions remain reachable (</w:t>
            </w:r>
            <w:r>
              <w:rPr>
                <w:rStyle w:val="SourceText"/>
              </w:rPr>
              <w:t>DESCRIBE HISTORY</w:t>
            </w:r>
            <w:r>
              <w:rPr/>
              <w:t xml:space="preserve">, time travel) until </w:t>
            </w:r>
            <w:r>
              <w:rPr>
                <w:rStyle w:val="SourceText"/>
              </w:rPr>
              <w:t>VACUUM</w:t>
            </w:r>
            <w:r>
              <w:rPr/>
              <w:t>. "Delete" is a bookkeeping entry, which is what makes the whole operation atomic.</w:t>
            </w:r>
          </w:p>
        </w:tc>
      </w:tr>
    </w:tbl>
    <w:p>
      <w:pPr>
        <w:pStyle w:val="Heading2"/>
        <w:bidi w:val="0"/>
        <w:jc w:val="left"/>
        <w:rPr/>
      </w:pPr>
      <w:r>
        <w:rPr/>
        <w:t>Proof of idempotency</w:t>
      </w:r>
    </w:p>
    <w:p>
      <w:pPr>
        <w:pStyle w:val="BodyText"/>
        <w:bidi w:val="0"/>
        <w:jc w:val="left"/>
        <w:rPr/>
      </w:pPr>
      <w:r>
        <w:rPr/>
        <w:t xml:space="preserve">Three consecutive runs of the fixed notebook → the diagnosis query returns </w:t>
      </w:r>
      <w:r>
        <w:rPr>
          <w:rStyle w:val="Strong"/>
        </w:rPr>
        <w:t>one row: 574,255</w:t>
      </w:r>
      <w:r>
        <w:rPr/>
        <w:t xml:space="preserve">, single </w:t>
      </w:r>
      <w:r>
        <w:rPr>
          <w:rStyle w:val="SourceText"/>
        </w:rPr>
        <w:t>ingest_timestamp</w:t>
      </w:r>
      <w:r>
        <w:rPr/>
        <w:t xml:space="preserve"> (the latest run's). Rerun-count no longer affects final state — the definition of idempotent.</w:t>
      </w:r>
    </w:p>
    <w:p>
      <w:pPr>
        <w:pStyle w:val="Heading2"/>
        <w:bidi w:val="0"/>
        <w:jc w:val="left"/>
        <w:rPr/>
      </w:pPr>
      <w:r>
        <w:rPr/>
        <w:t>Trade-off recorded</w:t>
      </w:r>
    </w:p>
    <w:p>
      <w:pPr>
        <w:pStyle w:val="BodyText"/>
        <w:bidi w:val="0"/>
        <w:jc w:val="left"/>
        <w:rPr/>
      </w:pPr>
      <w:r>
        <w:rPr>
          <w:rStyle w:val="SourceText"/>
        </w:rPr>
        <w:t>replaceWhere</w:t>
      </w:r>
      <w:r>
        <w:rPr/>
        <w:t xml:space="preserve"> reruns </w:t>
      </w:r>
      <w:r>
        <w:rPr>
          <w:rStyle w:val="Emphasis"/>
        </w:rPr>
        <w:t>rewrite</w:t>
      </w:r>
      <w:r>
        <w:rPr/>
        <w:t xml:space="preserve"> the batch (new </w:t>
      </w:r>
      <w:r>
        <w:rPr>
          <w:rStyle w:val="SourceText"/>
        </w:rPr>
        <w:t>ingest_timestamp</w:t>
      </w:r>
      <w:r>
        <w:rPr/>
        <w:t xml:space="preserve">, new files). The alternative — a processed-files log in </w:t>
      </w:r>
      <w:r>
        <w:rPr>
          <w:rStyle w:val="SourceText"/>
        </w:rPr>
        <w:t>ops</w:t>
      </w:r>
      <w:r>
        <w:rPr/>
        <w:t xml:space="preserve"> that </w:t>
      </w:r>
      <w:r>
        <w:rPr>
          <w:rStyle w:val="Emphasis"/>
        </w:rPr>
        <w:t>skips</w:t>
      </w:r>
      <w:r>
        <w:rPr/>
        <w:t xml:space="preserve"> known files — never rewrites but needs an extra table and check. Chosen: </w:t>
      </w:r>
      <w:r>
        <w:rPr>
          <w:rStyle w:val="SourceText"/>
        </w:rPr>
        <w:t>replaceWhere</w:t>
      </w:r>
      <w:r>
        <w:rPr/>
        <w:t xml:space="preserve"> for simplicity; the </w:t>
      </w:r>
      <w:r>
        <w:rPr>
          <w:rStyle w:val="SourceText"/>
        </w:rPr>
        <w:t>ops</w:t>
      </w:r>
      <w:r>
        <w:rPr/>
        <w:t xml:space="preserve"> log arrives later for observability, not dedup. Rung 3 (</w:t>
      </w:r>
      <w:r>
        <w:rPr>
          <w:rStyle w:val="SourceText"/>
        </w:rPr>
        <w:t>COPY INTO</w:t>
      </w:r>
      <w:r>
        <w:rPr/>
        <w:t>) automates file tracking; rung 4 (Auto Loader) adds checkpoints — both are this same idea with more machinery.</w:t>
      </w:r>
    </w:p>
    <w:p>
      <w:pPr>
        <w:pStyle w:val="BodyTextlearn"/>
        <w:bidi w:val="0"/>
        <w:jc w:val="left"/>
        <w:rPr/>
      </w:pPr>
      <w:r>
        <w:rPr>
          <w:rStyle w:val="Strong"/>
        </w:rPr>
        <w:t>You learn:</w:t>
      </w:r>
      <w:r>
        <w:rPr/>
        <w:t xml:space="preserve"> idempotency as the core ingestion property, GROUP BY as a debugging instrument, why event data doesn't get UPSERTed and keyless MERGE is dangerous, replaceWhere's atomic delete-and-insert semantics, and Delta's transaction log making "delete" a metadata operation.</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09 — Profiling Results &amp; What Fraud Actually Means </w:t>
      </w:r>
      <w:r>
        <w:rPr>
          <w:b w:val="false"/>
          <w:color w:val="FFFFFF"/>
        </w:rPr>
        <w:t>· August 2026</w:t>
      </w:r>
    </w:p>
    <w:p>
      <w:pPr>
        <w:sectPr>
          <w:type w:val="continuous"/>
          <w:pgSz w:w="11906" w:h="16838"/>
          <w:pgMar w:left="1134" w:right="567" w:gutter="0" w:header="0" w:top="567" w:footer="0" w:bottom="567"/>
          <w:formProt w:val="false"/>
          <w:textDirection w:val="lrTb"/>
          <w:docGrid w:type="default" w:linePitch="600" w:charSpace="32768"/>
        </w:sectPr>
      </w:pPr>
    </w:p>
    <w:p>
      <w:pPr>
        <w:pStyle w:val="BodyText"/>
        <w:bidi w:val="0"/>
        <w:jc w:val="left"/>
        <w:rPr/>
      </w:pPr>
      <w:r>
        <w:rPr/>
        <w:t xml:space="preserve">Seven queries run against 1,068,592 bronze rows (batches 2026-06-01 → 06-05). Method: </w:t>
      </w:r>
      <w:r>
        <w:rPr>
          <w:rStyle w:val="Strong"/>
        </w:rPr>
        <w:t>predict first, then query</w:t>
      </w:r>
      <w:r>
        <w:rPr/>
        <w:t xml:space="preserve"> — a surprise only counts if you committed to an expectation.</w:t>
      </w:r>
    </w:p>
    <w:p>
      <w:pPr>
        <w:pStyle w:val="Heading2"/>
        <w:bidi w:val="0"/>
        <w:jc w:val="left"/>
        <w:rPr/>
      </w:pPr>
      <w:r>
        <w:rPr/>
        <w:t>The eight findings</w:t>
      </w:r>
    </w:p>
    <w:tbl>
      <w:tblPr>
        <w:tblW w:w="8982" w:type="dxa"/>
        <w:jc w:val="left"/>
        <w:tblInd w:w="28" w:type="dxa"/>
        <w:tblLayout w:type="fixed"/>
        <w:tblCellMar>
          <w:top w:w="28" w:type="dxa"/>
          <w:left w:w="28" w:type="dxa"/>
          <w:bottom w:w="28" w:type="dxa"/>
          <w:right w:w="28" w:type="dxa"/>
        </w:tblCellMar>
      </w:tblPr>
      <w:tblGrid>
        <w:gridCol w:w="322"/>
        <w:gridCol w:w="3476"/>
        <w:gridCol w:w="5184"/>
      </w:tblGrid>
      <w:tr>
        <w:trPr/>
        <w:tc>
          <w:tcPr>
            <w:tcW w:w="322" w:type="dxa"/>
            <w:tcBorders/>
            <w:vAlign w:val="center"/>
          </w:tcPr>
          <w:p>
            <w:pPr>
              <w:pStyle w:val="TableHeading"/>
              <w:suppressLineNumbers/>
              <w:bidi w:val="0"/>
              <w:spacing w:before="0" w:after="283"/>
              <w:jc w:val="left"/>
              <w:rPr/>
            </w:pPr>
            <w:r>
              <w:rPr/>
              <w:t>#</w:t>
            </w:r>
          </w:p>
        </w:tc>
        <w:tc>
          <w:tcPr>
            <w:tcW w:w="3476" w:type="dxa"/>
            <w:tcBorders/>
            <w:vAlign w:val="center"/>
          </w:tcPr>
          <w:p>
            <w:pPr>
              <w:pStyle w:val="TableHeading"/>
              <w:suppressLineNumbers/>
              <w:bidi w:val="0"/>
              <w:spacing w:before="0" w:after="283"/>
              <w:jc w:val="left"/>
              <w:rPr/>
            </w:pPr>
            <w:r>
              <w:rPr/>
              <w:t>Finding</w:t>
            </w:r>
          </w:p>
        </w:tc>
        <w:tc>
          <w:tcPr>
            <w:tcW w:w="5184" w:type="dxa"/>
            <w:tcBorders/>
            <w:vAlign w:val="center"/>
          </w:tcPr>
          <w:p>
            <w:pPr>
              <w:pStyle w:val="TableHeading"/>
              <w:suppressLineNumbers/>
              <w:bidi w:val="0"/>
              <w:spacing w:before="0" w:after="283"/>
              <w:jc w:val="left"/>
              <w:rPr/>
            </w:pPr>
            <w:r>
              <w:rPr/>
              <w:t>Consequence</w:t>
            </w:r>
          </w:p>
        </w:tc>
      </w:tr>
      <w:tr>
        <w:trPr/>
        <w:tc>
          <w:tcPr>
            <w:tcW w:w="322" w:type="dxa"/>
            <w:tcBorders/>
            <w:vAlign w:val="center"/>
          </w:tcPr>
          <w:p>
            <w:pPr>
              <w:pStyle w:val="TableContents"/>
              <w:bidi w:val="0"/>
              <w:spacing w:before="0" w:after="283"/>
              <w:jc w:val="left"/>
              <w:rPr/>
            </w:pPr>
            <w:r>
              <w:rPr/>
              <w:t>1</w:t>
            </w:r>
          </w:p>
        </w:tc>
        <w:tc>
          <w:tcPr>
            <w:tcW w:w="3476" w:type="dxa"/>
            <w:tcBorders/>
            <w:vAlign w:val="center"/>
          </w:tcPr>
          <w:p>
            <w:pPr>
              <w:pStyle w:val="TableContents"/>
              <w:bidi w:val="0"/>
              <w:spacing w:before="0" w:after="283"/>
              <w:ind w:hanging="0" w:left="0" w:right="0"/>
              <w:jc w:val="left"/>
              <w:rPr/>
            </w:pPr>
            <w:r>
              <w:rPr>
                <w:b/>
              </w:rPr>
              <w:t>The legacy rule is a total failure.</w:t>
            </w:r>
            <w:r>
              <w:rPr/>
              <w:t xml:space="preserve"> </w:t>
            </w:r>
            <w:r>
              <w:rPr>
                <w:rStyle w:val="SourceText"/>
              </w:rPr>
              <w:t>isFlaggedFraud</w:t>
            </w:r>
            <w:r>
              <w:rPr/>
              <w:t xml:space="preserve"> = 0 on all 1,068,592 rows. It flagged </w:t>
            </w:r>
            <w:r>
              <w:rPr>
                <w:rStyle w:val="Strong"/>
              </w:rPr>
              <w:t>0 of 1,404 frauds</w:t>
            </w:r>
            <w:r>
              <w:rPr/>
              <w:t>.</w:t>
            </w:r>
          </w:p>
        </w:tc>
        <w:tc>
          <w:tcPr>
            <w:tcW w:w="5184" w:type="dxa"/>
            <w:tcBorders/>
            <w:vAlign w:val="center"/>
          </w:tcPr>
          <w:p>
            <w:pPr>
              <w:pStyle w:val="TableContents"/>
              <w:bidi w:val="0"/>
              <w:spacing w:before="0" w:after="283"/>
              <w:jc w:val="left"/>
              <w:rPr/>
            </w:pPr>
            <w:r>
              <w:rPr>
                <w:rStyle w:val="Strong"/>
              </w:rPr>
              <w:t>The project's business case.</w:t>
            </w:r>
            <w:r>
              <w:rPr/>
              <w:t xml:space="preserve"> Note: this is a </w:t>
            </w:r>
            <w:r>
              <w:rPr>
                <w:rStyle w:val="Emphasis"/>
              </w:rPr>
              <w:t>rule engine</w:t>
            </w:r>
            <w:r>
              <w:rPr/>
              <w:t xml:space="preserve"> ("flag transfers &gt; 200,000"), not a model. No transaction in 5 days was large enough to trip it. Rules are brittle — fraudsters simply stay under the threshold.</w:t>
            </w:r>
          </w:p>
        </w:tc>
      </w:tr>
      <w:tr>
        <w:trPr/>
        <w:tc>
          <w:tcPr>
            <w:tcW w:w="322" w:type="dxa"/>
            <w:tcBorders/>
            <w:vAlign w:val="center"/>
          </w:tcPr>
          <w:p>
            <w:pPr>
              <w:pStyle w:val="TableContents"/>
              <w:bidi w:val="0"/>
              <w:spacing w:before="0" w:after="283"/>
              <w:jc w:val="left"/>
              <w:rPr/>
            </w:pPr>
            <w:r>
              <w:rPr/>
              <w:t>2</w:t>
            </w:r>
          </w:p>
        </w:tc>
        <w:tc>
          <w:tcPr>
            <w:tcW w:w="3476" w:type="dxa"/>
            <w:tcBorders/>
            <w:vAlign w:val="center"/>
          </w:tcPr>
          <w:p>
            <w:pPr>
              <w:pStyle w:val="TableContents"/>
              <w:bidi w:val="0"/>
              <w:spacing w:before="0" w:after="283"/>
              <w:jc w:val="left"/>
              <w:rPr/>
            </w:pPr>
            <w:r>
              <w:rPr/>
              <w:t xml:space="preserve">Fraud is rare: </w:t>
            </w:r>
            <w:r>
              <w:rPr>
                <w:rStyle w:val="Strong"/>
              </w:rPr>
              <w:t>1,404 / 1,068,592 = 0.131%</w:t>
            </w:r>
          </w:p>
        </w:tc>
        <w:tc>
          <w:tcPr>
            <w:tcW w:w="5184" w:type="dxa"/>
            <w:tcBorders/>
            <w:vAlign w:val="center"/>
          </w:tcPr>
          <w:p>
            <w:pPr>
              <w:pStyle w:val="TableContents"/>
              <w:bidi w:val="0"/>
              <w:spacing w:before="0" w:after="283"/>
              <w:jc w:val="left"/>
              <w:rPr/>
            </w:pPr>
            <w:r>
              <w:rPr/>
              <w:t>Severe class imbalance. Accuracy becomes a garbage metric — "never fraud" scores 99.87%. Phase 5 needs precision/recall, and the full 31 days, because 1,404 positives is thin for training.</w:t>
            </w:r>
          </w:p>
        </w:tc>
      </w:tr>
      <w:tr>
        <w:trPr/>
        <w:tc>
          <w:tcPr>
            <w:tcW w:w="322" w:type="dxa"/>
            <w:tcBorders/>
            <w:vAlign w:val="center"/>
          </w:tcPr>
          <w:p>
            <w:pPr>
              <w:pStyle w:val="TableContents"/>
              <w:bidi w:val="0"/>
              <w:spacing w:before="0" w:after="283"/>
              <w:jc w:val="left"/>
              <w:rPr/>
            </w:pPr>
            <w:r>
              <w:rPr/>
              <w:t>3</w:t>
            </w:r>
          </w:p>
        </w:tc>
        <w:tc>
          <w:tcPr>
            <w:tcW w:w="3476" w:type="dxa"/>
            <w:tcBorders/>
            <w:vAlign w:val="center"/>
          </w:tcPr>
          <w:p>
            <w:pPr>
              <w:pStyle w:val="TableContents"/>
              <w:bidi w:val="0"/>
              <w:spacing w:before="0" w:after="283"/>
              <w:jc w:val="left"/>
              <w:rPr/>
            </w:pPr>
            <w:r>
              <w:rPr/>
              <w:t xml:space="preserve">Fraud occurs in </w:t>
            </w:r>
            <w:r>
              <w:rPr>
                <w:rStyle w:val="Strong"/>
              </w:rPr>
              <w:t>exactly two types</w:t>
            </w:r>
            <w:r>
              <w:rPr/>
              <w:t>: TRANSFER (695, 0.785%) and CASH_OUT (709, 0.188%). PAYMENT / CASH_IN / DEBIT: zero across a million rows.</w:t>
            </w:r>
          </w:p>
        </w:tc>
        <w:tc>
          <w:tcPr>
            <w:tcW w:w="5184" w:type="dxa"/>
            <w:tcBorders/>
            <w:vAlign w:val="center"/>
          </w:tcPr>
          <w:p>
            <w:pPr>
              <w:pStyle w:val="TableContents"/>
              <w:bidi w:val="0"/>
              <w:spacing w:before="0" w:after="283"/>
              <w:jc w:val="left"/>
              <w:rPr/>
            </w:pPr>
            <w:r>
              <w:rPr/>
              <w:t xml:space="preserve">Recorded as an </w:t>
            </w:r>
            <w:r>
              <w:rPr>
                <w:rStyle w:val="Emphasis"/>
              </w:rPr>
              <w:t>observation on a sample</w:t>
            </w:r>
            <w:r>
              <w:rPr/>
              <w:t>, not a hardcoded rule — re-verify on all 31 days. True for PaySim (the simulator only generates fraud this way); would be false in real data, where card, ATM and payment fraud all exist. A limitation of synthetic data.</w:t>
            </w:r>
          </w:p>
        </w:tc>
      </w:tr>
      <w:tr>
        <w:trPr/>
        <w:tc>
          <w:tcPr>
            <w:tcW w:w="322" w:type="dxa"/>
            <w:tcBorders/>
            <w:vAlign w:val="center"/>
          </w:tcPr>
          <w:p>
            <w:pPr>
              <w:pStyle w:val="TableContents"/>
              <w:bidi w:val="0"/>
              <w:spacing w:before="0" w:after="283"/>
              <w:jc w:val="left"/>
              <w:rPr/>
            </w:pPr>
            <w:r>
              <w:rPr/>
              <w:t>4</w:t>
            </w:r>
          </w:p>
        </w:tc>
        <w:tc>
          <w:tcPr>
            <w:tcW w:w="3476" w:type="dxa"/>
            <w:tcBorders/>
            <w:vAlign w:val="center"/>
          </w:tcPr>
          <w:p>
            <w:pPr>
              <w:pStyle w:val="TableContents"/>
              <w:bidi w:val="0"/>
              <w:spacing w:before="0" w:after="283"/>
              <w:jc w:val="left"/>
              <w:rPr/>
            </w:pPr>
            <w:r>
              <w:rPr>
                <w:rStyle w:val="Strong"/>
              </w:rPr>
              <w:t>The mule pairing is visible in the totals:</w:t>
            </w:r>
            <w:r>
              <w:rPr/>
              <w:t xml:space="preserve"> 695 TRANSFER frauds vs 709 CASH_OUT frauds — nearly 1:1.</w:t>
            </w:r>
          </w:p>
        </w:tc>
        <w:tc>
          <w:tcPr>
            <w:tcW w:w="5184" w:type="dxa"/>
            <w:tcBorders/>
            <w:vAlign w:val="center"/>
          </w:tcPr>
          <w:p>
            <w:pPr>
              <w:pStyle w:val="TableContents"/>
              <w:bidi w:val="0"/>
              <w:spacing w:before="0" w:after="283"/>
              <w:jc w:val="left"/>
              <w:rPr/>
            </w:pPr>
            <w:r>
              <w:rPr/>
              <w:t>Evidence for transfer-then-cash-out pairs. Proving it row-by-row is the strongest planned gold feature.</w:t>
            </w:r>
          </w:p>
        </w:tc>
      </w:tr>
      <w:tr>
        <w:trPr/>
        <w:tc>
          <w:tcPr>
            <w:tcW w:w="322" w:type="dxa"/>
            <w:tcBorders/>
            <w:vAlign w:val="center"/>
          </w:tcPr>
          <w:p>
            <w:pPr>
              <w:pStyle w:val="TableContents"/>
              <w:bidi w:val="0"/>
              <w:spacing w:before="0" w:after="283"/>
              <w:jc w:val="left"/>
              <w:rPr/>
            </w:pPr>
            <w:r>
              <w:rPr/>
              <w:t>5</w:t>
            </w:r>
          </w:p>
        </w:tc>
        <w:tc>
          <w:tcPr>
            <w:tcW w:w="3476" w:type="dxa"/>
            <w:tcBorders/>
            <w:vAlign w:val="center"/>
          </w:tcPr>
          <w:p>
            <w:pPr>
              <w:pStyle w:val="TableContents"/>
              <w:bidi w:val="0"/>
              <w:spacing w:before="0" w:after="283"/>
              <w:jc w:val="left"/>
              <w:rPr/>
            </w:pPr>
            <w:r>
              <w:rPr>
                <w:rStyle w:val="Strong"/>
              </w:rPr>
              <w:t>Drain-to-zero is a powerful signal:</w:t>
            </w:r>
            <w:r>
              <w:rPr/>
              <w:t xml:space="preserve"> 97.8% of fraud rows (1,373/1,404) vs 22.8% of normal rows (243,373/1,067,188) — </w:t>
            </w:r>
            <w:r>
              <w:rPr>
                <w:rStyle w:val="Strong"/>
              </w:rPr>
              <w:t>4.3× lift</w:t>
            </w:r>
            <w:r>
              <w:rPr/>
              <w:t>.</w:t>
            </w:r>
          </w:p>
        </w:tc>
        <w:tc>
          <w:tcPr>
            <w:tcW w:w="5184" w:type="dxa"/>
            <w:tcBorders/>
            <w:vAlign w:val="center"/>
          </w:tcPr>
          <w:p>
            <w:pPr>
              <w:pStyle w:val="TableContents"/>
              <w:bidi w:val="0"/>
              <w:spacing w:before="0" w:after="283"/>
              <w:jc w:val="left"/>
              <w:rPr/>
            </w:pPr>
            <w:r>
              <w:rPr/>
              <w:t xml:space="preserve">A </w:t>
            </w:r>
            <w:r>
              <w:rPr>
                <w:rStyle w:val="Emphasis"/>
              </w:rPr>
              <w:t>feature</w:t>
            </w:r>
            <w:r>
              <w:rPr/>
              <w:t>, not a rule. 243,373 legitimate rows also drain to zero, so it shifts a probability rather than deciding a verdict. This distinction is the whole difference between the failed rule engine and a model.</w:t>
            </w:r>
          </w:p>
        </w:tc>
      </w:tr>
      <w:tr>
        <w:trPr/>
        <w:tc>
          <w:tcPr>
            <w:tcW w:w="322" w:type="dxa"/>
            <w:tcBorders/>
            <w:vAlign w:val="center"/>
          </w:tcPr>
          <w:p>
            <w:pPr>
              <w:pStyle w:val="TableContents"/>
              <w:bidi w:val="0"/>
              <w:spacing w:before="0" w:after="283"/>
              <w:jc w:val="left"/>
              <w:rPr/>
            </w:pPr>
            <w:r>
              <w:rPr/>
              <w:t>6</w:t>
            </w:r>
          </w:p>
        </w:tc>
        <w:tc>
          <w:tcPr>
            <w:tcW w:w="3476" w:type="dxa"/>
            <w:tcBorders/>
            <w:vAlign w:val="center"/>
          </w:tcPr>
          <w:p>
            <w:pPr>
              <w:pStyle w:val="TableContents"/>
              <w:bidi w:val="0"/>
              <w:spacing w:before="0" w:after="283"/>
              <w:jc w:val="left"/>
              <w:rPr/>
            </w:pPr>
            <w:r>
              <w:rPr>
                <w:rStyle w:val="Strong"/>
              </w:rPr>
              <w:t>Balances mostly don't reconcile:</w:t>
            </w:r>
            <w:r>
              <w:rPr/>
              <w:t xml:space="preserve"> TRANSFER 94.7%, CASH_OUT 88.6%, PAYMENT 50.7%, DEBIT 30.6% fail </w:t>
            </w:r>
            <w:r>
              <w:rPr>
                <w:rStyle w:val="SourceText"/>
              </w:rPr>
              <w:t>before − amount = after</w:t>
            </w:r>
            <w:r>
              <w:rPr/>
              <w:t>.</w:t>
            </w:r>
          </w:p>
        </w:tc>
        <w:tc>
          <w:tcPr>
            <w:tcW w:w="5184" w:type="dxa"/>
            <w:tcBorders/>
            <w:vAlign w:val="center"/>
          </w:tcPr>
          <w:p>
            <w:pPr>
              <w:pStyle w:val="TableContents"/>
              <w:bidi w:val="0"/>
              <w:spacing w:before="0" w:after="283"/>
              <w:ind w:hanging="0" w:left="0" w:right="0"/>
              <w:jc w:val="left"/>
              <w:rPr/>
            </w:pPr>
            <w:r>
              <w:rPr/>
              <w:t xml:space="preserve">A property of the source, not a pipeline bug. </w:t>
            </w:r>
            <w:r>
              <w:rPr>
                <w:b/>
              </w:rPr>
              <w:t>Flag, never quarantine</w:t>
            </w:r>
            <w:r>
              <w:rPr/>
              <w:t xml:space="preserve"> — quarantining 94% of TRANSFERs would destroy the dataset.</w:t>
            </w:r>
          </w:p>
        </w:tc>
      </w:tr>
      <w:tr>
        <w:trPr/>
        <w:tc>
          <w:tcPr>
            <w:tcW w:w="322" w:type="dxa"/>
            <w:tcBorders/>
            <w:vAlign w:val="center"/>
          </w:tcPr>
          <w:p>
            <w:pPr>
              <w:pStyle w:val="TableContents"/>
              <w:bidi w:val="0"/>
              <w:spacing w:before="0" w:after="283"/>
              <w:jc w:val="left"/>
              <w:rPr/>
            </w:pPr>
            <w:r>
              <w:rPr/>
              <w:t>7</w:t>
            </w:r>
          </w:p>
        </w:tc>
        <w:tc>
          <w:tcPr>
            <w:tcW w:w="3476" w:type="dxa"/>
            <w:tcBorders/>
            <w:vAlign w:val="center"/>
          </w:tcPr>
          <w:p>
            <w:pPr>
              <w:pStyle w:val="TableContents"/>
              <w:bidi w:val="0"/>
              <w:spacing w:before="0" w:after="283"/>
              <w:jc w:val="left"/>
              <w:rPr/>
            </w:pPr>
            <w:r>
              <w:rPr>
                <w:rStyle w:val="Strong"/>
              </w:rPr>
              <w:t>Zero is a sentinel for "balance unknown,"</w:t>
            </w:r>
            <w:r>
              <w:rPr/>
              <w:t xml:space="preserve"> not an actual zero balance.</w:t>
            </w:r>
          </w:p>
        </w:tc>
        <w:tc>
          <w:tcPr>
            <w:tcW w:w="5184" w:type="dxa"/>
            <w:tcBorders/>
            <w:vAlign w:val="center"/>
          </w:tcPr>
          <w:p>
            <w:pPr>
              <w:pStyle w:val="TableContents"/>
              <w:bidi w:val="0"/>
              <w:spacing w:before="0" w:after="283"/>
              <w:jc w:val="left"/>
              <w:rPr/>
            </w:pPr>
            <w:r>
              <w:rPr/>
              <w:t>A magic value masquerading as data — the most dangerous dirt, because it is silently valid. Needs its own boolean column in silver.</w:t>
            </w:r>
          </w:p>
        </w:tc>
      </w:tr>
      <w:tr>
        <w:trPr/>
        <w:tc>
          <w:tcPr>
            <w:tcW w:w="322" w:type="dxa"/>
            <w:tcBorders/>
            <w:vAlign w:val="center"/>
          </w:tcPr>
          <w:p>
            <w:pPr>
              <w:pStyle w:val="TableContents"/>
              <w:bidi w:val="0"/>
              <w:spacing w:before="0" w:after="283"/>
              <w:jc w:val="left"/>
              <w:rPr/>
            </w:pPr>
            <w:r>
              <w:rPr/>
              <w:t>8</w:t>
            </w:r>
          </w:p>
        </w:tc>
        <w:tc>
          <w:tcPr>
            <w:tcW w:w="3476" w:type="dxa"/>
            <w:tcBorders/>
            <w:vAlign w:val="center"/>
          </w:tcPr>
          <w:p>
            <w:pPr>
              <w:pStyle w:val="TableContents"/>
              <w:bidi w:val="0"/>
              <w:spacing w:before="0" w:after="283"/>
              <w:jc w:val="left"/>
              <w:rPr/>
            </w:pPr>
            <w:r>
              <w:rPr>
                <w:rStyle w:val="Strong"/>
              </w:rPr>
              <w:t>Structurally clean:</w:t>
            </w:r>
            <w:r>
              <w:rPr/>
              <w:t xml:space="preserve"> exactly 5 types, no nulls, no non-positive amounts.</w:t>
            </w:r>
          </w:p>
        </w:tc>
        <w:tc>
          <w:tcPr>
            <w:tcW w:w="5184" w:type="dxa"/>
            <w:tcBorders/>
            <w:vAlign w:val="center"/>
          </w:tcPr>
          <w:p>
            <w:pPr>
              <w:pStyle w:val="TableContents"/>
              <w:bidi w:val="0"/>
              <w:spacing w:before="0" w:after="283"/>
              <w:jc w:val="left"/>
              <w:rPr/>
            </w:pPr>
            <w:r>
              <w:rPr/>
              <w:t>Cheap expectations that should never fire. If one ever does, something upstream changed.</w:t>
            </w:r>
          </w:p>
        </w:tc>
      </w:tr>
    </w:tbl>
    <w:p>
      <w:pPr>
        <w:pStyle w:val="Heading2"/>
        <w:bidi w:val="0"/>
        <w:jc w:val="left"/>
        <w:rPr/>
      </w:pPr>
      <w:r>
        <w:rPr/>
        <w:t>The meta-lesson: a check that fails everything is a broken check</w:t>
      </w:r>
    </w:p>
    <w:p>
      <w:pPr>
        <w:pStyle w:val="BodyText"/>
        <w:bidi w:val="0"/>
        <w:spacing w:before="300" w:after="300"/>
        <w:ind w:hanging="0" w:left="300" w:right="300"/>
        <w:jc w:val="left"/>
        <w:rPr/>
      </w:pPr>
      <w:r>
        <w:rPr>
          <w:bdr w:val="single" w:sz="2" w:space="12" w:color="000000"/>
        </w:rPr>
        <w:t xml:space="preserve">The reconciliation query reported </w:t>
      </w:r>
      <w:r>
        <w:rPr>
          <w:rStyle w:val="Strong"/>
          <w:bdr w:val="single" w:sz="2" w:space="12" w:color="000000"/>
        </w:rPr>
        <w:t>230,168 of 230,168 CASH_IN rows broken — 100%</w:t>
      </w:r>
      <w:r>
        <w:rPr>
          <w:bdr w:val="single" w:sz="2" w:space="12" w:color="000000"/>
        </w:rPr>
        <w:t>. A 100% failure rate is never a data problem.</w:t>
      </w:r>
    </w:p>
    <w:p>
      <w:pPr>
        <w:pStyle w:val="BodyText"/>
        <w:bidi w:val="0"/>
        <w:spacing w:before="300" w:after="300"/>
        <w:ind w:hanging="0" w:left="300" w:right="300"/>
        <w:jc w:val="left"/>
        <w:rPr/>
      </w:pPr>
      <w:r>
        <w:rPr>
          <w:bdr w:val="single" w:sz="2" w:space="12" w:color="000000"/>
        </w:rPr>
        <w:t xml:space="preserve">The rule was wrong: CASH_IN is money coming </w:t>
      </w:r>
      <w:r>
        <w:rPr>
          <w:rStyle w:val="Emphasis"/>
          <w:bdr w:val="single" w:sz="2" w:space="12" w:color="000000"/>
        </w:rPr>
        <w:t>in</w:t>
      </w:r>
      <w:r>
        <w:rPr>
          <w:bdr w:val="single" w:sz="2" w:space="12" w:color="000000"/>
        </w:rPr>
        <w:t xml:space="preserve">, so </w:t>
      </w:r>
      <w:r>
        <w:rPr>
          <w:rStyle w:val="SourceText"/>
          <w:bdr w:val="single" w:sz="2" w:space="12" w:color="000000"/>
        </w:rPr>
        <w:t>before + amount = after</w:t>
      </w:r>
      <w:r>
        <w:rPr>
          <w:bdr w:val="single" w:sz="2" w:space="12" w:color="000000"/>
        </w:rPr>
        <w:t xml:space="preserve">. The query subtracted. </w:t>
      </w:r>
      <w:r>
        <w:rPr>
          <w:b/>
          <w:bdr w:val="single" w:sz="2" w:space="12" w:color="000000"/>
        </w:rPr>
        <w:t>Junior instinct: "the data is terrible, file a bug." Senior instinct: "100% is suspicious — re-read my own rule first."</w:t>
      </w:r>
    </w:p>
    <w:p>
      <w:pPr>
        <w:pStyle w:val="BodyText"/>
        <w:bidi w:val="0"/>
        <w:spacing w:before="300" w:after="300"/>
        <w:ind w:hanging="0" w:left="300" w:right="300"/>
        <w:jc w:val="left"/>
        <w:rPr/>
      </w:pPr>
      <w:r>
        <w:rPr>
          <w:bdr w:val="single" w:sz="2" w:space="12" w:color="000000"/>
        </w:rPr>
        <w:t xml:space="preserve">The mirror image is equally true: if a check </w:t>
      </w:r>
      <w:r>
        <w:rPr>
          <w:rStyle w:val="Emphasis"/>
          <w:bdr w:val="single" w:sz="2" w:space="12" w:color="000000"/>
        </w:rPr>
        <w:t>passes</w:t>
      </w:r>
      <w:r>
        <w:rPr>
          <w:bdr w:val="single" w:sz="2" w:space="12" w:color="000000"/>
        </w:rPr>
        <w:t xml:space="preserve"> 100% of the time, verify it is capable of failing at all.</w:t>
      </w:r>
    </w:p>
    <w:p>
      <w:pPr>
        <w:pStyle w:val="Heading2"/>
        <w:bidi w:val="0"/>
        <w:ind w:hanging="0"/>
        <w:jc w:val="left"/>
        <w:rPr/>
      </w:pPr>
      <w:r>
        <w:rPr/>
        <w:t>SQL patterns learned (worth keeping)</w:t>
      </w:r>
    </w:p>
    <w:tbl>
      <w:tblPr>
        <w:tblW w:w="8982" w:type="dxa"/>
        <w:jc w:val="left"/>
        <w:tblInd w:w="28" w:type="dxa"/>
        <w:tblLayout w:type="fixed"/>
        <w:tblCellMar>
          <w:top w:w="28" w:type="dxa"/>
          <w:left w:w="28" w:type="dxa"/>
          <w:bottom w:w="28" w:type="dxa"/>
          <w:right w:w="28" w:type="dxa"/>
        </w:tblCellMar>
      </w:tblPr>
      <w:tblGrid>
        <w:gridCol w:w="2578"/>
        <w:gridCol w:w="6404"/>
      </w:tblGrid>
      <w:tr>
        <w:trPr/>
        <w:tc>
          <w:tcPr>
            <w:tcW w:w="2578" w:type="dxa"/>
            <w:tcBorders/>
            <w:vAlign w:val="center"/>
          </w:tcPr>
          <w:p>
            <w:pPr>
              <w:pStyle w:val="TableHeading"/>
              <w:suppressLineNumbers/>
              <w:bidi w:val="0"/>
              <w:spacing w:before="0" w:after="283"/>
              <w:jc w:val="left"/>
              <w:rPr/>
            </w:pPr>
            <w:r>
              <w:rPr/>
              <w:t>Pattern</w:t>
            </w:r>
          </w:p>
        </w:tc>
        <w:tc>
          <w:tcPr>
            <w:tcW w:w="6404" w:type="dxa"/>
            <w:tcBorders/>
            <w:vAlign w:val="center"/>
          </w:tcPr>
          <w:p>
            <w:pPr>
              <w:pStyle w:val="TableHeading"/>
              <w:suppressLineNumbers/>
              <w:bidi w:val="0"/>
              <w:spacing w:before="0" w:after="283"/>
              <w:jc w:val="left"/>
              <w:rPr/>
            </w:pPr>
            <w:r>
              <w:rPr/>
              <w:t>Why it works / why it matters</w:t>
            </w:r>
          </w:p>
        </w:tc>
      </w:tr>
      <w:tr>
        <w:trPr/>
        <w:tc>
          <w:tcPr>
            <w:tcW w:w="2578" w:type="dxa"/>
            <w:tcBorders/>
            <w:vAlign w:val="center"/>
          </w:tcPr>
          <w:p>
            <w:pPr>
              <w:pStyle w:val="TableContents"/>
              <w:bidi w:val="0"/>
              <w:spacing w:before="0" w:after="283"/>
              <w:jc w:val="left"/>
              <w:rPr/>
            </w:pPr>
            <w:r>
              <w:rPr>
                <w:rStyle w:val="SourceText"/>
              </w:rPr>
              <w:t>SUM(CAST(flag AS INT))</w:t>
            </w:r>
            <w:r>
              <w:rPr/>
              <w:t xml:space="preserve"> counts a 0/1 column</w:t>
            </w:r>
          </w:p>
        </w:tc>
        <w:tc>
          <w:tcPr>
            <w:tcW w:w="6404" w:type="dxa"/>
            <w:tcBorders/>
            <w:vAlign w:val="center"/>
          </w:tcPr>
          <w:p>
            <w:pPr>
              <w:pStyle w:val="TableContents"/>
              <w:bidi w:val="0"/>
              <w:spacing w:before="0" w:after="283"/>
              <w:ind w:hanging="0" w:left="0" w:right="0"/>
              <w:jc w:val="left"/>
              <w:rPr/>
            </w:pPr>
            <w:r>
              <w:rPr/>
              <w:t xml:space="preserve">Each 0 adds nothing, each 1 adds exactly one — the sum </w:t>
            </w:r>
            <w:r>
              <w:rPr>
                <w:rStyle w:val="Emphasis"/>
              </w:rPr>
              <w:t>is</w:t>
            </w:r>
            <w:r>
              <w:rPr/>
              <w:t xml:space="preserve"> the count. </w:t>
            </w:r>
            <w:r>
              <w:rPr>
                <w:b/>
              </w:rPr>
              <w:t>Does not work for 'Y'/'N':</w:t>
            </w:r>
            <w:r>
              <w:rPr/>
              <w:t xml:space="preserve"> </w:t>
            </w:r>
            <w:r>
              <w:rPr>
                <w:rStyle w:val="SourceText"/>
              </w:rPr>
              <w:t>CAST('Y' AS INT)</w:t>
            </w:r>
            <w:r>
              <w:rPr/>
              <w:t xml:space="preserve"> returns </w:t>
            </w:r>
            <w:r>
              <w:rPr>
                <w:rStyle w:val="Strong"/>
              </w:rPr>
              <w:t>null</w:t>
            </w:r>
            <w:r>
              <w:rPr/>
              <w:t xml:space="preserve">, SUM skips nulls, and you get 0 frauds with no error. Use </w:t>
            </w:r>
            <w:r>
              <w:rPr>
                <w:rStyle w:val="SourceText"/>
              </w:rPr>
              <w:t>SUM(CASE WHEN flag='Y' THEN 1 ELSE 0 END)</w:t>
            </w:r>
            <w:r>
              <w:rPr/>
              <w:t>.</w:t>
            </w:r>
          </w:p>
        </w:tc>
      </w:tr>
      <w:tr>
        <w:trPr/>
        <w:tc>
          <w:tcPr>
            <w:tcW w:w="2578" w:type="dxa"/>
            <w:tcBorders/>
            <w:vAlign w:val="center"/>
          </w:tcPr>
          <w:p>
            <w:pPr>
              <w:pStyle w:val="TableContents"/>
              <w:bidi w:val="0"/>
              <w:spacing w:before="0" w:after="283"/>
              <w:jc w:val="left"/>
              <w:rPr/>
            </w:pPr>
            <w:r>
              <w:rPr>
                <w:rStyle w:val="SourceText"/>
              </w:rPr>
              <w:t>100.0 *</w:t>
            </w:r>
            <w:r>
              <w:rPr/>
              <w:t xml:space="preserve">, never </w:t>
            </w:r>
            <w:r>
              <w:rPr>
                <w:rStyle w:val="SourceText"/>
              </w:rPr>
              <w:t>100 *</w:t>
            </w:r>
          </w:p>
        </w:tc>
        <w:tc>
          <w:tcPr>
            <w:tcW w:w="6404" w:type="dxa"/>
            <w:tcBorders/>
            <w:vAlign w:val="center"/>
          </w:tcPr>
          <w:p>
            <w:pPr>
              <w:pStyle w:val="TableContents"/>
              <w:bidi w:val="0"/>
              <w:spacing w:before="0" w:after="283"/>
              <w:ind w:hanging="0" w:left="0" w:right="0"/>
              <w:jc w:val="left"/>
              <w:rPr/>
            </w:pPr>
            <w:r>
              <w:rPr/>
              <w:t xml:space="preserve">Integer ÷ integer truncates. </w:t>
            </w:r>
            <w:r>
              <w:rPr>
                <w:rStyle w:val="SourceText"/>
              </w:rPr>
              <w:t>70900/377263 = 0.188</w:t>
            </w:r>
            <w:r>
              <w:rPr/>
              <w:t xml:space="preserve"> → </w:t>
            </w:r>
            <w:r>
              <w:rPr>
                <w:rStyle w:val="Strong"/>
              </w:rPr>
              <w:t>0</w:t>
            </w:r>
            <w:r>
              <w:rPr/>
              <w:t xml:space="preserve">. Every percentage prints as 0.000 and nothing warns you. </w:t>
            </w:r>
            <w:r>
              <w:rPr>
                <w:b/>
              </w:rPr>
              <w:t>Rule: when dividing two counts, force one side to decimal.</w:t>
            </w:r>
          </w:p>
        </w:tc>
      </w:tr>
      <w:tr>
        <w:trPr/>
        <w:tc>
          <w:tcPr>
            <w:tcW w:w="2578" w:type="dxa"/>
            <w:tcBorders/>
            <w:vAlign w:val="center"/>
          </w:tcPr>
          <w:p>
            <w:pPr>
              <w:pStyle w:val="TableContents"/>
              <w:bidi w:val="0"/>
              <w:spacing w:before="0" w:after="283"/>
              <w:jc w:val="left"/>
              <w:rPr/>
            </w:pPr>
            <w:r>
              <w:rPr>
                <w:rStyle w:val="SourceText"/>
              </w:rPr>
              <w:t>SUM(CASE WHEN … THEN 1 ELSE 0 END)</w:t>
            </w:r>
            <w:r>
              <w:rPr/>
              <w:t xml:space="preserve"> vs </w:t>
            </w:r>
            <w:r>
              <w:rPr>
                <w:rStyle w:val="SourceText"/>
              </w:rPr>
              <w:t>WHERE</w:t>
            </w:r>
          </w:p>
        </w:tc>
        <w:tc>
          <w:tcPr>
            <w:tcW w:w="6404" w:type="dxa"/>
            <w:tcBorders/>
            <w:vAlign w:val="center"/>
          </w:tcPr>
          <w:p>
            <w:pPr>
              <w:pStyle w:val="TableContents"/>
              <w:bidi w:val="0"/>
              <w:spacing w:before="0" w:after="283"/>
              <w:jc w:val="left"/>
              <w:rPr/>
            </w:pPr>
            <w:r>
              <w:rPr>
                <w:rStyle w:val="Strong"/>
              </w:rPr>
              <w:t>WHERE deletes rows; CASE WHEN labels them.</w:t>
            </w:r>
            <w:r>
              <w:rPr/>
              <w:t xml:space="preserve"> After WHERE removes the good rows you have no denominator — "334,368 broken" out of what? CASE WHEN keeps every row, so </w:t>
            </w:r>
            <w:r>
              <w:rPr>
                <w:rStyle w:val="SourceText"/>
              </w:rPr>
              <w:t>COUNT(*)</w:t>
            </w:r>
            <w:r>
              <w:rPr/>
              <w:t xml:space="preserve"> and </w:t>
            </w:r>
            <w:r>
              <w:rPr>
                <w:rStyle w:val="SourceText"/>
              </w:rPr>
              <w:t>SUM(...)</w:t>
            </w:r>
            <w:r>
              <w:rPr/>
              <w:t xml:space="preserve"> both survive and you get a </w:t>
            </w:r>
            <w:r>
              <w:rPr>
                <w:rStyle w:val="Emphasis"/>
              </w:rPr>
              <w:t>rate</w:t>
            </w:r>
            <w:r>
              <w:rPr/>
              <w:t>, per group, in one pass. (</w:t>
            </w:r>
            <w:r>
              <w:rPr>
                <w:rStyle w:val="SourceText"/>
              </w:rPr>
              <w:t>COUNT(CASE WHEN … THEN 1 END)</w:t>
            </w:r>
            <w:r>
              <w:rPr/>
              <w:t xml:space="preserve"> does the same via nulls.)</w:t>
            </w:r>
          </w:p>
        </w:tc>
      </w:tr>
      <w:tr>
        <w:trPr/>
        <w:tc>
          <w:tcPr>
            <w:tcW w:w="2578" w:type="dxa"/>
            <w:tcBorders/>
            <w:vAlign w:val="center"/>
          </w:tcPr>
          <w:p>
            <w:pPr>
              <w:pStyle w:val="TableContents"/>
              <w:bidi w:val="0"/>
              <w:spacing w:before="0" w:after="283"/>
              <w:jc w:val="left"/>
              <w:rPr/>
            </w:pPr>
            <w:r>
              <w:rPr>
                <w:rStyle w:val="SourceText"/>
              </w:rPr>
              <w:t>ABS(diff) &gt; 0.01</w:t>
            </w:r>
            <w:r>
              <w:rPr/>
              <w:t xml:space="preserve">, never </w:t>
            </w:r>
            <w:r>
              <w:rPr>
                <w:rStyle w:val="SourceText"/>
              </w:rPr>
              <w:t>&lt;&gt; 0</w:t>
            </w:r>
          </w:p>
        </w:tc>
        <w:tc>
          <w:tcPr>
            <w:tcW w:w="6404" w:type="dxa"/>
            <w:tcBorders/>
            <w:vAlign w:val="center"/>
          </w:tcPr>
          <w:p>
            <w:pPr>
              <w:pStyle w:val="TableContents"/>
              <w:bidi w:val="0"/>
              <w:spacing w:before="0" w:after="283"/>
              <w:ind w:hanging="0" w:left="0" w:right="0"/>
              <w:jc w:val="left"/>
              <w:rPr/>
            </w:pPr>
            <w:r>
              <w:rPr/>
              <w:t>DOUBLE stores decimals in binary; most have no exact form, so arithmetic leaves dust (</w:t>
            </w:r>
            <w:r>
              <w:rPr>
                <w:rStyle w:val="SourceText"/>
              </w:rPr>
              <w:t>0.0000000000002</w:t>
            </w:r>
            <w:r>
              <w:rPr/>
              <w:t xml:space="preserve"> instead of 0). Exact-equality would flag balanced rows as broken. 0.01 = one cent; smaller is noise. </w:t>
            </w:r>
            <w:r>
              <w:rPr>
                <w:b/>
              </w:rPr>
              <w:t>Never test floats for exact equality.</w:t>
            </w:r>
            <w:r>
              <w:rPr/>
              <w:t xml:space="preserve"> Also why banks store money as DECIMAL.</w:t>
            </w:r>
          </w:p>
        </w:tc>
      </w:tr>
      <w:tr>
        <w:trPr/>
        <w:tc>
          <w:tcPr>
            <w:tcW w:w="2578" w:type="dxa"/>
            <w:tcBorders/>
            <w:vAlign w:val="center"/>
          </w:tcPr>
          <w:p>
            <w:pPr>
              <w:pStyle w:val="TableContents"/>
              <w:bidi w:val="0"/>
              <w:spacing w:before="0" w:after="283"/>
              <w:jc w:val="left"/>
              <w:rPr/>
            </w:pPr>
            <w:r>
              <w:rPr>
                <w:rStyle w:val="SourceText"/>
              </w:rPr>
              <w:t>GROUP BY</w:t>
            </w:r>
            <w:r>
              <w:rPr/>
              <w:t xml:space="preserve"> returns only combinations that </w:t>
            </w:r>
            <w:r>
              <w:rPr>
                <w:rStyle w:val="Emphasis"/>
              </w:rPr>
              <w:t>exist</w:t>
            </w:r>
          </w:p>
        </w:tc>
        <w:tc>
          <w:tcPr>
            <w:tcW w:w="6404" w:type="dxa"/>
            <w:tcBorders/>
            <w:vAlign w:val="center"/>
          </w:tcPr>
          <w:p>
            <w:pPr>
              <w:pStyle w:val="TableContents"/>
              <w:bidi w:val="0"/>
              <w:spacing w:before="0" w:after="283"/>
              <w:jc w:val="left"/>
              <w:rPr/>
            </w:pPr>
            <w:r>
              <w:rPr/>
              <w:t xml:space="preserve">Two 0/1 columns could yield 4 rows; we got 2, because </w:t>
            </w:r>
            <w:r>
              <w:rPr>
                <w:rStyle w:val="SourceText"/>
              </w:rPr>
              <w:t>isFlaggedFraud=1</w:t>
            </w:r>
            <w:r>
              <w:rPr/>
              <w:t xml:space="preserve"> never occurs. </w:t>
            </w:r>
            <w:r>
              <w:rPr>
                <w:rStyle w:val="Strong"/>
              </w:rPr>
              <w:t>You will never see COUNT(*) = 0 in a GROUP BY result.</w:t>
            </w:r>
            <w:r>
              <w:rPr/>
              <w:t xml:space="preserve"> Absent categories vanish silently — the fix when you need them is a LEFT JOIN from a reference list. Will matter in gold (a customer with no transactions that day).</w:t>
            </w:r>
          </w:p>
        </w:tc>
      </w:tr>
      <w:tr>
        <w:trPr/>
        <w:tc>
          <w:tcPr>
            <w:tcW w:w="2578" w:type="dxa"/>
            <w:tcBorders/>
            <w:vAlign w:val="center"/>
          </w:tcPr>
          <w:p>
            <w:pPr>
              <w:pStyle w:val="TableContents"/>
              <w:bidi w:val="0"/>
              <w:spacing w:before="0" w:after="283"/>
              <w:jc w:val="left"/>
              <w:rPr/>
            </w:pPr>
            <w:r>
              <w:rPr>
                <w:rStyle w:val="SourceText"/>
              </w:rPr>
              <w:t>COUNT(*) − COUNT(col)</w:t>
            </w:r>
            <w:r>
              <w:rPr/>
              <w:t xml:space="preserve"> = null count</w:t>
            </w:r>
          </w:p>
        </w:tc>
        <w:tc>
          <w:tcPr>
            <w:tcW w:w="6404" w:type="dxa"/>
            <w:tcBorders/>
            <w:vAlign w:val="center"/>
          </w:tcPr>
          <w:p>
            <w:pPr>
              <w:pStyle w:val="TableContents"/>
              <w:bidi w:val="0"/>
              <w:spacing w:before="0" w:after="283"/>
              <w:ind w:hanging="0" w:left="0" w:right="0"/>
              <w:jc w:val="left"/>
              <w:rPr/>
            </w:pPr>
            <w:r>
              <w:rPr>
                <w:rStyle w:val="SourceText"/>
              </w:rPr>
              <w:t>COUNT(*)</w:t>
            </w:r>
            <w:r>
              <w:rPr/>
              <w:t xml:space="preserve"> counts rows; </w:t>
            </w:r>
            <w:r>
              <w:rPr>
                <w:rStyle w:val="SourceText"/>
              </w:rPr>
              <w:t>COUNT(col)</w:t>
            </w:r>
            <w:r>
              <w:rPr/>
              <w:t xml:space="preserve"> counts non-null values. </w:t>
            </w:r>
            <w:r>
              <w:rPr>
                <w:b/>
              </w:rPr>
              <w:t xml:space="preserve">Does not catch </w:t>
            </w:r>
            <w:r>
              <w:rPr>
                <w:rStyle w:val="SourceText"/>
                <w:b/>
              </w:rPr>
              <w:t>''</w:t>
            </w:r>
            <w:r>
              <w:rPr/>
              <w:t xml:space="preserve"> — an empty string is a value, not a null. In CSV, "missing" is a spectrum: null, </w:t>
            </w:r>
            <w:r>
              <w:rPr>
                <w:rStyle w:val="SourceText"/>
              </w:rPr>
              <w:t>''</w:t>
            </w:r>
            <w:r>
              <w:rPr/>
              <w:t xml:space="preserve">, </w:t>
            </w:r>
            <w:r>
              <w:rPr>
                <w:rStyle w:val="SourceText"/>
              </w:rPr>
              <w:t>' '</w:t>
            </w:r>
            <w:r>
              <w:rPr/>
              <w:t xml:space="preserve">, </w:t>
            </w:r>
            <w:r>
              <w:rPr>
                <w:rStyle w:val="SourceText"/>
              </w:rPr>
              <w:t>'NULL'</w:t>
            </w:r>
            <w:r>
              <w:rPr/>
              <w:t xml:space="preserve">, </w:t>
            </w:r>
            <w:r>
              <w:rPr>
                <w:rStyle w:val="SourceText"/>
              </w:rPr>
              <w:t>'N/A'</w:t>
            </w:r>
            <w:r>
              <w:rPr/>
              <w:t xml:space="preserve">, </w:t>
            </w:r>
            <w:r>
              <w:rPr>
                <w:rStyle w:val="SourceText"/>
              </w:rPr>
              <w:t>'-'</w:t>
            </w:r>
            <w:r>
              <w:rPr/>
              <w:t>. Check blanks as well as nulls on text columns.</w:t>
            </w:r>
          </w:p>
        </w:tc>
      </w:tr>
      <w:tr>
        <w:trPr/>
        <w:tc>
          <w:tcPr>
            <w:tcW w:w="2578" w:type="dxa"/>
            <w:tcBorders/>
            <w:vAlign w:val="center"/>
          </w:tcPr>
          <w:p>
            <w:pPr>
              <w:pStyle w:val="TableContents"/>
              <w:bidi w:val="0"/>
              <w:spacing w:before="0" w:after="283"/>
              <w:jc w:val="left"/>
              <w:rPr/>
            </w:pPr>
            <w:r>
              <w:rPr>
                <w:rStyle w:val="SourceText"/>
              </w:rPr>
              <w:t>AND balance_before &gt; 0</w:t>
            </w:r>
            <w:r>
              <w:rPr/>
              <w:t xml:space="preserve"> in the drain check</w:t>
            </w:r>
          </w:p>
        </w:tc>
        <w:tc>
          <w:tcPr>
            <w:tcW w:w="6404" w:type="dxa"/>
            <w:tcBorders/>
            <w:vAlign w:val="center"/>
          </w:tcPr>
          <w:p>
            <w:pPr>
              <w:pStyle w:val="TableContents"/>
              <w:bidi w:val="0"/>
              <w:spacing w:before="0" w:after="283"/>
              <w:jc w:val="left"/>
              <w:rPr/>
            </w:pPr>
            <w:r>
              <w:rPr/>
              <w:t xml:space="preserve">Without it, accounts that were </w:t>
            </w:r>
            <w:r>
              <w:rPr>
                <w:rStyle w:val="Emphasis"/>
              </w:rPr>
              <w:t>already empty</w:t>
            </w:r>
            <w:r>
              <w:rPr/>
              <w:t xml:space="preserve"> (0 → 0) count as "drained" — nothing was taken because nothing was there. "Drained" requires both halves: there was money, and afterwards there wasn't.</w:t>
            </w:r>
          </w:p>
        </w:tc>
      </w:tr>
    </w:tbl>
    <w:p>
      <w:pPr>
        <w:pStyle w:val="Heading2"/>
        <w:bidi w:val="0"/>
        <w:jc w:val="left"/>
        <w:rPr/>
      </w:pPr>
      <w:r>
        <w:rPr/>
        <w:t>The confusion matrix (learned from query 4)</w:t>
      </w:r>
    </w:p>
    <w:p>
      <w:pPr>
        <w:pStyle w:val="BodyText"/>
        <w:bidi w:val="0"/>
        <w:jc w:val="left"/>
        <w:rPr/>
      </w:pPr>
      <w:r>
        <w:rPr>
          <w:rStyle w:val="SourceText"/>
        </w:rPr>
        <w:t>isFraud</w:t>
      </w:r>
      <w:r>
        <w:rPr/>
        <w:t xml:space="preserve"> and </w:t>
      </w:r>
      <w:r>
        <w:rPr>
          <w:rStyle w:val="SourceText"/>
        </w:rPr>
        <w:t>isFlaggedFraud</w:t>
      </w:r>
      <w:r>
        <w:rPr/>
        <w:t xml:space="preserve"> are not two degrees of certainty about the same thing. They are </w:t>
      </w:r>
      <w:r>
        <w:rPr>
          <w:rStyle w:val="Strong"/>
        </w:rPr>
        <w:t>two different actors</w:t>
      </w:r>
      <w:r>
        <w:rPr/>
        <w:t xml:space="preserve">: </w:t>
      </w:r>
      <w:r>
        <w:rPr>
          <w:rStyle w:val="SourceText"/>
        </w:rPr>
        <w:t>isFraud</w:t>
      </w:r>
      <w:r>
        <w:rPr/>
        <w:t xml:space="preserve"> is </w:t>
      </w:r>
      <w:r>
        <w:rPr>
          <w:rStyle w:val="Emphasis"/>
        </w:rPr>
        <w:t>the truth</w:t>
      </w:r>
      <w:r>
        <w:rPr/>
        <w:t xml:space="preserve"> (what actually happened, known after the fact); </w:t>
      </w:r>
      <w:r>
        <w:rPr>
          <w:rStyle w:val="SourceText"/>
        </w:rPr>
        <w:t>isFlaggedFraud</w:t>
      </w:r>
      <w:r>
        <w:rPr/>
        <w:t xml:space="preserve"> is </w:t>
      </w:r>
      <w:r>
        <w:rPr>
          <w:rStyle w:val="Emphasis"/>
        </w:rPr>
        <w:t>a prediction</w:t>
      </w:r>
      <w:r>
        <w:rPr/>
        <w:t xml:space="preserve"> (what the rule engine guessed at the time).</w:t>
      </w:r>
    </w:p>
    <w:tbl>
      <w:tblPr>
        <w:tblW w:w="8982" w:type="dxa"/>
        <w:jc w:val="left"/>
        <w:tblInd w:w="28" w:type="dxa"/>
        <w:tblLayout w:type="fixed"/>
        <w:tblCellMar>
          <w:top w:w="28" w:type="dxa"/>
          <w:left w:w="28" w:type="dxa"/>
          <w:bottom w:w="28" w:type="dxa"/>
          <w:right w:w="28" w:type="dxa"/>
        </w:tblCellMar>
      </w:tblPr>
      <w:tblGrid>
        <w:gridCol w:w="1541"/>
        <w:gridCol w:w="4350"/>
        <w:gridCol w:w="3091"/>
      </w:tblGrid>
      <w:tr>
        <w:trPr/>
        <w:tc>
          <w:tcPr>
            <w:tcW w:w="1541" w:type="dxa"/>
            <w:tcBorders/>
            <w:vAlign w:val="center"/>
          </w:tcPr>
          <w:p>
            <w:pPr>
              <w:pStyle w:val="TableHeading"/>
              <w:bidi w:val="0"/>
              <w:spacing w:before="0" w:after="283"/>
              <w:jc w:val="left"/>
              <w:rPr>
                <w:sz w:val="4"/>
                <w:szCs w:val="4"/>
              </w:rPr>
            </w:pPr>
            <w:r>
              <w:rPr>
                <w:sz w:val="4"/>
                <w:szCs w:val="4"/>
              </w:rPr>
            </w:r>
          </w:p>
        </w:tc>
        <w:tc>
          <w:tcPr>
            <w:tcW w:w="4350" w:type="dxa"/>
            <w:tcBorders/>
            <w:vAlign w:val="center"/>
          </w:tcPr>
          <w:p>
            <w:pPr>
              <w:pStyle w:val="TableHeading"/>
              <w:suppressLineNumbers/>
              <w:bidi w:val="0"/>
              <w:spacing w:before="0" w:after="283"/>
              <w:jc w:val="left"/>
              <w:rPr/>
            </w:pPr>
            <w:r>
              <w:rPr/>
              <w:t>Rule said "fraud"</w:t>
            </w:r>
          </w:p>
        </w:tc>
        <w:tc>
          <w:tcPr>
            <w:tcW w:w="3091" w:type="dxa"/>
            <w:tcBorders/>
            <w:vAlign w:val="center"/>
          </w:tcPr>
          <w:p>
            <w:pPr>
              <w:pStyle w:val="TableHeading"/>
              <w:suppressLineNumbers/>
              <w:bidi w:val="0"/>
              <w:spacing w:before="0" w:after="283"/>
              <w:jc w:val="left"/>
              <w:rPr/>
            </w:pPr>
            <w:r>
              <w:rPr/>
              <w:t>Rule said "fine"</w:t>
            </w:r>
          </w:p>
        </w:tc>
      </w:tr>
      <w:tr>
        <w:trPr/>
        <w:tc>
          <w:tcPr>
            <w:tcW w:w="1541" w:type="dxa"/>
            <w:tcBorders/>
            <w:vAlign w:val="center"/>
          </w:tcPr>
          <w:p>
            <w:pPr>
              <w:pStyle w:val="TableContents"/>
              <w:bidi w:val="0"/>
              <w:spacing w:before="0" w:after="283"/>
              <w:jc w:val="left"/>
              <w:rPr/>
            </w:pPr>
            <w:r>
              <w:rPr>
                <w:rStyle w:val="Strong"/>
              </w:rPr>
              <w:t>Actually fraud</w:t>
            </w:r>
          </w:p>
        </w:tc>
        <w:tc>
          <w:tcPr>
            <w:tcW w:w="4350" w:type="dxa"/>
            <w:tcBorders/>
            <w:vAlign w:val="center"/>
          </w:tcPr>
          <w:p>
            <w:pPr>
              <w:pStyle w:val="TableContents"/>
              <w:bidi w:val="0"/>
              <w:spacing w:before="0" w:after="283"/>
              <w:ind w:hanging="0" w:left="0" w:right="0"/>
              <w:jc w:val="left"/>
              <w:rPr/>
            </w:pPr>
            <w:r>
              <w:rPr/>
              <w:t xml:space="preserve">(1,1) true positive — </w:t>
            </w:r>
            <w:r>
              <w:rPr>
                <w:color w:val="2E7D32"/>
              </w:rPr>
              <w:t>the goal</w:t>
            </w:r>
          </w:p>
        </w:tc>
        <w:tc>
          <w:tcPr>
            <w:tcW w:w="3091" w:type="dxa"/>
            <w:tcBorders/>
            <w:vAlign w:val="center"/>
          </w:tcPr>
          <w:p>
            <w:pPr>
              <w:pStyle w:val="TableContents"/>
              <w:bidi w:val="0"/>
              <w:spacing w:before="0" w:after="283"/>
              <w:ind w:hanging="0" w:left="0" w:right="0"/>
              <w:jc w:val="left"/>
              <w:rPr/>
            </w:pPr>
            <w:r>
              <w:rPr/>
              <w:t xml:space="preserve">(1,0) missed it — </w:t>
            </w:r>
            <w:r>
              <w:rPr>
                <w:b/>
              </w:rPr>
              <w:t>1,404 rows</w:t>
            </w:r>
          </w:p>
        </w:tc>
      </w:tr>
      <w:tr>
        <w:trPr/>
        <w:tc>
          <w:tcPr>
            <w:tcW w:w="1541" w:type="dxa"/>
            <w:tcBorders/>
            <w:vAlign w:val="center"/>
          </w:tcPr>
          <w:p>
            <w:pPr>
              <w:pStyle w:val="TableContents"/>
              <w:bidi w:val="0"/>
              <w:spacing w:before="0" w:after="283"/>
              <w:jc w:val="left"/>
              <w:rPr/>
            </w:pPr>
            <w:r>
              <w:rPr>
                <w:rStyle w:val="Strong"/>
              </w:rPr>
              <w:t>Actually fine</w:t>
            </w:r>
          </w:p>
        </w:tc>
        <w:tc>
          <w:tcPr>
            <w:tcW w:w="4350" w:type="dxa"/>
            <w:tcBorders/>
            <w:vAlign w:val="center"/>
          </w:tcPr>
          <w:p>
            <w:pPr>
              <w:pStyle w:val="TableContents"/>
              <w:bidi w:val="0"/>
              <w:spacing w:before="0" w:after="283"/>
              <w:jc w:val="left"/>
              <w:rPr/>
            </w:pPr>
            <w:r>
              <w:rPr/>
              <w:t>(0,1) false alarm — expensive: a real customer blocked at checkout</w:t>
            </w:r>
          </w:p>
        </w:tc>
        <w:tc>
          <w:tcPr>
            <w:tcW w:w="3091" w:type="dxa"/>
            <w:tcBorders/>
            <w:vAlign w:val="center"/>
          </w:tcPr>
          <w:p>
            <w:pPr>
              <w:pStyle w:val="TableContents"/>
              <w:bidi w:val="0"/>
              <w:spacing w:before="0" w:after="283"/>
              <w:jc w:val="left"/>
              <w:rPr/>
            </w:pPr>
            <w:r>
              <w:rPr/>
              <w:t>(0,0) correctly ignored — 1,067,188 rows</w:t>
            </w:r>
          </w:p>
        </w:tc>
      </w:tr>
    </w:tbl>
    <w:p>
      <w:pPr>
        <w:pStyle w:val="BodyText"/>
        <w:bidi w:val="0"/>
        <w:jc w:val="left"/>
        <w:rPr/>
      </w:pPr>
      <w:r>
        <w:rPr/>
        <w:t xml:space="preserve">This is the </w:t>
      </w:r>
      <w:r>
        <w:rPr>
          <w:rStyle w:val="Strong"/>
        </w:rPr>
        <w:t>confusion matrix</w:t>
      </w:r>
      <w:r>
        <w:rPr/>
        <w:t>, how every fraud model on earth is evaluated. Our result: two cells populated, both in the "rule said fine" column. Phase 5 builds one of these for our own model.</w:t>
      </w:r>
    </w:p>
    <w:p>
      <w:pPr>
        <w:pStyle w:val="Heading2"/>
        <w:bidi w:val="0"/>
        <w:jc w:val="left"/>
        <w:rPr/>
      </w:pPr>
      <w:r>
        <w:rPr/>
        <w:t>What actually counts as fraud?</w:t>
      </w:r>
    </w:p>
    <w:p>
      <w:pPr>
        <w:pStyle w:val="BodyText"/>
        <w:bidi w:val="0"/>
        <w:jc w:val="left"/>
        <w:rPr/>
      </w:pPr>
      <w:r>
        <w:rPr>
          <w:rStyle w:val="Strong"/>
        </w:rPr>
        <w:t>In PaySim:</w:t>
      </w:r>
      <w:r>
        <w:rPr/>
        <w:t xml:space="preserve"> fraud is defined by </w:t>
      </w:r>
      <w:r>
        <w:rPr>
          <w:rStyle w:val="Emphasis"/>
        </w:rPr>
        <w:t>provenance</w:t>
      </w:r>
      <w:r>
        <w:rPr/>
        <w:t xml:space="preserve">, not behaviour — the simulator has fraud agents that take over accounts and drain them, and </w:t>
      </w:r>
      <w:r>
        <w:rPr>
          <w:rStyle w:val="SourceText"/>
        </w:rPr>
        <w:t>isFraud=1</w:t>
      </w:r>
      <w:r>
        <w:rPr/>
        <w:t xml:space="preserve"> means "generated by a fraud agent." Perfect ground truth, which exists nowhere in reality.</w:t>
      </w:r>
    </w:p>
    <w:p>
      <w:pPr>
        <w:pStyle w:val="BodyText"/>
        <w:bidi w:val="0"/>
        <w:jc w:val="left"/>
        <w:rPr/>
      </w:pPr>
      <w:r>
        <w:rPr>
          <w:rStyle w:val="Strong"/>
        </w:rPr>
        <w:t>In a real bank:</w:t>
      </w:r>
      <w:r>
        <w:rPr/>
        <w:t xml:space="preserve"> fraud is whatever an </w:t>
      </w:r>
      <w:r>
        <w:rPr>
          <w:rStyle w:val="Emphasis"/>
        </w:rPr>
        <w:t>investigation confirmed</w:t>
      </w:r>
      <w:r>
        <w:rPr/>
        <w:t xml:space="preserve">. A customer disputes a charge, an analyst reviews, a case closes as confirmed or not. So labels are </w:t>
      </w:r>
      <w:r>
        <w:rPr>
          <w:rStyle w:val="Strong"/>
        </w:rPr>
        <w:t>late</w:t>
      </w:r>
      <w:r>
        <w:rPr/>
        <w:t xml:space="preserve"> (weeks), </w:t>
      </w:r>
      <w:r>
        <w:rPr>
          <w:rStyle w:val="Strong"/>
        </w:rPr>
        <w:t>incomplete</w:t>
      </w:r>
      <w:r>
        <w:rPr/>
        <w:t xml:space="preserve"> (undetected fraud stays labelled 0 forever) and </w:t>
      </w:r>
      <w:r>
        <w:rPr>
          <w:rStyle w:val="Strong"/>
        </w:rPr>
        <w:t>subjective</w:t>
      </w:r>
      <w:r>
        <w:rPr/>
        <w:t xml:space="preserve"> (an analyst decided). A model learns from human judgements, not truth.</w:t>
      </w:r>
    </w:p>
    <w:p>
      <w:pPr>
        <w:pStyle w:val="Heading3"/>
        <w:bidi w:val="0"/>
        <w:jc w:val="left"/>
        <w:rPr/>
      </w:pPr>
      <w:r>
        <w:rPr/>
        <w:t>Different definitions, even inside one bank</w:t>
      </w:r>
    </w:p>
    <w:tbl>
      <w:tblPr>
        <w:tblW w:w="8982" w:type="dxa"/>
        <w:jc w:val="left"/>
        <w:tblInd w:w="28" w:type="dxa"/>
        <w:tblLayout w:type="fixed"/>
        <w:tblCellMar>
          <w:top w:w="28" w:type="dxa"/>
          <w:left w:w="28" w:type="dxa"/>
          <w:bottom w:w="28" w:type="dxa"/>
          <w:right w:w="28" w:type="dxa"/>
        </w:tblCellMar>
      </w:tblPr>
      <w:tblGrid>
        <w:gridCol w:w="1740"/>
        <w:gridCol w:w="7242"/>
      </w:tblGrid>
      <w:tr>
        <w:trPr/>
        <w:tc>
          <w:tcPr>
            <w:tcW w:w="1740" w:type="dxa"/>
            <w:tcBorders/>
            <w:vAlign w:val="center"/>
          </w:tcPr>
          <w:p>
            <w:pPr>
              <w:pStyle w:val="TableHeading"/>
              <w:suppressLineNumbers/>
              <w:bidi w:val="0"/>
              <w:spacing w:before="0" w:after="283"/>
              <w:jc w:val="left"/>
              <w:rPr/>
            </w:pPr>
            <w:r>
              <w:rPr/>
              <w:t>Team</w:t>
            </w:r>
          </w:p>
        </w:tc>
        <w:tc>
          <w:tcPr>
            <w:tcW w:w="7242" w:type="dxa"/>
            <w:tcBorders/>
            <w:vAlign w:val="center"/>
          </w:tcPr>
          <w:p>
            <w:pPr>
              <w:pStyle w:val="TableHeading"/>
              <w:suppressLineNumbers/>
              <w:bidi w:val="0"/>
              <w:spacing w:before="0" w:after="283"/>
              <w:jc w:val="left"/>
              <w:rPr/>
            </w:pPr>
            <w:r>
              <w:rPr/>
              <w:t>What they call fraud</w:t>
            </w:r>
          </w:p>
        </w:tc>
      </w:tr>
      <w:tr>
        <w:trPr/>
        <w:tc>
          <w:tcPr>
            <w:tcW w:w="1740" w:type="dxa"/>
            <w:tcBorders/>
            <w:vAlign w:val="center"/>
          </w:tcPr>
          <w:p>
            <w:pPr>
              <w:pStyle w:val="TableContents"/>
              <w:bidi w:val="0"/>
              <w:spacing w:before="0" w:after="283"/>
              <w:jc w:val="left"/>
              <w:rPr/>
            </w:pPr>
            <w:r>
              <w:rPr/>
              <w:t>Card fraud</w:t>
            </w:r>
          </w:p>
        </w:tc>
        <w:tc>
          <w:tcPr>
            <w:tcW w:w="7242" w:type="dxa"/>
            <w:tcBorders/>
            <w:vAlign w:val="center"/>
          </w:tcPr>
          <w:p>
            <w:pPr>
              <w:pStyle w:val="TableContents"/>
              <w:bidi w:val="0"/>
              <w:spacing w:before="0" w:after="283"/>
              <w:jc w:val="left"/>
              <w:rPr/>
            </w:pPr>
            <w:r>
              <w:rPr/>
              <w:t>Stolen card / card-not-present. Victim is usually the bank or merchant.</w:t>
            </w:r>
          </w:p>
        </w:tc>
      </w:tr>
      <w:tr>
        <w:trPr/>
        <w:tc>
          <w:tcPr>
            <w:tcW w:w="1740" w:type="dxa"/>
            <w:tcBorders/>
            <w:vAlign w:val="center"/>
          </w:tcPr>
          <w:p>
            <w:pPr>
              <w:pStyle w:val="TableContents"/>
              <w:bidi w:val="0"/>
              <w:spacing w:before="0" w:after="283"/>
              <w:jc w:val="left"/>
              <w:rPr/>
            </w:pPr>
            <w:r>
              <w:rPr/>
              <w:t>Account takeover</w:t>
            </w:r>
          </w:p>
        </w:tc>
        <w:tc>
          <w:tcPr>
            <w:tcW w:w="7242" w:type="dxa"/>
            <w:tcBorders/>
            <w:vAlign w:val="center"/>
          </w:tcPr>
          <w:p>
            <w:pPr>
              <w:pStyle w:val="TableContents"/>
              <w:bidi w:val="0"/>
              <w:spacing w:before="0" w:after="283"/>
              <w:ind w:hanging="0" w:left="0" w:right="0"/>
              <w:jc w:val="left"/>
              <w:rPr/>
            </w:pPr>
            <w:r>
              <w:rPr/>
              <w:t xml:space="preserve">Someone else got into your account. </w:t>
            </w:r>
            <w:r>
              <w:rPr>
                <w:color w:val="2E7D32"/>
              </w:rPr>
              <w:t>Closest to PaySim.</w:t>
            </w:r>
          </w:p>
        </w:tc>
      </w:tr>
      <w:tr>
        <w:trPr/>
        <w:tc>
          <w:tcPr>
            <w:tcW w:w="1740" w:type="dxa"/>
            <w:tcBorders/>
            <w:vAlign w:val="center"/>
          </w:tcPr>
          <w:p>
            <w:pPr>
              <w:pStyle w:val="TableContents"/>
              <w:bidi w:val="0"/>
              <w:spacing w:before="0" w:after="283"/>
              <w:jc w:val="left"/>
              <w:rPr/>
            </w:pPr>
            <w:r>
              <w:rPr/>
              <w:t>Scams (APP fraud)</w:t>
            </w:r>
          </w:p>
        </w:tc>
        <w:tc>
          <w:tcPr>
            <w:tcW w:w="7242" w:type="dxa"/>
            <w:tcBorders/>
            <w:vAlign w:val="center"/>
          </w:tcPr>
          <w:p>
            <w:pPr>
              <w:pStyle w:val="TableContents"/>
              <w:bidi w:val="0"/>
              <w:spacing w:before="0" w:after="283"/>
              <w:jc w:val="left"/>
              <w:rPr/>
            </w:pPr>
            <w:r>
              <w:rPr>
                <w:rStyle w:val="Emphasis"/>
              </w:rPr>
              <w:t>You</w:t>
            </w:r>
            <w:r>
              <w:rPr/>
              <w:t xml:space="preserve"> made the payment — because a criminal tricked you. Contentious: you authorised it, so is it fraud? UK regulators forced reimbursement; other jurisdictions haven't.</w:t>
            </w:r>
          </w:p>
        </w:tc>
      </w:tr>
      <w:tr>
        <w:trPr/>
        <w:tc>
          <w:tcPr>
            <w:tcW w:w="1740" w:type="dxa"/>
            <w:tcBorders/>
            <w:vAlign w:val="center"/>
          </w:tcPr>
          <w:p>
            <w:pPr>
              <w:pStyle w:val="TableContents"/>
              <w:bidi w:val="0"/>
              <w:spacing w:before="0" w:after="283"/>
              <w:jc w:val="left"/>
              <w:rPr/>
            </w:pPr>
            <w:r>
              <w:rPr/>
              <w:t>First-party fraud</w:t>
            </w:r>
          </w:p>
        </w:tc>
        <w:tc>
          <w:tcPr>
            <w:tcW w:w="7242" w:type="dxa"/>
            <w:tcBorders/>
            <w:vAlign w:val="center"/>
          </w:tcPr>
          <w:p>
            <w:pPr>
              <w:pStyle w:val="TableContents"/>
              <w:bidi w:val="0"/>
              <w:spacing w:before="0" w:after="283"/>
              <w:jc w:val="left"/>
              <w:rPr/>
            </w:pPr>
            <w:r>
              <w:rPr/>
              <w:t xml:space="preserve">The customer </w:t>
            </w:r>
            <w:r>
              <w:rPr>
                <w:rStyle w:val="Emphasis"/>
              </w:rPr>
              <w:t>is</w:t>
            </w:r>
            <w:r>
              <w:rPr/>
              <w:t xml:space="preserve"> the fraudster — takes a loan intending never to repay. Often classified as credit risk, not fraud.</w:t>
            </w:r>
          </w:p>
        </w:tc>
      </w:tr>
      <w:tr>
        <w:trPr/>
        <w:tc>
          <w:tcPr>
            <w:tcW w:w="1740" w:type="dxa"/>
            <w:tcBorders/>
            <w:vAlign w:val="center"/>
          </w:tcPr>
          <w:p>
            <w:pPr>
              <w:pStyle w:val="TableContents"/>
              <w:bidi w:val="0"/>
              <w:spacing w:before="0" w:after="283"/>
              <w:jc w:val="left"/>
              <w:rPr/>
            </w:pPr>
            <w:r>
              <w:rPr/>
              <w:t>AML</w:t>
            </w:r>
          </w:p>
        </w:tc>
        <w:tc>
          <w:tcPr>
            <w:tcW w:w="7242" w:type="dxa"/>
            <w:tcBorders/>
            <w:vAlign w:val="center"/>
          </w:tcPr>
          <w:p>
            <w:pPr>
              <w:pStyle w:val="TableContents"/>
              <w:bidi w:val="0"/>
              <w:spacing w:before="0" w:after="283"/>
              <w:jc w:val="left"/>
              <w:rPr/>
            </w:pPr>
            <w:r>
              <w:rPr/>
              <w:t xml:space="preserve">Money laundering. Separate team, separate regulator, separate systems. The movement may be legitimate; the </w:t>
            </w:r>
            <w:r>
              <w:rPr>
                <w:rStyle w:val="Emphasis"/>
              </w:rPr>
              <w:t>source</w:t>
            </w:r>
            <w:r>
              <w:rPr/>
              <w:t xml:space="preserve"> is criminal.</w:t>
            </w:r>
          </w:p>
        </w:tc>
      </w:tr>
      <w:tr>
        <w:trPr/>
        <w:tc>
          <w:tcPr>
            <w:tcW w:w="1740" w:type="dxa"/>
            <w:tcBorders/>
            <w:vAlign w:val="center"/>
          </w:tcPr>
          <w:p>
            <w:pPr>
              <w:pStyle w:val="TableContents"/>
              <w:bidi w:val="0"/>
              <w:spacing w:before="0" w:after="283"/>
              <w:jc w:val="left"/>
              <w:rPr/>
            </w:pPr>
            <w:r>
              <w:rPr/>
              <w:t>Application fraud</w:t>
            </w:r>
          </w:p>
        </w:tc>
        <w:tc>
          <w:tcPr>
            <w:tcW w:w="7242" w:type="dxa"/>
            <w:tcBorders/>
            <w:vAlign w:val="center"/>
          </w:tcPr>
          <w:p>
            <w:pPr>
              <w:pStyle w:val="TableContents"/>
              <w:bidi w:val="0"/>
              <w:spacing w:before="0" w:after="283"/>
              <w:jc w:val="left"/>
              <w:rPr/>
            </w:pPr>
            <w:r>
              <w:rPr/>
              <w:t>Fake or synthetic identity at signup.</w:t>
            </w:r>
          </w:p>
        </w:tc>
      </w:tr>
    </w:tbl>
    <w:p>
      <w:pPr>
        <w:pStyle w:val="BodyText"/>
        <w:bidi w:val="0"/>
        <w:spacing w:before="300" w:after="300"/>
        <w:ind w:hanging="0" w:left="300" w:right="300"/>
        <w:jc w:val="left"/>
        <w:rPr>
          <w:bdr w:val="single" w:sz="2" w:space="12" w:color="000000"/>
        </w:rPr>
      </w:pPr>
      <w:r>
        <w:rPr>
          <w:bdr w:val="single" w:sz="2" w:space="12" w:color="000000"/>
        </w:rPr>
        <w:t>Same bank, six teams, six definitions, six models — and boundary disputes are constant, because budget and blame follow the classification.</w:t>
      </w:r>
    </w:p>
    <w:p>
      <w:pPr>
        <w:pStyle w:val="BodyTextwhy"/>
        <w:bidi w:val="0"/>
        <w:spacing w:before="300" w:after="300"/>
        <w:ind w:hanging="0" w:left="300" w:right="300"/>
        <w:jc w:val="left"/>
        <w:rPr>
          <w:bdr w:val="single" w:sz="2" w:space="12" w:color="000000"/>
        </w:rPr>
      </w:pPr>
      <w:r>
        <w:rPr>
          <w:bdr w:val="single" w:sz="2" w:space="12" w:color="000000"/>
        </w:rPr>
        <w:t>Practical rule: never accept a label column without asking who created it, when, and by what process.</w:t>
      </w:r>
    </w:p>
    <w:p>
      <w:pPr>
        <w:pStyle w:val="BodyTextlearn"/>
        <w:bidi w:val="0"/>
        <w:ind w:hanging="0"/>
        <w:jc w:val="left"/>
        <w:rPr/>
      </w:pPr>
      <w:r>
        <w:rPr>
          <w:rStyle w:val="Strong"/>
        </w:rPr>
        <w:t>You learn:</w:t>
      </w:r>
      <w:r>
        <w:rPr/>
        <w:t xml:space="preserve"> profiling as evidence-gathering, the SQL patterns above (integer division, CASE WHEN vs WHERE, float tolerance, GROUP BY's data-driven groups), confusion matrices, rules vs features, class imbalance, and that "fraud" is an organisational definition rather than a fact.</w:t>
      </w:r>
    </w:p>
    <w:p>
      <w:pPr>
        <w:sectPr>
          <w:type w:val="continuous"/>
          <w:pgSz w:w="11906" w:h="16838"/>
          <w:pgMar w:left="1134" w:right="567" w:gutter="0" w:header="0" w:top="567" w:footer="0" w:bottom="567"/>
          <w:pgNumType w:fmt="decimal"/>
          <w:formProt w:val="false"/>
          <w:textDirection w:val="lrTb"/>
          <w:docGrid w:type="default" w:linePitch="600" w:charSpace="32768"/>
        </w:sectPr>
      </w:pPr>
    </w:p>
    <w:p>
      <w:pPr>
        <w:pStyle w:val="BodyText"/>
        <w:bidi w:val="0"/>
        <w:spacing w:before="1080" w:after="283"/>
        <w:ind w:hanging="0" w:left="0" w:right="0"/>
        <w:jc w:val="left"/>
        <w:rPr>
          <w:b/>
          <w:color w:val="FFFFFF"/>
        </w:rPr>
      </w:pPr>
      <w:r>
        <w:rPr>
          <w:b/>
          <w:color w:val="FFFFFF"/>
        </w:rPr>
        <w:t xml:space="preserve">Note 10 — Silver Design Specification </w:t>
      </w:r>
      <w:r>
        <w:rPr>
          <w:b w:val="false"/>
          <w:color w:val="FFFFFF"/>
        </w:rPr>
        <w:t>· August 2026</w:t>
      </w:r>
    </w:p>
    <w:p>
      <w:pPr>
        <w:sectPr>
          <w:type w:val="continuous"/>
          <w:pgSz w:w="11906" w:h="16838"/>
          <w:pgMar w:left="1134" w:right="567" w:gutter="0" w:header="0" w:top="567" w:footer="0" w:bottom="567"/>
          <w:formProt w:val="false"/>
          <w:textDirection w:val="lrTb"/>
          <w:docGrid w:type="default" w:linePitch="600" w:charSpace="32768"/>
        </w:sectPr>
      </w:pPr>
    </w:p>
    <w:p>
      <w:pPr>
        <w:pStyle w:val="Heading2"/>
        <w:bidi w:val="0"/>
        <w:jc w:val="left"/>
        <w:rPr/>
      </w:pPr>
      <w:r>
        <w:rPr/>
        <w:t>What silver is for</w:t>
      </w:r>
    </w:p>
    <w:p>
      <w:pPr>
        <w:pStyle w:val="BodyText"/>
        <w:bidi w:val="0"/>
        <w:spacing w:before="300" w:after="300"/>
        <w:ind w:hanging="0" w:left="300" w:right="300"/>
        <w:jc w:val="left"/>
        <w:rPr/>
      </w:pPr>
      <w:r>
        <w:rPr>
          <w:rStyle w:val="Strong"/>
          <w:bdr w:val="single" w:sz="2" w:space="12" w:color="000000"/>
        </w:rPr>
        <w:t>Same rows, made trustworthy and usable.</w:t>
      </w:r>
      <w:r>
        <w:rPr>
          <w:bdr w:val="single" w:sz="2" w:space="12" w:color="000000"/>
        </w:rPr>
        <w:t xml:space="preserve"> Grain is unchanged — one transaction, one row. Three jobs: cast text to real types, rename to clean names, and add </w:t>
      </w:r>
      <w:r>
        <w:rPr>
          <w:rStyle w:val="Emphasis"/>
          <w:bdr w:val="single" w:sz="2" w:space="12" w:color="000000"/>
        </w:rPr>
        <w:t>derived</w:t>
      </w:r>
      <w:r>
        <w:rPr>
          <w:bdr w:val="single" w:sz="2" w:space="12" w:color="000000"/>
        </w:rPr>
        <w:t xml:space="preserve"> columns that answer questions a raw row cannot. Nothing is aggregated; that is gold's job.</w:t>
      </w:r>
    </w:p>
    <w:p>
      <w:pPr>
        <w:pStyle w:val="BodyText"/>
        <w:bidi w:val="0"/>
        <w:spacing w:before="300" w:after="300"/>
        <w:ind w:hanging="0" w:left="300" w:right="300"/>
        <w:jc w:val="left"/>
        <w:rPr/>
      </w:pPr>
      <w:r>
        <w:rPr>
          <w:bdr w:val="single" w:sz="2" w:space="12" w:color="000000"/>
        </w:rPr>
        <w:t xml:space="preserve">Why bother: every fraud question needs those derived columns. Compute them </w:t>
      </w:r>
      <w:r>
        <w:rPr>
          <w:rStyle w:val="Strong"/>
          <w:bdr w:val="single" w:sz="2" w:space="12" w:color="000000"/>
        </w:rPr>
        <w:t>once, correctly, here</w:t>
      </w:r>
      <w:r>
        <w:rPr>
          <w:bdr w:val="single" w:sz="2" w:space="12" w:color="000000"/>
        </w:rPr>
        <w:t xml:space="preserve"> — or fifty analysts each write their own broken version of "did this drain the account."</w:t>
      </w:r>
    </w:p>
    <w:p>
      <w:pPr>
        <w:pStyle w:val="Heading3"/>
        <w:bidi w:val="0"/>
        <w:ind w:hanging="0"/>
        <w:jc w:val="left"/>
        <w:rPr/>
      </w:pPr>
      <w:r>
        <w:rPr/>
        <w:t>Before and after</w:t>
      </w:r>
    </w:p>
    <w:p>
      <w:pPr>
        <w:pStyle w:val="PreformattedText"/>
        <w:bidi w:val="0"/>
        <w:jc w:val="left"/>
        <w:rPr/>
      </w:pPr>
      <w:r>
        <w:rPr>
          <w:rStyle w:val="SourceText"/>
        </w:rPr>
        <w:t>BRONZE (text, ugly names, no event time, no signal)</w:t>
      </w:r>
    </w:p>
    <w:p>
      <w:pPr>
        <w:pStyle w:val="PreformattedText"/>
        <w:bidi w:val="0"/>
        <w:jc w:val="left"/>
        <w:rPr/>
      </w:pPr>
      <w:r>
        <w:rPr>
          <w:rStyle w:val="SourceText"/>
        </w:rPr>
        <w:t>step=1  type=TRANSFER  amount="181.0"  nameOrig="C1305486145"</w:t>
      </w:r>
    </w:p>
    <w:p>
      <w:pPr>
        <w:pStyle w:val="PreformattedText"/>
        <w:bidi w:val="0"/>
        <w:jc w:val="left"/>
        <w:rPr/>
      </w:pPr>
      <w:r>
        <w:rPr>
          <w:rStyle w:val="SourceText"/>
        </w:rPr>
        <w:t>oldbalanceOrg="181.0"  newbalanceOrig="0.0"  isFraud="1"</w:t>
      </w:r>
    </w:p>
    <w:p>
      <w:pPr>
        <w:pStyle w:val="PreformattedText"/>
        <w:bidi w:val="0"/>
        <w:jc w:val="left"/>
        <w:rPr/>
      </w:pPr>
      <w:r>
        <w:rPr/>
      </w:r>
    </w:p>
    <w:p>
      <w:pPr>
        <w:pStyle w:val="PreformattedText"/>
        <w:bidi w:val="0"/>
        <w:jc w:val="left"/>
        <w:rPr/>
      </w:pPr>
      <w:r>
        <w:rPr>
          <w:rStyle w:val="SourceText"/>
        </w:rPr>
        <w:t>SILVER</w:t>
      </w:r>
    </w:p>
    <w:p>
      <w:pPr>
        <w:pStyle w:val="PreformattedText"/>
        <w:bidi w:val="0"/>
        <w:jc w:val="left"/>
        <w:rPr/>
      </w:pPr>
      <w:r>
        <w:rPr>
          <w:rStyle w:val="SourceText"/>
        </w:rPr>
        <w:t>event_timestamp       = 2026-06-01 01:00:00</w:t>
      </w:r>
    </w:p>
    <w:p>
      <w:pPr>
        <w:pStyle w:val="PreformattedText"/>
        <w:bidi w:val="0"/>
        <w:jc w:val="left"/>
        <w:rPr/>
      </w:pPr>
      <w:r>
        <w:rPr>
          <w:rStyle w:val="SourceText"/>
        </w:rPr>
        <w:t>txn_type              = TRANSFER</w:t>
      </w:r>
    </w:p>
    <w:p>
      <w:pPr>
        <w:pStyle w:val="PreformattedText"/>
        <w:bidi w:val="0"/>
        <w:jc w:val="left"/>
        <w:rPr/>
      </w:pPr>
      <w:r>
        <w:rPr>
          <w:rStyle w:val="SourceText"/>
        </w:rPr>
        <w:t>amount                = 181.00</w:t>
      </w:r>
    </w:p>
    <w:p>
      <w:pPr>
        <w:pStyle w:val="PreformattedText"/>
        <w:bidi w:val="0"/>
        <w:jc w:val="left"/>
        <w:rPr/>
      </w:pPr>
      <w:r>
        <w:rPr>
          <w:rStyle w:val="SourceText"/>
        </w:rPr>
        <w:t>sender_id             = C1305486145</w:t>
      </w:r>
    </w:p>
    <w:p>
      <w:pPr>
        <w:pStyle w:val="PreformattedText"/>
        <w:bidi w:val="0"/>
        <w:jc w:val="left"/>
        <w:rPr/>
      </w:pPr>
      <w:r>
        <w:rPr>
          <w:rStyle w:val="SourceText"/>
        </w:rPr>
        <w:t>sender_balance_before = 181.00</w:t>
      </w:r>
    </w:p>
    <w:p>
      <w:pPr>
        <w:pStyle w:val="PreformattedText"/>
        <w:bidi w:val="0"/>
        <w:jc w:val="left"/>
        <w:rPr/>
      </w:pPr>
      <w:r>
        <w:rPr>
          <w:rStyle w:val="SourceText"/>
        </w:rPr>
        <w:t>sender_balance_after  = 0.00</w:t>
      </w:r>
    </w:p>
    <w:p>
      <w:pPr>
        <w:pStyle w:val="PreformattedText"/>
        <w:bidi w:val="0"/>
        <w:jc w:val="left"/>
        <w:rPr/>
      </w:pPr>
      <w:r>
        <w:rPr>
          <w:rStyle w:val="SourceText"/>
        </w:rPr>
        <w:t>balance_reconciles    = true</w:t>
      </w:r>
    </w:p>
    <w:p>
      <w:pPr>
        <w:pStyle w:val="PreformattedText"/>
        <w:bidi w:val="0"/>
        <w:jc w:val="left"/>
        <w:rPr/>
      </w:pPr>
      <w:r>
        <w:rPr>
          <w:rStyle w:val="SourceText"/>
        </w:rPr>
        <w:t>sender_emptied        = true</w:t>
      </w:r>
    </w:p>
    <w:p>
      <w:pPr>
        <w:pStyle w:val="PreformattedText"/>
        <w:bidi w:val="0"/>
        <w:jc w:val="left"/>
        <w:rPr/>
      </w:pPr>
      <w:r>
        <w:rPr>
          <w:rStyle w:val="SourceText"/>
        </w:rPr>
        <w:t>drain_ratio           = 1.00</w:t>
      </w:r>
    </w:p>
    <w:p>
      <w:pPr>
        <w:pStyle w:val="PreformattedText"/>
        <w:bidi w:val="0"/>
        <w:spacing w:before="0" w:after="283"/>
        <w:jc w:val="left"/>
        <w:rPr/>
      </w:pPr>
      <w:r>
        <w:rPr>
          <w:rStyle w:val="SourceText"/>
        </w:rPr>
        <w:t>is_fraud              = true</w:t>
      </w:r>
    </w:p>
    <w:p>
      <w:pPr>
        <w:pStyle w:val="Heading2"/>
        <w:bidi w:val="0"/>
        <w:jc w:val="left"/>
        <w:rPr/>
      </w:pPr>
      <w:r>
        <w:rPr/>
        <w:t>How the column list was derived (the method, not the answer)</w:t>
      </w:r>
    </w:p>
    <w:tbl>
      <w:tblPr>
        <w:tblW w:w="8982" w:type="dxa"/>
        <w:jc w:val="left"/>
        <w:tblInd w:w="28" w:type="dxa"/>
        <w:tblLayout w:type="fixed"/>
        <w:tblCellMar>
          <w:top w:w="28" w:type="dxa"/>
          <w:left w:w="28" w:type="dxa"/>
          <w:bottom w:w="28" w:type="dxa"/>
          <w:right w:w="28" w:type="dxa"/>
        </w:tblCellMar>
      </w:tblPr>
      <w:tblGrid>
        <w:gridCol w:w="1990"/>
        <w:gridCol w:w="6992"/>
      </w:tblGrid>
      <w:tr>
        <w:trPr/>
        <w:tc>
          <w:tcPr>
            <w:tcW w:w="1990" w:type="dxa"/>
            <w:tcBorders/>
            <w:vAlign w:val="center"/>
          </w:tcPr>
          <w:p>
            <w:pPr>
              <w:pStyle w:val="TableHeading"/>
              <w:suppressLineNumbers/>
              <w:bidi w:val="0"/>
              <w:spacing w:before="0" w:after="283"/>
              <w:jc w:val="left"/>
              <w:rPr/>
            </w:pPr>
            <w:r>
              <w:rPr/>
              <w:t>Rule</w:t>
            </w:r>
          </w:p>
        </w:tc>
        <w:tc>
          <w:tcPr>
            <w:tcW w:w="6992" w:type="dxa"/>
            <w:tcBorders/>
            <w:vAlign w:val="center"/>
          </w:tcPr>
          <w:p>
            <w:pPr>
              <w:pStyle w:val="TableHeading"/>
              <w:suppressLineNumbers/>
              <w:bidi w:val="0"/>
              <w:spacing w:before="0" w:after="283"/>
              <w:jc w:val="left"/>
              <w:rPr/>
            </w:pPr>
            <w:r>
              <w:rPr/>
              <w:t>Applied here</w:t>
            </w:r>
          </w:p>
        </w:tc>
      </w:tr>
      <w:tr>
        <w:trPr/>
        <w:tc>
          <w:tcPr>
            <w:tcW w:w="1990" w:type="dxa"/>
            <w:tcBorders/>
            <w:vAlign w:val="center"/>
          </w:tcPr>
          <w:p>
            <w:pPr>
              <w:pStyle w:val="TableContents"/>
              <w:bidi w:val="0"/>
              <w:spacing w:before="0" w:after="283"/>
              <w:jc w:val="left"/>
              <w:rPr/>
            </w:pPr>
            <w:r>
              <w:rPr/>
              <w:t>1. Keep everything from bronze</w:t>
            </w:r>
          </w:p>
        </w:tc>
        <w:tc>
          <w:tcPr>
            <w:tcW w:w="6992" w:type="dxa"/>
            <w:tcBorders/>
            <w:vAlign w:val="center"/>
          </w:tcPr>
          <w:p>
            <w:pPr>
              <w:pStyle w:val="TableContents"/>
              <w:bidi w:val="0"/>
              <w:spacing w:before="0" w:after="283"/>
              <w:jc w:val="left"/>
              <w:rPr/>
            </w:pPr>
            <w:r>
              <w:rPr/>
              <w:t xml:space="preserve">Silver isn't about dropping columns; it's about making them usable. Drop only what is genuinely meaningless — note </w:t>
            </w:r>
            <w:r>
              <w:rPr>
                <w:rStyle w:val="SourceText"/>
              </w:rPr>
              <w:t>isFlaggedFraud</w:t>
            </w:r>
            <w:r>
              <w:rPr/>
              <w:t xml:space="preserve"> survives despite being all zeros, because "useless data" and "evidence the old system failed" are different things.</w:t>
            </w:r>
          </w:p>
        </w:tc>
      </w:tr>
      <w:tr>
        <w:trPr/>
        <w:tc>
          <w:tcPr>
            <w:tcW w:w="1990" w:type="dxa"/>
            <w:tcBorders/>
            <w:vAlign w:val="center"/>
          </w:tcPr>
          <w:p>
            <w:pPr>
              <w:pStyle w:val="TableContents"/>
              <w:bidi w:val="0"/>
              <w:spacing w:before="0" w:after="283"/>
              <w:jc w:val="left"/>
              <w:rPr/>
            </w:pPr>
            <w:r>
              <w:rPr/>
              <w:t>2. Rename what's wrong</w:t>
            </w:r>
          </w:p>
        </w:tc>
        <w:tc>
          <w:tcPr>
            <w:tcW w:w="6992" w:type="dxa"/>
            <w:tcBorders/>
            <w:vAlign w:val="center"/>
          </w:tcPr>
          <w:p>
            <w:pPr>
              <w:pStyle w:val="TableContents"/>
              <w:bidi w:val="0"/>
              <w:spacing w:before="0" w:after="283"/>
              <w:jc w:val="left"/>
              <w:rPr/>
            </w:pPr>
            <w:r>
              <w:rPr>
                <w:rStyle w:val="SourceText"/>
              </w:rPr>
              <w:t>oldbalanceOrg</w:t>
            </w:r>
            <w:r>
              <w:rPr/>
              <w:t>/</w:t>
            </w:r>
            <w:r>
              <w:rPr>
                <w:rStyle w:val="SourceText"/>
              </w:rPr>
              <w:t>newbalanceOrig</w:t>
            </w:r>
            <w:r>
              <w:rPr/>
              <w:t xml:space="preserve"> are inconsistent and a trap; </w:t>
            </w:r>
            <w:r>
              <w:rPr>
                <w:rStyle w:val="SourceText"/>
              </w:rPr>
              <w:t>type</w:t>
            </w:r>
            <w:r>
              <w:rPr/>
              <w:t xml:space="preserve"> is a SQL reserved word. Names are fixed exactly once, here.</w:t>
            </w:r>
          </w:p>
        </w:tc>
      </w:tr>
      <w:tr>
        <w:trPr/>
        <w:tc>
          <w:tcPr>
            <w:tcW w:w="1990" w:type="dxa"/>
            <w:tcBorders/>
            <w:vAlign w:val="center"/>
          </w:tcPr>
          <w:p>
            <w:pPr>
              <w:pStyle w:val="TableContents"/>
              <w:bidi w:val="0"/>
              <w:spacing w:before="0" w:after="283"/>
              <w:jc w:val="left"/>
              <w:rPr/>
            </w:pPr>
            <w:r>
              <w:rPr/>
              <w:t>3. Cast what gets used numerically</w:t>
            </w:r>
          </w:p>
        </w:tc>
        <w:tc>
          <w:tcPr>
            <w:tcW w:w="6992" w:type="dxa"/>
            <w:tcBorders/>
            <w:vAlign w:val="center"/>
          </w:tcPr>
          <w:p>
            <w:pPr>
              <w:pStyle w:val="TableContents"/>
              <w:bidi w:val="0"/>
              <w:spacing w:before="0" w:after="283"/>
              <w:jc w:val="left"/>
              <w:rPr/>
            </w:pPr>
            <w:r>
              <w:rPr/>
              <w:t xml:space="preserve">Anything used in arithmetic or comparison. </w:t>
            </w:r>
            <w:r>
              <w:rPr>
                <w:rStyle w:val="SourceText"/>
              </w:rPr>
              <w:t>nameOrig</w:t>
            </w:r>
            <w:r>
              <w:rPr/>
              <w:t xml:space="preserve"> stays a string forever — you never add two account IDs.</w:t>
            </w:r>
          </w:p>
        </w:tc>
      </w:tr>
      <w:tr>
        <w:trPr/>
        <w:tc>
          <w:tcPr>
            <w:tcW w:w="1990" w:type="dxa"/>
            <w:tcBorders/>
            <w:vAlign w:val="center"/>
          </w:tcPr>
          <w:p>
            <w:pPr>
              <w:pStyle w:val="TableContents"/>
              <w:bidi w:val="0"/>
              <w:spacing w:before="0" w:after="283"/>
              <w:jc w:val="left"/>
              <w:rPr/>
            </w:pPr>
            <w:r>
              <w:rPr/>
              <w:t xml:space="preserve">4a. Derive from </w:t>
            </w:r>
            <w:r>
              <w:rPr>
                <w:rStyle w:val="Strong"/>
              </w:rPr>
              <w:t>profiling findings</w:t>
            </w:r>
          </w:p>
        </w:tc>
        <w:tc>
          <w:tcPr>
            <w:tcW w:w="6992" w:type="dxa"/>
            <w:tcBorders/>
            <w:vAlign w:val="center"/>
          </w:tcPr>
          <w:p>
            <w:pPr>
              <w:pStyle w:val="TableContents"/>
              <w:bidi w:val="0"/>
              <w:spacing w:before="0" w:after="283"/>
              <w:jc w:val="left"/>
              <w:rPr/>
            </w:pPr>
            <w:r>
              <w:rPr/>
              <w:t xml:space="preserve">Balances don't reconcile → </w:t>
            </w:r>
            <w:r>
              <w:rPr>
                <w:rStyle w:val="SourceText"/>
              </w:rPr>
              <w:t>balance_reconciles</w:t>
            </w:r>
            <w:r>
              <w:rPr/>
              <w:t xml:space="preserve">. Zero means unknown → </w:t>
            </w:r>
            <w:r>
              <w:rPr>
                <w:rStyle w:val="SourceText"/>
              </w:rPr>
              <w:t>sender_balance_unknown</w:t>
            </w:r>
            <w:r>
              <w:rPr/>
              <w:t xml:space="preserve">. The </w:t>
            </w:r>
            <w:r>
              <w:rPr>
                <w:rStyle w:val="SourceText"/>
              </w:rPr>
              <w:t>M</w:t>
            </w:r>
            <w:r>
              <w:rPr/>
              <w:t xml:space="preserve"> prefix → </w:t>
            </w:r>
            <w:r>
              <w:rPr>
                <w:rStyle w:val="SourceText"/>
              </w:rPr>
              <w:t>is_receiver_merchant</w:t>
            </w:r>
            <w:r>
              <w:rPr/>
              <w:t>.</w:t>
            </w:r>
          </w:p>
        </w:tc>
      </w:tr>
      <w:tr>
        <w:trPr/>
        <w:tc>
          <w:tcPr>
            <w:tcW w:w="1990" w:type="dxa"/>
            <w:tcBorders/>
            <w:vAlign w:val="center"/>
          </w:tcPr>
          <w:p>
            <w:pPr>
              <w:pStyle w:val="TableContents"/>
              <w:bidi w:val="0"/>
              <w:spacing w:before="0" w:after="283"/>
              <w:jc w:val="left"/>
              <w:rPr/>
            </w:pPr>
            <w:r>
              <w:rPr/>
              <w:t xml:space="preserve">4b. Derive from </w:t>
            </w:r>
            <w:r>
              <w:rPr>
                <w:rStyle w:val="Strong"/>
              </w:rPr>
              <w:t>consumer questions</w:t>
            </w:r>
          </w:p>
        </w:tc>
        <w:tc>
          <w:tcPr>
            <w:tcW w:w="6992" w:type="dxa"/>
            <w:tcBorders/>
            <w:vAlign w:val="center"/>
          </w:tcPr>
          <w:p>
            <w:pPr>
              <w:pStyle w:val="TableContents"/>
              <w:bidi w:val="0"/>
              <w:spacing w:before="0" w:after="283"/>
              <w:jc w:val="left"/>
              <w:rPr/>
            </w:pPr>
            <w:r>
              <w:rPr/>
              <w:t xml:space="preserve">"Was the account drained?" → </w:t>
            </w:r>
            <w:r>
              <w:rPr>
                <w:rStyle w:val="SourceText"/>
              </w:rPr>
              <w:t>sender_emptied</w:t>
            </w:r>
            <w:r>
              <w:rPr/>
              <w:t xml:space="preserve">. "How much of the balance moved?" → </w:t>
            </w:r>
            <w:r>
              <w:rPr>
                <w:rStyle w:val="SourceText"/>
              </w:rPr>
              <w:t>drain_ratio</w:t>
            </w:r>
            <w:r>
              <w:rPr/>
              <w:t xml:space="preserve">. "When did it happen?" → </w:t>
            </w:r>
            <w:r>
              <w:rPr>
                <w:rStyle w:val="SourceText"/>
              </w:rPr>
              <w:t>event_timestamp</w:t>
            </w:r>
            <w:r>
              <w:rPr/>
              <w:t>.</w:t>
            </w:r>
          </w:p>
        </w:tc>
      </w:tr>
    </w:tbl>
    <w:p>
      <w:pPr>
        <w:pStyle w:val="BodyText"/>
        <w:bidi w:val="0"/>
        <w:jc w:val="left"/>
        <w:rPr/>
      </w:pPr>
      <w:r>
        <w:rPr>
          <w:rStyle w:val="Strong"/>
        </w:rPr>
        <w:t>Test for belonging in silver:</w:t>
      </w:r>
      <w:r>
        <w:rPr/>
        <w:t xml:space="preserve"> computable from a </w:t>
      </w:r>
      <w:r>
        <w:rPr>
          <w:rStyle w:val="Emphasis"/>
        </w:rPr>
        <w:t>single row</w:t>
      </w:r>
      <w:r>
        <w:rPr/>
        <w:t xml:space="preserve"> (aggregates belong in gold) · more than one consumer wants it · easy to get wrong. </w:t>
      </w:r>
      <w:r>
        <w:rPr>
          <w:rStyle w:val="SourceText"/>
        </w:rPr>
        <w:t>drain_ratio</w:t>
      </w:r>
      <w:r>
        <w:rPr/>
        <w:t xml:space="preserve"> passes all three — one division, universally needed, and forgetting the divide-by-zero case is a classic bug.</w:t>
      </w:r>
    </w:p>
    <w:p>
      <w:pPr>
        <w:pStyle w:val="BodyTextwhy"/>
        <w:bidi w:val="0"/>
        <w:jc w:val="left"/>
        <w:rPr/>
      </w:pPr>
      <w:r>
        <w:rPr/>
        <w:t xml:space="preserve">This is why profiling came first: the column list is literally derived from it. Designing silver before profiling would have missed </w:t>
      </w:r>
      <w:r>
        <w:rPr>
          <w:rStyle w:val="SourceText"/>
        </w:rPr>
        <w:t>sender_balance_unknown</w:t>
      </w:r>
      <w:r>
        <w:rPr/>
        <w:t xml:space="preserve"> entirely, because we wouldn't have known zero was a lie.</w:t>
      </w:r>
    </w:p>
    <w:p>
      <w:pPr>
        <w:pStyle w:val="Heading2"/>
        <w:bidi w:val="0"/>
        <w:jc w:val="left"/>
        <w:rPr/>
      </w:pPr>
      <w:r>
        <w:rPr/>
        <w:t xml:space="preserve">Table: </w:t>
      </w:r>
      <w:r>
        <w:rPr>
          <w:rStyle w:val="SourceText"/>
        </w:rPr>
        <w:t>workspace.silver.transactions</w:t>
      </w:r>
    </w:p>
    <w:tbl>
      <w:tblPr>
        <w:tblW w:w="8982" w:type="dxa"/>
        <w:jc w:val="left"/>
        <w:tblInd w:w="28" w:type="dxa"/>
        <w:tblLayout w:type="fixed"/>
        <w:tblCellMar>
          <w:top w:w="28" w:type="dxa"/>
          <w:left w:w="28" w:type="dxa"/>
          <w:bottom w:w="28" w:type="dxa"/>
          <w:right w:w="28" w:type="dxa"/>
        </w:tblCellMar>
      </w:tblPr>
      <w:tblGrid>
        <w:gridCol w:w="3444"/>
        <w:gridCol w:w="2128"/>
        <w:gridCol w:w="1686"/>
        <w:gridCol w:w="1724"/>
      </w:tblGrid>
      <w:tr>
        <w:trPr/>
        <w:tc>
          <w:tcPr>
            <w:tcW w:w="3444" w:type="dxa"/>
            <w:tcBorders/>
            <w:vAlign w:val="center"/>
          </w:tcPr>
          <w:p>
            <w:pPr>
              <w:pStyle w:val="TableHeading"/>
              <w:suppressLineNumbers/>
              <w:bidi w:val="0"/>
              <w:spacing w:before="0" w:after="283"/>
              <w:jc w:val="left"/>
              <w:rPr/>
            </w:pPr>
            <w:r>
              <w:rPr/>
              <w:t>Silver column</w:t>
            </w:r>
          </w:p>
        </w:tc>
        <w:tc>
          <w:tcPr>
            <w:tcW w:w="2128" w:type="dxa"/>
            <w:tcBorders/>
            <w:vAlign w:val="center"/>
          </w:tcPr>
          <w:p>
            <w:pPr>
              <w:pStyle w:val="TableHeading"/>
              <w:suppressLineNumbers/>
              <w:bidi w:val="0"/>
              <w:spacing w:before="0" w:after="283"/>
              <w:jc w:val="left"/>
              <w:rPr/>
            </w:pPr>
            <w:r>
              <w:rPr/>
              <w:t>From</w:t>
            </w:r>
          </w:p>
        </w:tc>
        <w:tc>
          <w:tcPr>
            <w:tcW w:w="1686" w:type="dxa"/>
            <w:tcBorders/>
            <w:vAlign w:val="center"/>
          </w:tcPr>
          <w:p>
            <w:pPr>
              <w:pStyle w:val="TableHeading"/>
              <w:suppressLineNumbers/>
              <w:bidi w:val="0"/>
              <w:spacing w:before="0" w:after="283"/>
              <w:jc w:val="left"/>
              <w:rPr/>
            </w:pPr>
            <w:r>
              <w:rPr/>
              <w:t>Type</w:t>
            </w:r>
          </w:p>
        </w:tc>
        <w:tc>
          <w:tcPr>
            <w:tcW w:w="1724" w:type="dxa"/>
            <w:tcBorders/>
            <w:vAlign w:val="center"/>
          </w:tcPr>
          <w:p>
            <w:pPr>
              <w:pStyle w:val="TableHeading"/>
              <w:suppressLineNumbers/>
              <w:bidi w:val="0"/>
              <w:spacing w:before="0" w:after="283"/>
              <w:jc w:val="left"/>
              <w:rPr/>
            </w:pPr>
            <w:r>
              <w:rPr/>
              <w:t>Notes</w:t>
            </w:r>
          </w:p>
        </w:tc>
      </w:tr>
      <w:tr>
        <w:trPr/>
        <w:tc>
          <w:tcPr>
            <w:tcW w:w="3444" w:type="dxa"/>
            <w:tcBorders/>
            <w:vAlign w:val="center"/>
          </w:tcPr>
          <w:p>
            <w:pPr>
              <w:pStyle w:val="TableContents"/>
              <w:bidi w:val="0"/>
              <w:spacing w:before="0" w:after="283"/>
              <w:jc w:val="left"/>
              <w:rPr/>
            </w:pPr>
            <w:r>
              <w:rPr>
                <w:rStyle w:val="SourceText"/>
              </w:rPr>
              <w:t>event_timestamp</w:t>
            </w:r>
          </w:p>
        </w:tc>
        <w:tc>
          <w:tcPr>
            <w:tcW w:w="2128" w:type="dxa"/>
            <w:tcBorders/>
            <w:vAlign w:val="center"/>
          </w:tcPr>
          <w:p>
            <w:pPr>
              <w:pStyle w:val="TableContents"/>
              <w:bidi w:val="0"/>
              <w:spacing w:before="0" w:after="283"/>
              <w:jc w:val="left"/>
              <w:rPr/>
            </w:pPr>
            <w:r>
              <w:rPr>
                <w:rStyle w:val="SourceText"/>
              </w:rPr>
              <w:t>batch_date</w:t>
            </w:r>
            <w:r>
              <w:rPr/>
              <w:t xml:space="preserve"> + </w:t>
            </w:r>
            <w:r>
              <w:rPr>
                <w:rStyle w:val="SourceText"/>
              </w:rPr>
              <w:t>step</w:t>
            </w:r>
          </w:p>
        </w:tc>
        <w:tc>
          <w:tcPr>
            <w:tcW w:w="1686" w:type="dxa"/>
            <w:tcBorders/>
            <w:vAlign w:val="center"/>
          </w:tcPr>
          <w:p>
            <w:pPr>
              <w:pStyle w:val="TableContents"/>
              <w:bidi w:val="0"/>
              <w:spacing w:before="0" w:after="283"/>
              <w:jc w:val="left"/>
              <w:rPr/>
            </w:pPr>
            <w:r>
              <w:rPr/>
              <w:t>TIMESTAMP</w:t>
            </w:r>
          </w:p>
        </w:tc>
        <w:tc>
          <w:tcPr>
            <w:tcW w:w="1724" w:type="dxa"/>
            <w:tcBorders/>
            <w:vAlign w:val="center"/>
          </w:tcPr>
          <w:p>
            <w:pPr>
              <w:pStyle w:val="TableContents"/>
              <w:bidi w:val="0"/>
              <w:spacing w:before="0" w:after="283"/>
              <w:jc w:val="left"/>
              <w:rPr/>
            </w:pPr>
            <w:r>
              <w:rPr/>
              <w:t xml:space="preserve">date + </w:t>
            </w:r>
            <w:r>
              <w:rPr>
                <w:rStyle w:val="SourceText"/>
              </w:rPr>
              <w:t>(step-1) % 24</w:t>
            </w:r>
            <w:r>
              <w:rPr/>
              <w:t xml:space="preserve"> hours</w:t>
            </w:r>
          </w:p>
        </w:tc>
      </w:tr>
      <w:tr>
        <w:trPr/>
        <w:tc>
          <w:tcPr>
            <w:tcW w:w="3444" w:type="dxa"/>
            <w:tcBorders/>
            <w:vAlign w:val="center"/>
          </w:tcPr>
          <w:p>
            <w:pPr>
              <w:pStyle w:val="TableContents"/>
              <w:bidi w:val="0"/>
              <w:spacing w:before="0" w:after="283"/>
              <w:jc w:val="left"/>
              <w:rPr/>
            </w:pPr>
            <w:r>
              <w:rPr>
                <w:rStyle w:val="SourceText"/>
              </w:rPr>
              <w:t>step</w:t>
            </w:r>
          </w:p>
        </w:tc>
        <w:tc>
          <w:tcPr>
            <w:tcW w:w="2128" w:type="dxa"/>
            <w:tcBorders/>
            <w:vAlign w:val="center"/>
          </w:tcPr>
          <w:p>
            <w:pPr>
              <w:pStyle w:val="TableContents"/>
              <w:bidi w:val="0"/>
              <w:spacing w:before="0" w:after="283"/>
              <w:jc w:val="left"/>
              <w:rPr/>
            </w:pPr>
            <w:r>
              <w:rPr>
                <w:rStyle w:val="SourceText"/>
              </w:rPr>
              <w:t>step</w:t>
            </w:r>
          </w:p>
        </w:tc>
        <w:tc>
          <w:tcPr>
            <w:tcW w:w="1686" w:type="dxa"/>
            <w:tcBorders/>
            <w:vAlign w:val="center"/>
          </w:tcPr>
          <w:p>
            <w:pPr>
              <w:pStyle w:val="TableContents"/>
              <w:bidi w:val="0"/>
              <w:spacing w:before="0" w:after="283"/>
              <w:jc w:val="left"/>
              <w:rPr/>
            </w:pPr>
            <w:r>
              <w:rPr/>
              <w:t>INT</w:t>
            </w:r>
          </w:p>
        </w:tc>
        <w:tc>
          <w:tcPr>
            <w:tcW w:w="1724" w:type="dxa"/>
            <w:tcBorders/>
            <w:vAlign w:val="center"/>
          </w:tcPr>
          <w:p>
            <w:pPr>
              <w:pStyle w:val="TableContents"/>
              <w:bidi w:val="0"/>
              <w:spacing w:before="0" w:after="283"/>
              <w:jc w:val="left"/>
              <w:rPr/>
            </w:pPr>
            <w:r>
              <w:rPr/>
              <w:t>kept — useful for ordering</w:t>
            </w:r>
          </w:p>
        </w:tc>
      </w:tr>
      <w:tr>
        <w:trPr/>
        <w:tc>
          <w:tcPr>
            <w:tcW w:w="3444" w:type="dxa"/>
            <w:tcBorders/>
            <w:vAlign w:val="center"/>
          </w:tcPr>
          <w:p>
            <w:pPr>
              <w:pStyle w:val="TableContents"/>
              <w:bidi w:val="0"/>
              <w:spacing w:before="0" w:after="283"/>
              <w:jc w:val="left"/>
              <w:rPr/>
            </w:pPr>
            <w:r>
              <w:rPr>
                <w:rStyle w:val="SourceText"/>
              </w:rPr>
              <w:t>txn_type</w:t>
            </w:r>
          </w:p>
        </w:tc>
        <w:tc>
          <w:tcPr>
            <w:tcW w:w="2128" w:type="dxa"/>
            <w:tcBorders/>
            <w:vAlign w:val="center"/>
          </w:tcPr>
          <w:p>
            <w:pPr>
              <w:pStyle w:val="TableContents"/>
              <w:bidi w:val="0"/>
              <w:spacing w:before="0" w:after="283"/>
              <w:jc w:val="left"/>
              <w:rPr/>
            </w:pPr>
            <w:r>
              <w:rPr>
                <w:rStyle w:val="SourceText"/>
              </w:rPr>
              <w:t>type</w:t>
            </w:r>
          </w:p>
        </w:tc>
        <w:tc>
          <w:tcPr>
            <w:tcW w:w="1686" w:type="dxa"/>
            <w:tcBorders/>
            <w:vAlign w:val="center"/>
          </w:tcPr>
          <w:p>
            <w:pPr>
              <w:pStyle w:val="TableContents"/>
              <w:bidi w:val="0"/>
              <w:spacing w:before="0" w:after="283"/>
              <w:jc w:val="left"/>
              <w:rPr/>
            </w:pPr>
            <w:r>
              <w:rPr/>
              <w:t>STRING</w:t>
            </w:r>
          </w:p>
        </w:tc>
        <w:tc>
          <w:tcPr>
            <w:tcW w:w="1724" w:type="dxa"/>
            <w:tcBorders/>
            <w:vAlign w:val="center"/>
          </w:tcPr>
          <w:p>
            <w:pPr>
              <w:pStyle w:val="TableContents"/>
              <w:bidi w:val="0"/>
              <w:spacing w:before="0" w:after="283"/>
              <w:jc w:val="left"/>
              <w:rPr/>
            </w:pPr>
            <w:r>
              <w:rPr/>
              <w:t>renamed (reserved word)</w:t>
            </w:r>
          </w:p>
        </w:tc>
      </w:tr>
      <w:tr>
        <w:trPr/>
        <w:tc>
          <w:tcPr>
            <w:tcW w:w="3444" w:type="dxa"/>
            <w:tcBorders/>
            <w:vAlign w:val="center"/>
          </w:tcPr>
          <w:p>
            <w:pPr>
              <w:pStyle w:val="TableContents"/>
              <w:bidi w:val="0"/>
              <w:spacing w:before="0" w:after="283"/>
              <w:jc w:val="left"/>
              <w:rPr/>
            </w:pPr>
            <w:r>
              <w:rPr>
                <w:rStyle w:val="SourceText"/>
              </w:rPr>
              <w:t>amount</w:t>
            </w:r>
          </w:p>
        </w:tc>
        <w:tc>
          <w:tcPr>
            <w:tcW w:w="2128" w:type="dxa"/>
            <w:tcBorders/>
            <w:vAlign w:val="center"/>
          </w:tcPr>
          <w:p>
            <w:pPr>
              <w:pStyle w:val="TableContents"/>
              <w:bidi w:val="0"/>
              <w:spacing w:before="0" w:after="283"/>
              <w:jc w:val="left"/>
              <w:rPr/>
            </w:pPr>
            <w:r>
              <w:rPr>
                <w:rStyle w:val="SourceText"/>
              </w:rPr>
              <w:t>amount</w:t>
            </w:r>
          </w:p>
        </w:tc>
        <w:tc>
          <w:tcPr>
            <w:tcW w:w="1686" w:type="dxa"/>
            <w:tcBorders/>
            <w:vAlign w:val="center"/>
          </w:tcPr>
          <w:p>
            <w:pPr>
              <w:pStyle w:val="TableContents"/>
              <w:bidi w:val="0"/>
              <w:spacing w:before="0" w:after="283"/>
              <w:jc w:val="left"/>
              <w:rPr/>
            </w:pPr>
            <w:r>
              <w:rPr/>
              <w:t>DECIMAL(18,2)</w:t>
            </w:r>
          </w:p>
        </w:tc>
        <w:tc>
          <w:tcPr>
            <w:tcW w:w="1724" w:type="dxa"/>
            <w:tcBorders/>
            <w:vAlign w:val="center"/>
          </w:tcPr>
          <w:p>
            <w:pPr>
              <w:pStyle w:val="TableContents"/>
              <w:bidi w:val="0"/>
              <w:spacing w:before="0" w:after="283"/>
              <w:jc w:val="left"/>
              <w:rPr/>
            </w:pPr>
            <w:r>
              <w:rPr/>
              <w:t>exact decimal arithmetic; see decision below</w:t>
            </w:r>
          </w:p>
        </w:tc>
      </w:tr>
      <w:tr>
        <w:trPr/>
        <w:tc>
          <w:tcPr>
            <w:tcW w:w="3444" w:type="dxa"/>
            <w:tcBorders/>
            <w:vAlign w:val="center"/>
          </w:tcPr>
          <w:p>
            <w:pPr>
              <w:pStyle w:val="TableContents"/>
              <w:bidi w:val="0"/>
              <w:spacing w:before="0" w:after="283"/>
              <w:jc w:val="left"/>
              <w:rPr/>
            </w:pPr>
            <w:r>
              <w:rPr>
                <w:rStyle w:val="SourceText"/>
              </w:rPr>
              <w:t>sender_id</w:t>
            </w:r>
          </w:p>
        </w:tc>
        <w:tc>
          <w:tcPr>
            <w:tcW w:w="2128" w:type="dxa"/>
            <w:tcBorders/>
            <w:vAlign w:val="center"/>
          </w:tcPr>
          <w:p>
            <w:pPr>
              <w:pStyle w:val="TableContents"/>
              <w:bidi w:val="0"/>
              <w:spacing w:before="0" w:after="283"/>
              <w:jc w:val="left"/>
              <w:rPr/>
            </w:pPr>
            <w:r>
              <w:rPr>
                <w:rStyle w:val="SourceText"/>
              </w:rPr>
              <w:t>nameOrig</w:t>
            </w:r>
          </w:p>
        </w:tc>
        <w:tc>
          <w:tcPr>
            <w:tcW w:w="1686" w:type="dxa"/>
            <w:tcBorders/>
            <w:vAlign w:val="center"/>
          </w:tcPr>
          <w:p>
            <w:pPr>
              <w:pStyle w:val="TableContents"/>
              <w:bidi w:val="0"/>
              <w:spacing w:before="0" w:after="283"/>
              <w:jc w:val="left"/>
              <w:rPr/>
            </w:pPr>
            <w:r>
              <w:rPr/>
              <w:t>STRING</w:t>
            </w:r>
          </w:p>
        </w:tc>
        <w:tc>
          <w:tcPr>
            <w:tcW w:w="1724" w:type="dxa"/>
            <w:tcBorders/>
            <w:vAlign w:val="center"/>
          </w:tcPr>
          <w:p>
            <w:pPr>
              <w:pStyle w:val="TableContents"/>
              <w:bidi w:val="0"/>
              <w:spacing w:before="0" w:after="283"/>
              <w:jc w:val="left"/>
              <w:rPr>
                <w:sz w:val="4"/>
                <w:szCs w:val="4"/>
              </w:rPr>
            </w:pPr>
            <w:r>
              <w:rPr>
                <w:sz w:val="4"/>
                <w:szCs w:val="4"/>
              </w:rPr>
            </w:r>
          </w:p>
        </w:tc>
      </w:tr>
      <w:tr>
        <w:trPr/>
        <w:tc>
          <w:tcPr>
            <w:tcW w:w="3444" w:type="dxa"/>
            <w:tcBorders/>
            <w:vAlign w:val="center"/>
          </w:tcPr>
          <w:p>
            <w:pPr>
              <w:pStyle w:val="TableContents"/>
              <w:bidi w:val="0"/>
              <w:spacing w:before="0" w:after="283"/>
              <w:jc w:val="left"/>
              <w:rPr/>
            </w:pPr>
            <w:r>
              <w:rPr>
                <w:rStyle w:val="SourceText"/>
              </w:rPr>
              <w:t>sender_balance_before</w:t>
            </w:r>
          </w:p>
        </w:tc>
        <w:tc>
          <w:tcPr>
            <w:tcW w:w="2128" w:type="dxa"/>
            <w:tcBorders/>
            <w:vAlign w:val="center"/>
          </w:tcPr>
          <w:p>
            <w:pPr>
              <w:pStyle w:val="TableContents"/>
              <w:bidi w:val="0"/>
              <w:spacing w:before="0" w:after="283"/>
              <w:jc w:val="left"/>
              <w:rPr/>
            </w:pPr>
            <w:r>
              <w:rPr>
                <w:rStyle w:val="SourceText"/>
              </w:rPr>
              <w:t>oldbalanceOrg</w:t>
            </w:r>
          </w:p>
        </w:tc>
        <w:tc>
          <w:tcPr>
            <w:tcW w:w="1686" w:type="dxa"/>
            <w:tcBorders/>
            <w:vAlign w:val="center"/>
          </w:tcPr>
          <w:p>
            <w:pPr>
              <w:pStyle w:val="TableContents"/>
              <w:bidi w:val="0"/>
              <w:spacing w:before="0" w:after="283"/>
              <w:jc w:val="left"/>
              <w:rPr/>
            </w:pPr>
            <w:r>
              <w:rPr/>
              <w:t>DECIMAL(18,2)</w:t>
            </w:r>
          </w:p>
        </w:tc>
        <w:tc>
          <w:tcPr>
            <w:tcW w:w="1724" w:type="dxa"/>
            <w:tcBorders/>
            <w:vAlign w:val="center"/>
          </w:tcPr>
          <w:p>
            <w:pPr>
              <w:pStyle w:val="TableContents"/>
              <w:bidi w:val="0"/>
              <w:spacing w:before="0" w:after="283"/>
              <w:jc w:val="left"/>
              <w:rPr/>
            </w:pPr>
            <w:r>
              <w:rPr/>
              <w:t>ugly source name dies here</w:t>
            </w:r>
          </w:p>
        </w:tc>
      </w:tr>
      <w:tr>
        <w:trPr/>
        <w:tc>
          <w:tcPr>
            <w:tcW w:w="3444" w:type="dxa"/>
            <w:tcBorders/>
            <w:vAlign w:val="center"/>
          </w:tcPr>
          <w:p>
            <w:pPr>
              <w:pStyle w:val="TableContents"/>
              <w:bidi w:val="0"/>
              <w:spacing w:before="0" w:after="283"/>
              <w:jc w:val="left"/>
              <w:rPr/>
            </w:pPr>
            <w:r>
              <w:rPr>
                <w:rStyle w:val="SourceText"/>
              </w:rPr>
              <w:t>sender_balance_after</w:t>
            </w:r>
          </w:p>
        </w:tc>
        <w:tc>
          <w:tcPr>
            <w:tcW w:w="2128" w:type="dxa"/>
            <w:tcBorders/>
            <w:vAlign w:val="center"/>
          </w:tcPr>
          <w:p>
            <w:pPr>
              <w:pStyle w:val="TableContents"/>
              <w:bidi w:val="0"/>
              <w:spacing w:before="0" w:after="283"/>
              <w:jc w:val="left"/>
              <w:rPr/>
            </w:pPr>
            <w:r>
              <w:rPr>
                <w:rStyle w:val="SourceText"/>
              </w:rPr>
              <w:t>newbalanceOrig</w:t>
            </w:r>
          </w:p>
        </w:tc>
        <w:tc>
          <w:tcPr>
            <w:tcW w:w="1686" w:type="dxa"/>
            <w:tcBorders/>
            <w:vAlign w:val="center"/>
          </w:tcPr>
          <w:p>
            <w:pPr>
              <w:pStyle w:val="TableContents"/>
              <w:bidi w:val="0"/>
              <w:spacing w:before="0" w:after="283"/>
              <w:jc w:val="left"/>
              <w:rPr/>
            </w:pPr>
            <w:r>
              <w:rPr/>
              <w:t>DECIMAL(18,2)</w:t>
            </w:r>
          </w:p>
        </w:tc>
        <w:tc>
          <w:tcPr>
            <w:tcW w:w="1724" w:type="dxa"/>
            <w:tcBorders/>
            <w:vAlign w:val="center"/>
          </w:tcPr>
          <w:p>
            <w:pPr>
              <w:pStyle w:val="TableContents"/>
              <w:bidi w:val="0"/>
              <w:spacing w:before="0" w:after="283"/>
              <w:jc w:val="left"/>
              <w:rPr>
                <w:sz w:val="4"/>
                <w:szCs w:val="4"/>
              </w:rPr>
            </w:pPr>
            <w:r>
              <w:rPr>
                <w:sz w:val="4"/>
                <w:szCs w:val="4"/>
              </w:rPr>
            </w:r>
          </w:p>
        </w:tc>
      </w:tr>
      <w:tr>
        <w:trPr/>
        <w:tc>
          <w:tcPr>
            <w:tcW w:w="3444" w:type="dxa"/>
            <w:tcBorders/>
            <w:vAlign w:val="center"/>
          </w:tcPr>
          <w:p>
            <w:pPr>
              <w:pStyle w:val="TableContents"/>
              <w:bidi w:val="0"/>
              <w:spacing w:before="0" w:after="283"/>
              <w:jc w:val="left"/>
              <w:rPr/>
            </w:pPr>
            <w:r>
              <w:rPr>
                <w:rStyle w:val="SourceText"/>
              </w:rPr>
              <w:t>receiver_id</w:t>
            </w:r>
          </w:p>
        </w:tc>
        <w:tc>
          <w:tcPr>
            <w:tcW w:w="2128" w:type="dxa"/>
            <w:tcBorders/>
            <w:vAlign w:val="center"/>
          </w:tcPr>
          <w:p>
            <w:pPr>
              <w:pStyle w:val="TableContents"/>
              <w:bidi w:val="0"/>
              <w:spacing w:before="0" w:after="283"/>
              <w:jc w:val="left"/>
              <w:rPr/>
            </w:pPr>
            <w:r>
              <w:rPr>
                <w:rStyle w:val="SourceText"/>
              </w:rPr>
              <w:t>nameDest</w:t>
            </w:r>
          </w:p>
        </w:tc>
        <w:tc>
          <w:tcPr>
            <w:tcW w:w="1686" w:type="dxa"/>
            <w:tcBorders/>
            <w:vAlign w:val="center"/>
          </w:tcPr>
          <w:p>
            <w:pPr>
              <w:pStyle w:val="TableContents"/>
              <w:bidi w:val="0"/>
              <w:spacing w:before="0" w:after="283"/>
              <w:jc w:val="left"/>
              <w:rPr/>
            </w:pPr>
            <w:r>
              <w:rPr/>
              <w:t>STRING</w:t>
            </w:r>
          </w:p>
        </w:tc>
        <w:tc>
          <w:tcPr>
            <w:tcW w:w="1724" w:type="dxa"/>
            <w:tcBorders/>
            <w:vAlign w:val="center"/>
          </w:tcPr>
          <w:p>
            <w:pPr>
              <w:pStyle w:val="TableContents"/>
              <w:bidi w:val="0"/>
              <w:spacing w:before="0" w:after="283"/>
              <w:jc w:val="left"/>
              <w:rPr>
                <w:sz w:val="4"/>
                <w:szCs w:val="4"/>
              </w:rPr>
            </w:pPr>
            <w:r>
              <w:rPr>
                <w:sz w:val="4"/>
                <w:szCs w:val="4"/>
              </w:rPr>
            </w:r>
          </w:p>
        </w:tc>
      </w:tr>
      <w:tr>
        <w:trPr/>
        <w:tc>
          <w:tcPr>
            <w:tcW w:w="3444" w:type="dxa"/>
            <w:tcBorders/>
            <w:vAlign w:val="center"/>
          </w:tcPr>
          <w:p>
            <w:pPr>
              <w:pStyle w:val="TableContents"/>
              <w:bidi w:val="0"/>
              <w:spacing w:before="0" w:after="283"/>
              <w:jc w:val="left"/>
              <w:rPr/>
            </w:pPr>
            <w:r>
              <w:rPr>
                <w:rStyle w:val="SourceText"/>
              </w:rPr>
              <w:t>receiver_balance_before</w:t>
            </w:r>
          </w:p>
        </w:tc>
        <w:tc>
          <w:tcPr>
            <w:tcW w:w="2128" w:type="dxa"/>
            <w:tcBorders/>
            <w:vAlign w:val="center"/>
          </w:tcPr>
          <w:p>
            <w:pPr>
              <w:pStyle w:val="TableContents"/>
              <w:bidi w:val="0"/>
              <w:spacing w:before="0" w:after="283"/>
              <w:jc w:val="left"/>
              <w:rPr/>
            </w:pPr>
            <w:r>
              <w:rPr>
                <w:rStyle w:val="SourceText"/>
              </w:rPr>
              <w:t>oldbalanceDest</w:t>
            </w:r>
          </w:p>
        </w:tc>
        <w:tc>
          <w:tcPr>
            <w:tcW w:w="1686" w:type="dxa"/>
            <w:tcBorders/>
            <w:vAlign w:val="center"/>
          </w:tcPr>
          <w:p>
            <w:pPr>
              <w:pStyle w:val="TableContents"/>
              <w:bidi w:val="0"/>
              <w:spacing w:before="0" w:after="283"/>
              <w:jc w:val="left"/>
              <w:rPr/>
            </w:pPr>
            <w:r>
              <w:rPr/>
              <w:t>DECIMAL(18,2)</w:t>
            </w:r>
          </w:p>
        </w:tc>
        <w:tc>
          <w:tcPr>
            <w:tcW w:w="1724" w:type="dxa"/>
            <w:tcBorders/>
            <w:vAlign w:val="center"/>
          </w:tcPr>
          <w:p>
            <w:pPr>
              <w:pStyle w:val="TableContents"/>
              <w:bidi w:val="0"/>
              <w:spacing w:before="0" w:after="283"/>
              <w:jc w:val="left"/>
              <w:rPr>
                <w:sz w:val="4"/>
                <w:szCs w:val="4"/>
              </w:rPr>
            </w:pPr>
            <w:r>
              <w:rPr>
                <w:sz w:val="4"/>
                <w:szCs w:val="4"/>
              </w:rPr>
            </w:r>
          </w:p>
        </w:tc>
      </w:tr>
      <w:tr>
        <w:trPr/>
        <w:tc>
          <w:tcPr>
            <w:tcW w:w="3444" w:type="dxa"/>
            <w:tcBorders/>
            <w:vAlign w:val="center"/>
          </w:tcPr>
          <w:p>
            <w:pPr>
              <w:pStyle w:val="TableContents"/>
              <w:bidi w:val="0"/>
              <w:spacing w:before="0" w:after="283"/>
              <w:jc w:val="left"/>
              <w:rPr/>
            </w:pPr>
            <w:r>
              <w:rPr>
                <w:rStyle w:val="SourceText"/>
              </w:rPr>
              <w:t>receiver_balance_after</w:t>
            </w:r>
          </w:p>
        </w:tc>
        <w:tc>
          <w:tcPr>
            <w:tcW w:w="2128" w:type="dxa"/>
            <w:tcBorders/>
            <w:vAlign w:val="center"/>
          </w:tcPr>
          <w:p>
            <w:pPr>
              <w:pStyle w:val="TableContents"/>
              <w:bidi w:val="0"/>
              <w:spacing w:before="0" w:after="283"/>
              <w:jc w:val="left"/>
              <w:rPr/>
            </w:pPr>
            <w:r>
              <w:rPr>
                <w:rStyle w:val="SourceText"/>
              </w:rPr>
              <w:t>newbalanceDest</w:t>
            </w:r>
          </w:p>
        </w:tc>
        <w:tc>
          <w:tcPr>
            <w:tcW w:w="1686" w:type="dxa"/>
            <w:tcBorders/>
            <w:vAlign w:val="center"/>
          </w:tcPr>
          <w:p>
            <w:pPr>
              <w:pStyle w:val="TableContents"/>
              <w:bidi w:val="0"/>
              <w:spacing w:before="0" w:after="283"/>
              <w:jc w:val="left"/>
              <w:rPr/>
            </w:pPr>
            <w:r>
              <w:rPr/>
              <w:t>DECIMAL(18,2)</w:t>
            </w:r>
          </w:p>
        </w:tc>
        <w:tc>
          <w:tcPr>
            <w:tcW w:w="1724" w:type="dxa"/>
            <w:tcBorders/>
            <w:vAlign w:val="center"/>
          </w:tcPr>
          <w:p>
            <w:pPr>
              <w:pStyle w:val="TableContents"/>
              <w:bidi w:val="0"/>
              <w:spacing w:before="0" w:after="283"/>
              <w:jc w:val="left"/>
              <w:rPr>
                <w:sz w:val="4"/>
                <w:szCs w:val="4"/>
              </w:rPr>
            </w:pPr>
            <w:r>
              <w:rPr>
                <w:sz w:val="4"/>
                <w:szCs w:val="4"/>
              </w:rPr>
            </w:r>
          </w:p>
        </w:tc>
      </w:tr>
      <w:tr>
        <w:trPr/>
        <w:tc>
          <w:tcPr>
            <w:tcW w:w="3444" w:type="dxa"/>
            <w:tcBorders/>
            <w:vAlign w:val="center"/>
          </w:tcPr>
          <w:p>
            <w:pPr>
              <w:pStyle w:val="TableContents"/>
              <w:bidi w:val="0"/>
              <w:spacing w:before="0" w:after="283"/>
              <w:jc w:val="left"/>
              <w:rPr/>
            </w:pPr>
            <w:r>
              <w:rPr>
                <w:rStyle w:val="SourceText"/>
              </w:rPr>
              <w:t>is_fraud</w:t>
            </w:r>
          </w:p>
        </w:tc>
        <w:tc>
          <w:tcPr>
            <w:tcW w:w="2128" w:type="dxa"/>
            <w:tcBorders/>
            <w:vAlign w:val="center"/>
          </w:tcPr>
          <w:p>
            <w:pPr>
              <w:pStyle w:val="TableContents"/>
              <w:bidi w:val="0"/>
              <w:spacing w:before="0" w:after="283"/>
              <w:jc w:val="left"/>
              <w:rPr/>
            </w:pPr>
            <w:r>
              <w:rPr>
                <w:rStyle w:val="SourceText"/>
              </w:rPr>
              <w:t>isFraud</w:t>
            </w:r>
          </w:p>
        </w:tc>
        <w:tc>
          <w:tcPr>
            <w:tcW w:w="1686" w:type="dxa"/>
            <w:tcBorders/>
            <w:vAlign w:val="center"/>
          </w:tcPr>
          <w:p>
            <w:pPr>
              <w:pStyle w:val="TableContents"/>
              <w:bidi w:val="0"/>
              <w:spacing w:before="0" w:after="283"/>
              <w:jc w:val="left"/>
              <w:rPr/>
            </w:pPr>
            <w:r>
              <w:rPr/>
              <w:t>BOOLEAN</w:t>
            </w:r>
          </w:p>
        </w:tc>
        <w:tc>
          <w:tcPr>
            <w:tcW w:w="1724" w:type="dxa"/>
            <w:tcBorders/>
            <w:vAlign w:val="center"/>
          </w:tcPr>
          <w:p>
            <w:pPr>
              <w:pStyle w:val="TableContents"/>
              <w:bidi w:val="0"/>
              <w:spacing w:before="0" w:after="283"/>
              <w:jc w:val="left"/>
              <w:rPr/>
            </w:pPr>
            <w:r>
              <w:rPr/>
              <w:t>ground-truth label</w:t>
            </w:r>
          </w:p>
        </w:tc>
      </w:tr>
      <w:tr>
        <w:trPr/>
        <w:tc>
          <w:tcPr>
            <w:tcW w:w="3444" w:type="dxa"/>
            <w:tcBorders/>
            <w:vAlign w:val="center"/>
          </w:tcPr>
          <w:p>
            <w:pPr>
              <w:pStyle w:val="TableContents"/>
              <w:bidi w:val="0"/>
              <w:spacing w:before="0" w:after="283"/>
              <w:jc w:val="left"/>
              <w:rPr/>
            </w:pPr>
            <w:r>
              <w:rPr>
                <w:rStyle w:val="SourceText"/>
              </w:rPr>
              <w:t>flagged_by_legacy_rule</w:t>
            </w:r>
          </w:p>
        </w:tc>
        <w:tc>
          <w:tcPr>
            <w:tcW w:w="2128" w:type="dxa"/>
            <w:tcBorders/>
            <w:vAlign w:val="center"/>
          </w:tcPr>
          <w:p>
            <w:pPr>
              <w:pStyle w:val="TableContents"/>
              <w:bidi w:val="0"/>
              <w:spacing w:before="0" w:after="283"/>
              <w:jc w:val="left"/>
              <w:rPr/>
            </w:pPr>
            <w:r>
              <w:rPr>
                <w:rStyle w:val="SourceText"/>
              </w:rPr>
              <w:t>isFlaggedFraud</w:t>
            </w:r>
          </w:p>
        </w:tc>
        <w:tc>
          <w:tcPr>
            <w:tcW w:w="1686" w:type="dxa"/>
            <w:tcBorders/>
            <w:vAlign w:val="center"/>
          </w:tcPr>
          <w:p>
            <w:pPr>
              <w:pStyle w:val="TableContents"/>
              <w:bidi w:val="0"/>
              <w:spacing w:before="0" w:after="283"/>
              <w:jc w:val="left"/>
              <w:rPr/>
            </w:pPr>
            <w:r>
              <w:rPr/>
              <w:t>BOOLEAN</w:t>
            </w:r>
          </w:p>
        </w:tc>
        <w:tc>
          <w:tcPr>
            <w:tcW w:w="1724" w:type="dxa"/>
            <w:tcBorders/>
            <w:vAlign w:val="center"/>
          </w:tcPr>
          <w:p>
            <w:pPr>
              <w:pStyle w:val="TableContents"/>
              <w:bidi w:val="0"/>
              <w:spacing w:before="0" w:after="283"/>
              <w:jc w:val="left"/>
              <w:rPr/>
            </w:pPr>
            <w:r>
              <w:rPr/>
              <w:t>the model's baseline to beat</w:t>
            </w:r>
          </w:p>
        </w:tc>
      </w:tr>
    </w:tbl>
    <w:p>
      <w:pPr>
        <w:pStyle w:val="Heading3"/>
        <w:bidi w:val="0"/>
        <w:jc w:val="left"/>
        <w:rPr/>
      </w:pPr>
      <w:r>
        <w:rPr/>
        <w:t>Derived columns — the reason silver exists</w:t>
      </w:r>
    </w:p>
    <w:tbl>
      <w:tblPr>
        <w:tblW w:w="8982" w:type="dxa"/>
        <w:jc w:val="left"/>
        <w:tblInd w:w="28" w:type="dxa"/>
        <w:tblLayout w:type="fixed"/>
        <w:tblCellMar>
          <w:top w:w="28" w:type="dxa"/>
          <w:left w:w="28" w:type="dxa"/>
          <w:bottom w:w="28" w:type="dxa"/>
          <w:right w:w="28" w:type="dxa"/>
        </w:tblCellMar>
      </w:tblPr>
      <w:tblGrid>
        <w:gridCol w:w="3299"/>
        <w:gridCol w:w="5683"/>
      </w:tblGrid>
      <w:tr>
        <w:trPr/>
        <w:tc>
          <w:tcPr>
            <w:tcW w:w="3299" w:type="dxa"/>
            <w:tcBorders/>
            <w:vAlign w:val="center"/>
          </w:tcPr>
          <w:p>
            <w:pPr>
              <w:pStyle w:val="TableHeading"/>
              <w:suppressLineNumbers/>
              <w:bidi w:val="0"/>
              <w:spacing w:before="0" w:after="283"/>
              <w:jc w:val="left"/>
              <w:rPr/>
            </w:pPr>
            <w:r>
              <w:rPr/>
              <w:t>Column</w:t>
            </w:r>
          </w:p>
        </w:tc>
        <w:tc>
          <w:tcPr>
            <w:tcW w:w="5683" w:type="dxa"/>
            <w:tcBorders/>
            <w:vAlign w:val="center"/>
          </w:tcPr>
          <w:p>
            <w:pPr>
              <w:pStyle w:val="TableHeading"/>
              <w:suppressLineNumbers/>
              <w:bidi w:val="0"/>
              <w:spacing w:before="0" w:after="283"/>
              <w:jc w:val="left"/>
              <w:rPr/>
            </w:pPr>
            <w:r>
              <w:rPr/>
              <w:t>Rule</w:t>
            </w:r>
          </w:p>
        </w:tc>
      </w:tr>
      <w:tr>
        <w:trPr/>
        <w:tc>
          <w:tcPr>
            <w:tcW w:w="3299" w:type="dxa"/>
            <w:tcBorders/>
            <w:vAlign w:val="center"/>
          </w:tcPr>
          <w:p>
            <w:pPr>
              <w:pStyle w:val="TableContents"/>
              <w:bidi w:val="0"/>
              <w:spacing w:before="0" w:after="283"/>
              <w:jc w:val="left"/>
              <w:rPr/>
            </w:pPr>
            <w:r>
              <w:rPr>
                <w:rStyle w:val="SourceText"/>
              </w:rPr>
              <w:t>is_receiver_merchant</w:t>
            </w:r>
          </w:p>
        </w:tc>
        <w:tc>
          <w:tcPr>
            <w:tcW w:w="5683" w:type="dxa"/>
            <w:tcBorders/>
            <w:vAlign w:val="center"/>
          </w:tcPr>
          <w:p>
            <w:pPr>
              <w:pStyle w:val="TableContents"/>
              <w:bidi w:val="0"/>
              <w:spacing w:before="0" w:after="283"/>
              <w:jc w:val="left"/>
              <w:rPr/>
            </w:pPr>
            <w:r>
              <w:rPr>
                <w:rStyle w:val="SourceText"/>
              </w:rPr>
              <w:t>receiver_id</w:t>
            </w:r>
            <w:r>
              <w:rPr/>
              <w:t xml:space="preserve"> starts with </w:t>
            </w:r>
            <w:r>
              <w:rPr>
                <w:rStyle w:val="SourceText"/>
              </w:rPr>
              <w:t>M</w:t>
            </w:r>
          </w:p>
        </w:tc>
      </w:tr>
      <w:tr>
        <w:trPr/>
        <w:tc>
          <w:tcPr>
            <w:tcW w:w="3299" w:type="dxa"/>
            <w:tcBorders/>
            <w:vAlign w:val="center"/>
          </w:tcPr>
          <w:p>
            <w:pPr>
              <w:pStyle w:val="TableContents"/>
              <w:bidi w:val="0"/>
              <w:spacing w:before="0" w:after="283"/>
              <w:jc w:val="left"/>
              <w:rPr/>
            </w:pPr>
            <w:r>
              <w:rPr>
                <w:rStyle w:val="SourceText"/>
              </w:rPr>
              <w:t>sender_balance_unknown</w:t>
            </w:r>
          </w:p>
        </w:tc>
        <w:tc>
          <w:tcPr>
            <w:tcW w:w="5683" w:type="dxa"/>
            <w:tcBorders/>
            <w:vAlign w:val="center"/>
          </w:tcPr>
          <w:p>
            <w:pPr>
              <w:pStyle w:val="TableContents"/>
              <w:bidi w:val="0"/>
              <w:spacing w:before="0" w:after="283"/>
              <w:jc w:val="left"/>
              <w:rPr/>
            </w:pPr>
            <w:r>
              <w:rPr/>
              <w:t>before = 0 AND after = 0 AND amount &gt; 0 → the zero is a sentinel, not a fact</w:t>
            </w:r>
          </w:p>
        </w:tc>
      </w:tr>
      <w:tr>
        <w:trPr/>
        <w:tc>
          <w:tcPr>
            <w:tcW w:w="3299" w:type="dxa"/>
            <w:tcBorders/>
            <w:vAlign w:val="center"/>
          </w:tcPr>
          <w:p>
            <w:pPr>
              <w:pStyle w:val="TableContents"/>
              <w:bidi w:val="0"/>
              <w:spacing w:before="0" w:after="283"/>
              <w:jc w:val="left"/>
              <w:rPr/>
            </w:pPr>
            <w:r>
              <w:rPr>
                <w:rStyle w:val="SourceText"/>
              </w:rPr>
              <w:t>balance_reconciles</w:t>
            </w:r>
          </w:p>
        </w:tc>
        <w:tc>
          <w:tcPr>
            <w:tcW w:w="5683" w:type="dxa"/>
            <w:tcBorders/>
            <w:vAlign w:val="center"/>
          </w:tcPr>
          <w:p>
            <w:pPr>
              <w:pStyle w:val="TableContents"/>
              <w:bidi w:val="0"/>
              <w:spacing w:before="0" w:after="283"/>
              <w:ind w:hanging="0" w:left="0" w:right="0"/>
              <w:jc w:val="left"/>
              <w:rPr/>
            </w:pPr>
            <w:r>
              <w:rPr>
                <w:b/>
              </w:rPr>
              <w:t>Direction-aware:</w:t>
            </w:r>
            <w:r>
              <w:rPr/>
              <w:t xml:space="preserve"> CASH_IN expects </w:t>
            </w:r>
            <w:r>
              <w:rPr>
                <w:rStyle w:val="SourceText"/>
              </w:rPr>
              <w:t>before + amount = after</w:t>
            </w:r>
            <w:r>
              <w:rPr/>
              <w:t xml:space="preserve">; all other types </w:t>
            </w:r>
            <w:r>
              <w:rPr>
                <w:rStyle w:val="SourceText"/>
              </w:rPr>
              <w:t>before − amount = after</w:t>
            </w:r>
            <w:r>
              <w:rPr/>
              <w:t xml:space="preserve">; tolerance 0.01. </w:t>
            </w:r>
            <w:r>
              <w:rPr>
                <w:rStyle w:val="Strong"/>
              </w:rPr>
              <w:t>Null</w:t>
            </w:r>
            <w:r>
              <w:rPr/>
              <w:t xml:space="preserve"> when </w:t>
            </w:r>
            <w:r>
              <w:rPr>
                <w:rStyle w:val="SourceText"/>
              </w:rPr>
              <w:t>sender_balance_unknown</w:t>
            </w:r>
            <w:r>
              <w:rPr/>
              <w:t xml:space="preserve"> — you cannot check math on unknown values.</w:t>
            </w:r>
          </w:p>
        </w:tc>
      </w:tr>
      <w:tr>
        <w:trPr/>
        <w:tc>
          <w:tcPr>
            <w:tcW w:w="3299" w:type="dxa"/>
            <w:tcBorders/>
            <w:vAlign w:val="center"/>
          </w:tcPr>
          <w:p>
            <w:pPr>
              <w:pStyle w:val="TableContents"/>
              <w:bidi w:val="0"/>
              <w:spacing w:before="0" w:after="283"/>
              <w:jc w:val="left"/>
              <w:rPr/>
            </w:pPr>
            <w:r>
              <w:rPr>
                <w:rStyle w:val="SourceText"/>
              </w:rPr>
              <w:t>sender_emptied</w:t>
            </w:r>
          </w:p>
        </w:tc>
        <w:tc>
          <w:tcPr>
            <w:tcW w:w="5683" w:type="dxa"/>
            <w:tcBorders/>
            <w:vAlign w:val="center"/>
          </w:tcPr>
          <w:p>
            <w:pPr>
              <w:pStyle w:val="TableContents"/>
              <w:bidi w:val="0"/>
              <w:spacing w:before="0" w:after="283"/>
              <w:jc w:val="left"/>
              <w:rPr/>
            </w:pPr>
            <w:r>
              <w:rPr/>
              <w:t xml:space="preserve">before &gt; 0 AND after = 0 </w:t>
            </w:r>
            <w:r>
              <w:rPr>
                <w:rStyle w:val="Emphasis"/>
              </w:rPr>
              <w:t>(both halves required — see Note 09 finding 5)</w:t>
            </w:r>
          </w:p>
        </w:tc>
      </w:tr>
      <w:tr>
        <w:trPr/>
        <w:tc>
          <w:tcPr>
            <w:tcW w:w="3299" w:type="dxa"/>
            <w:tcBorders/>
            <w:vAlign w:val="center"/>
          </w:tcPr>
          <w:p>
            <w:pPr>
              <w:pStyle w:val="TableContents"/>
              <w:bidi w:val="0"/>
              <w:spacing w:before="0" w:after="283"/>
              <w:jc w:val="left"/>
              <w:rPr/>
            </w:pPr>
            <w:r>
              <w:rPr>
                <w:rStyle w:val="SourceText"/>
              </w:rPr>
              <w:t>drain_ratio</w:t>
            </w:r>
          </w:p>
        </w:tc>
        <w:tc>
          <w:tcPr>
            <w:tcW w:w="5683" w:type="dxa"/>
            <w:tcBorders/>
            <w:vAlign w:val="center"/>
          </w:tcPr>
          <w:p>
            <w:pPr>
              <w:pStyle w:val="TableContents"/>
              <w:bidi w:val="0"/>
              <w:spacing w:before="0" w:after="283"/>
              <w:jc w:val="left"/>
              <w:rPr/>
            </w:pPr>
            <w:r>
              <w:rPr>
                <w:rStyle w:val="SourceText"/>
              </w:rPr>
              <w:t>amount / sender_balance_before</w:t>
            </w:r>
            <w:r>
              <w:rPr/>
              <w:t>, null when before = 0. The strongest single-row fraud feature: 1.0 = took everything.</w:t>
            </w:r>
          </w:p>
        </w:tc>
      </w:tr>
    </w:tbl>
    <w:p>
      <w:pPr>
        <w:pStyle w:val="BodyText"/>
        <w:bidi w:val="0"/>
        <w:jc w:val="left"/>
        <w:rPr/>
      </w:pPr>
      <w:r>
        <w:rPr/>
        <w:t xml:space="preserve">Audit columns carried through unchanged: </w:t>
      </w:r>
      <w:r>
        <w:rPr>
          <w:rStyle w:val="SourceText"/>
        </w:rPr>
        <w:t>source_file</w:t>
      </w:r>
      <w:r>
        <w:rPr/>
        <w:t xml:space="preserve">, </w:t>
      </w:r>
      <w:r>
        <w:rPr>
          <w:rStyle w:val="SourceText"/>
        </w:rPr>
        <w:t>ingest_timestamp</w:t>
      </w:r>
      <w:r>
        <w:rPr/>
        <w:t xml:space="preserve">, </w:t>
      </w:r>
      <w:r>
        <w:rPr>
          <w:rStyle w:val="SourceText"/>
        </w:rPr>
        <w:t>batch_date</w:t>
      </w:r>
      <w:r>
        <w:rPr/>
        <w:t>.</w:t>
      </w:r>
    </w:p>
    <w:p>
      <w:pPr>
        <w:pStyle w:val="Heading2"/>
        <w:bidi w:val="0"/>
        <w:jc w:val="left"/>
        <w:rPr/>
      </w:pPr>
      <w:r>
        <w:rPr/>
        <w:t>Decisions made, with reasoning</w:t>
      </w:r>
    </w:p>
    <w:tbl>
      <w:tblPr>
        <w:tblW w:w="8982" w:type="dxa"/>
        <w:jc w:val="left"/>
        <w:tblInd w:w="28" w:type="dxa"/>
        <w:tblLayout w:type="fixed"/>
        <w:tblCellMar>
          <w:top w:w="28" w:type="dxa"/>
          <w:left w:w="28" w:type="dxa"/>
          <w:bottom w:w="28" w:type="dxa"/>
          <w:right w:w="28" w:type="dxa"/>
        </w:tblCellMar>
      </w:tblPr>
      <w:tblGrid>
        <w:gridCol w:w="2842"/>
        <w:gridCol w:w="1571"/>
        <w:gridCol w:w="4569"/>
      </w:tblGrid>
      <w:tr>
        <w:trPr/>
        <w:tc>
          <w:tcPr>
            <w:tcW w:w="2842" w:type="dxa"/>
            <w:tcBorders/>
            <w:vAlign w:val="center"/>
          </w:tcPr>
          <w:p>
            <w:pPr>
              <w:pStyle w:val="TableHeading"/>
              <w:suppressLineNumbers/>
              <w:bidi w:val="0"/>
              <w:spacing w:before="0" w:after="283"/>
              <w:jc w:val="left"/>
              <w:rPr/>
            </w:pPr>
            <w:r>
              <w:rPr/>
              <w:t>Question</w:t>
            </w:r>
          </w:p>
        </w:tc>
        <w:tc>
          <w:tcPr>
            <w:tcW w:w="1571" w:type="dxa"/>
            <w:tcBorders/>
            <w:vAlign w:val="center"/>
          </w:tcPr>
          <w:p>
            <w:pPr>
              <w:pStyle w:val="TableHeading"/>
              <w:suppressLineNumbers/>
              <w:bidi w:val="0"/>
              <w:spacing w:before="0" w:after="283"/>
              <w:jc w:val="left"/>
              <w:rPr/>
            </w:pPr>
            <w:r>
              <w:rPr/>
              <w:t>Decision</w:t>
            </w:r>
          </w:p>
        </w:tc>
        <w:tc>
          <w:tcPr>
            <w:tcW w:w="4569" w:type="dxa"/>
            <w:tcBorders/>
            <w:vAlign w:val="center"/>
          </w:tcPr>
          <w:p>
            <w:pPr>
              <w:pStyle w:val="TableHeading"/>
              <w:suppressLineNumbers/>
              <w:bidi w:val="0"/>
              <w:spacing w:before="0" w:after="283"/>
              <w:jc w:val="left"/>
              <w:rPr/>
            </w:pPr>
            <w:r>
              <w:rPr/>
              <w:t>Why</w:t>
            </w:r>
          </w:p>
        </w:tc>
      </w:tr>
      <w:tr>
        <w:trPr/>
        <w:tc>
          <w:tcPr>
            <w:tcW w:w="2842" w:type="dxa"/>
            <w:tcBorders/>
            <w:vAlign w:val="center"/>
          </w:tcPr>
          <w:p>
            <w:pPr>
              <w:pStyle w:val="TableContents"/>
              <w:bidi w:val="0"/>
              <w:spacing w:before="0" w:after="283"/>
              <w:jc w:val="left"/>
              <w:rPr/>
            </w:pPr>
            <w:r>
              <w:rPr>
                <w:rStyle w:val="SourceText"/>
              </w:rPr>
              <w:t>amount</w:t>
            </w:r>
            <w:r>
              <w:rPr/>
              <w:t>: DOUBLE or DECIMAL?</w:t>
            </w:r>
          </w:p>
        </w:tc>
        <w:tc>
          <w:tcPr>
            <w:tcW w:w="1571" w:type="dxa"/>
            <w:tcBorders/>
            <w:vAlign w:val="center"/>
          </w:tcPr>
          <w:p>
            <w:pPr>
              <w:pStyle w:val="TableContents"/>
              <w:bidi w:val="0"/>
              <w:spacing w:before="0" w:after="283"/>
              <w:jc w:val="left"/>
              <w:rPr/>
            </w:pPr>
            <w:r>
              <w:rPr>
                <w:rStyle w:val="Strong"/>
              </w:rPr>
              <w:t>DECIMAL(18,2)</w:t>
            </w:r>
          </w:p>
        </w:tc>
        <w:tc>
          <w:tcPr>
            <w:tcW w:w="4569" w:type="dxa"/>
            <w:tcBorders/>
            <w:vAlign w:val="center"/>
          </w:tcPr>
          <w:p>
            <w:pPr>
              <w:pStyle w:val="TableContents"/>
              <w:bidi w:val="0"/>
              <w:spacing w:before="0" w:after="283"/>
              <w:ind w:hanging="0" w:left="0" w:right="0"/>
              <w:jc w:val="left"/>
              <w:rPr/>
            </w:pPr>
            <w:r>
              <w:rPr/>
              <w:t xml:space="preserve">DECIMAL stores exact decimal values — 100.10 is exactly 100.10. DOUBLE's imprecision is </w:t>
            </w:r>
            <w:r>
              <w:rPr>
                <w:rStyle w:val="Emphasis"/>
              </w:rPr>
              <w:t>the reason</w:t>
            </w:r>
            <w:r>
              <w:rPr/>
              <w:t xml:space="preserve"> the reconciliation check needs a 0.01 tolerance in the first place. Banks use DECIMAL for money. </w:t>
            </w:r>
            <w:r>
              <w:rPr>
                <w:color w:val="2E7D32"/>
              </w:rPr>
              <w:t>Resolves the open question left in Note 05.</w:t>
            </w:r>
          </w:p>
        </w:tc>
      </w:tr>
      <w:tr>
        <w:trPr/>
        <w:tc>
          <w:tcPr>
            <w:tcW w:w="2842" w:type="dxa"/>
            <w:tcBorders/>
            <w:vAlign w:val="center"/>
          </w:tcPr>
          <w:p>
            <w:pPr>
              <w:pStyle w:val="TableContents"/>
              <w:bidi w:val="0"/>
              <w:spacing w:before="0" w:after="283"/>
              <w:jc w:val="left"/>
              <w:rPr/>
            </w:pPr>
            <w:r>
              <w:rPr/>
              <w:t>Broken reconciliation: quarantine or flag?</w:t>
            </w:r>
          </w:p>
        </w:tc>
        <w:tc>
          <w:tcPr>
            <w:tcW w:w="1571" w:type="dxa"/>
            <w:tcBorders/>
            <w:vAlign w:val="center"/>
          </w:tcPr>
          <w:p>
            <w:pPr>
              <w:pStyle w:val="TableContents"/>
              <w:bidi w:val="0"/>
              <w:spacing w:before="0" w:after="283"/>
              <w:jc w:val="left"/>
              <w:rPr/>
            </w:pPr>
            <w:r>
              <w:rPr>
                <w:rStyle w:val="Strong"/>
              </w:rPr>
              <w:t>Flag</w:t>
            </w:r>
          </w:p>
        </w:tc>
        <w:tc>
          <w:tcPr>
            <w:tcW w:w="4569" w:type="dxa"/>
            <w:tcBorders/>
            <w:vAlign w:val="center"/>
          </w:tcPr>
          <w:p>
            <w:pPr>
              <w:pStyle w:val="TableContents"/>
              <w:bidi w:val="0"/>
              <w:spacing w:before="0" w:after="283"/>
              <w:jc w:val="left"/>
              <w:rPr/>
            </w:pPr>
            <w:r>
              <w:rPr/>
              <w:t>94.7% of TRANSFERs fail. Quarantining would destroy the dataset. The failure describes source quality; it does not judge the row.</w:t>
            </w:r>
          </w:p>
        </w:tc>
      </w:tr>
      <w:tr>
        <w:trPr/>
        <w:tc>
          <w:tcPr>
            <w:tcW w:w="2842" w:type="dxa"/>
            <w:tcBorders/>
            <w:vAlign w:val="center"/>
          </w:tcPr>
          <w:p>
            <w:pPr>
              <w:pStyle w:val="TableContents"/>
              <w:bidi w:val="0"/>
              <w:spacing w:before="0" w:after="283"/>
              <w:jc w:val="left"/>
              <w:rPr/>
            </w:pPr>
            <w:r>
              <w:rPr>
                <w:rStyle w:val="SourceText"/>
              </w:rPr>
              <w:t>balance_reconciles</w:t>
            </w:r>
            <w:r>
              <w:rPr/>
              <w:t xml:space="preserve"> nullable?</w:t>
            </w:r>
          </w:p>
        </w:tc>
        <w:tc>
          <w:tcPr>
            <w:tcW w:w="1571" w:type="dxa"/>
            <w:tcBorders/>
            <w:vAlign w:val="center"/>
          </w:tcPr>
          <w:p>
            <w:pPr>
              <w:pStyle w:val="TableContents"/>
              <w:bidi w:val="0"/>
              <w:spacing w:before="0" w:after="283"/>
              <w:jc w:val="left"/>
              <w:rPr/>
            </w:pPr>
            <w:r>
              <w:rPr>
                <w:rStyle w:val="Strong"/>
              </w:rPr>
              <w:t>Yes, deliberately</w:t>
            </w:r>
          </w:p>
        </w:tc>
        <w:tc>
          <w:tcPr>
            <w:tcW w:w="4569" w:type="dxa"/>
            <w:tcBorders/>
            <w:vAlign w:val="center"/>
          </w:tcPr>
          <w:p>
            <w:pPr>
              <w:pStyle w:val="TableContents"/>
              <w:bidi w:val="0"/>
              <w:spacing w:before="0" w:after="283"/>
              <w:jc w:val="left"/>
              <w:rPr/>
            </w:pPr>
            <w:r>
              <w:rPr/>
              <w:t>Null means "couldn't check" — honestly different from false, which means "check failed."</w:t>
            </w:r>
          </w:p>
        </w:tc>
      </w:tr>
      <w:tr>
        <w:trPr/>
        <w:tc>
          <w:tcPr>
            <w:tcW w:w="2842" w:type="dxa"/>
            <w:tcBorders/>
            <w:vAlign w:val="center"/>
          </w:tcPr>
          <w:p>
            <w:pPr>
              <w:pStyle w:val="TableContents"/>
              <w:bidi w:val="0"/>
              <w:spacing w:before="0" w:after="283"/>
              <w:jc w:val="left"/>
              <w:rPr/>
            </w:pPr>
            <w:r>
              <w:rPr/>
              <w:t xml:space="preserve">Keep </w:t>
            </w:r>
            <w:r>
              <w:rPr>
                <w:rStyle w:val="SourceText"/>
              </w:rPr>
              <w:t>isFlaggedFraud</w:t>
            </w:r>
            <w:r>
              <w:rPr/>
              <w:t>?</w:t>
            </w:r>
          </w:p>
        </w:tc>
        <w:tc>
          <w:tcPr>
            <w:tcW w:w="1571" w:type="dxa"/>
            <w:tcBorders/>
            <w:vAlign w:val="center"/>
          </w:tcPr>
          <w:p>
            <w:pPr>
              <w:pStyle w:val="TableContents"/>
              <w:bidi w:val="0"/>
              <w:spacing w:before="0" w:after="283"/>
              <w:jc w:val="left"/>
              <w:rPr/>
            </w:pPr>
            <w:r>
              <w:rPr>
                <w:rStyle w:val="Strong"/>
              </w:rPr>
              <w:t>Keep, renamed</w:t>
            </w:r>
          </w:p>
        </w:tc>
        <w:tc>
          <w:tcPr>
            <w:tcW w:w="4569" w:type="dxa"/>
            <w:tcBorders/>
            <w:vAlign w:val="center"/>
          </w:tcPr>
          <w:p>
            <w:pPr>
              <w:pStyle w:val="TableContents"/>
              <w:bidi w:val="0"/>
              <w:spacing w:before="0" w:after="283"/>
              <w:jc w:val="left"/>
              <w:rPr/>
            </w:pPr>
            <w:r>
              <w:rPr/>
              <w:t>It is the baseline the model must beat: "the old rule caught 0 of 1,404; the model catches N%." Dropping it would discard the project's own business case.</w:t>
            </w:r>
          </w:p>
        </w:tc>
      </w:tr>
      <w:tr>
        <w:trPr/>
        <w:tc>
          <w:tcPr>
            <w:tcW w:w="2842" w:type="dxa"/>
            <w:tcBorders/>
            <w:vAlign w:val="center"/>
          </w:tcPr>
          <w:p>
            <w:pPr>
              <w:pStyle w:val="TableContents"/>
              <w:bidi w:val="0"/>
              <w:spacing w:before="0" w:after="283"/>
              <w:jc w:val="left"/>
              <w:rPr/>
            </w:pPr>
            <w:r>
              <w:rPr/>
              <w:t>Two timestamps — why both?</w:t>
            </w:r>
          </w:p>
        </w:tc>
        <w:tc>
          <w:tcPr>
            <w:tcW w:w="1571" w:type="dxa"/>
            <w:tcBorders/>
            <w:vAlign w:val="center"/>
          </w:tcPr>
          <w:p>
            <w:pPr>
              <w:pStyle w:val="TableContents"/>
              <w:bidi w:val="0"/>
              <w:spacing w:before="0" w:after="283"/>
              <w:jc w:val="left"/>
              <w:rPr/>
            </w:pPr>
            <w:r>
              <w:rPr>
                <w:rStyle w:val="Strong"/>
              </w:rPr>
              <w:t>Both, always</w:t>
            </w:r>
          </w:p>
        </w:tc>
        <w:tc>
          <w:tcPr>
            <w:tcW w:w="4569" w:type="dxa"/>
            <w:tcBorders/>
            <w:vAlign w:val="center"/>
          </w:tcPr>
          <w:p>
            <w:pPr>
              <w:pStyle w:val="TableContents"/>
              <w:bidi w:val="0"/>
              <w:spacing w:before="0" w:after="283"/>
              <w:jc w:val="left"/>
              <w:rPr/>
            </w:pPr>
            <w:r>
              <w:rPr>
                <w:rStyle w:val="SourceText"/>
              </w:rPr>
              <w:t>ingest_timestamp</w:t>
            </w:r>
            <w:r>
              <w:rPr/>
              <w:t xml:space="preserve"> = </w:t>
            </w:r>
            <w:r>
              <w:rPr>
                <w:rStyle w:val="Emphasis"/>
              </w:rPr>
              <w:t>processing time</w:t>
            </w:r>
            <w:r>
              <w:rPr/>
              <w:t xml:space="preserve">, answers pipeline questions ("did the rerun replace the rows?"). </w:t>
            </w:r>
            <w:r>
              <w:rPr>
                <w:rStyle w:val="SourceText"/>
              </w:rPr>
              <w:t>event_timestamp</w:t>
            </w:r>
            <w:r>
              <w:rPr/>
              <w:t xml:space="preserve"> = </w:t>
            </w:r>
            <w:r>
              <w:rPr>
                <w:rStyle w:val="Emphasis"/>
              </w:rPr>
              <w:t>event time</w:t>
            </w:r>
            <w:r>
              <w:rPr/>
              <w:t>, answers business questions ("how many transactions in the last hour?"). Every fraud signal depends on event time — ask velocity questions with ingest time and every row looks simultaneous. They drift apart in reality when files arrive late.</w:t>
            </w:r>
          </w:p>
        </w:tc>
      </w:tr>
    </w:tbl>
    <w:p>
      <w:pPr>
        <w:pStyle w:val="BodyTextlearn"/>
        <w:bidi w:val="0"/>
        <w:jc w:val="left"/>
        <w:rPr/>
      </w:pPr>
      <w:r>
        <w:rPr>
          <w:rStyle w:val="Strong"/>
        </w:rPr>
        <w:t>You learn:</w:t>
      </w:r>
      <w:r>
        <w:rPr/>
        <w:t xml:space="preserve"> what a cleaning layer is actually for, how to derive a column list from evidence rather than imagination, event time vs processing time, DECIMAL vs DOUBLE for money, and flag-vs-quarantine as a data quality decision driven by measured failure rates.</w:t>
      </w:r>
    </w:p>
    <w:p>
      <w:pPr>
        <w:pStyle w:val="BodyText"/>
        <w:bidi w:val="0"/>
        <w:spacing w:before="900" w:after="283"/>
        <w:ind w:hanging="0" w:left="0" w:right="0"/>
        <w:jc w:val="left"/>
        <w:rPr>
          <w:bdr w:val="single" w:sz="2" w:space="12" w:color="000000"/>
        </w:rPr>
      </w:pPr>
      <w:r>
        <w:rPr>
          <w:bdr w:val="single" w:sz="2" w:space="12" w:color="000000"/>
        </w:rPr>
        <w:t>Project Notes · Fraud Detection Lakehouse · new notes get appended to this file (HTML) and project-notes.docx</w:t>
      </w:r>
    </w:p>
    <w:sectPr>
      <w:type w:val="continuous"/>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Times New Roman"/>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96"/>
    </w:pPr>
    <w:rPr>
      <w:rFonts w:ascii="Georgia;Times New Roman;serif" w:hAnsi="Georgia;Times New Roman;serif" w:eastAsia="Georgia;Times New Roman;serif" w:cs="Georgia;Times New Roman;serif"/>
      <w:color w:val="auto"/>
      <w:sz w:val="24"/>
      <w:szCs w:val="24"/>
      <w:lang w:val="en-US" w:eastAsia="zh-CN" w:bidi="hi-IN"/>
    </w:rPr>
  </w:style>
  <w:style w:type="paragraph" w:styleId="Heading1">
    <w:name w:val="heading 1"/>
    <w:basedOn w:val="Heading"/>
    <w:next w:val="BodyText"/>
    <w:qFormat/>
    <w:pPr>
      <w:spacing w:before="240" w:after="60"/>
    </w:pPr>
    <w:rPr>
      <w:b/>
      <w:bCs/>
      <w:sz w:val="48"/>
      <w:szCs w:val="48"/>
    </w:rPr>
  </w:style>
  <w:style w:type="paragraph" w:styleId="Heading2">
    <w:name w:val="heading 2"/>
    <w:basedOn w:val="Heading"/>
    <w:next w:val="BodyText"/>
    <w:qFormat/>
    <w:pPr>
      <w:pBdr>
        <w:bottom w:val="single" w:sz="12" w:space="6" w:color="000000"/>
      </w:pBdr>
      <w:spacing w:before="660" w:after="120"/>
      <w:outlineLvl w:val="1"/>
    </w:pPr>
    <w:rPr>
      <w:rFonts w:ascii="Liberation Serif" w:hAnsi="Liberation Serif" w:eastAsia="Noto Serif CJK SC" w:cs="DejaVu Sans"/>
      <w:b/>
      <w:bCs/>
      <w:sz w:val="36"/>
      <w:szCs w:val="36"/>
    </w:rPr>
  </w:style>
  <w:style w:type="paragraph" w:styleId="Heading3">
    <w:name w:val="heading 3"/>
    <w:basedOn w:val="Heading"/>
    <w:next w:val="BodyText"/>
    <w:qFormat/>
    <w:pPr>
      <w:spacing w:before="420" w:after="120"/>
      <w:outlineLvl w:val="2"/>
    </w:pPr>
    <w:rPr>
      <w:rFonts w:ascii="Liberation Serif" w:hAnsi="Liberation Serif" w:eastAsia="Noto Serif CJK SC" w:cs="DejaVu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List">
    <w:name w:val="List"/>
    <w:basedOn w:val="BodyText"/>
    <w:pPr/>
    <w:rPr>
      <w:rFonts w:cs="DejaVu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1" w:color="000000"/>
        <w:left w:val="single" w:sz="2" w:space="14" w:color="000000"/>
        <w:bottom w:val="single" w:sz="2" w:space="11" w:color="000000"/>
        <w:right w:val="single" w:sz="2" w:space="14" w:color="000000"/>
      </w:pBdr>
      <w:spacing w:before="0" w:after="0"/>
    </w:pPr>
    <w:rPr>
      <w:rFonts w:ascii="Consolas;Courier New;monospace" w:hAnsi="Consolas;Courier New;monospace" w:eastAsia="Consolas;Courier New;monospace" w:cs="Consolas;Courier New;monospace"/>
      <w:sz w:val="20"/>
      <w:szCs w:val="20"/>
    </w:rPr>
  </w:style>
  <w:style w:type="paragraph" w:styleId="BodyTextsubtitle">
    <w:name w:val="Body Text.subtitle"/>
    <w:basedOn w:val="BodyText"/>
    <w:qFormat/>
    <w:pPr>
      <w:spacing w:before="0" w:after="480"/>
    </w:pPr>
    <w:rPr>
      <w:i/>
      <w:iCs/>
    </w:rPr>
  </w:style>
  <w:style w:type="paragraph" w:styleId="TableHeading">
    <w:name w:val="Table Heading"/>
    <w:basedOn w:val="TableContents"/>
    <w:qFormat/>
    <w:pPr>
      <w:suppressLineNumbers/>
      <w:jc w:val="left"/>
    </w:pPr>
    <w:rPr>
      <w:b/>
      <w:bCs/>
    </w:rPr>
  </w:style>
  <w:style w:type="paragraph" w:styleId="PreformattedTexttree">
    <w:name w:val="Preformatted Text.tree"/>
    <w:basedOn w:val="PreformattedText"/>
    <w:qFormat/>
    <w:pPr>
      <w:spacing w:lineRule="auto" w:line="360"/>
    </w:pPr>
    <w:rPr/>
  </w:style>
  <w:style w:type="paragraph" w:styleId="BodyTextlearn">
    <w:name w:val="Body Text.learn"/>
    <w:basedOn w:val="BodyText"/>
    <w:qFormat/>
    <w:pPr/>
    <w:rPr/>
  </w:style>
  <w:style w:type="paragraph" w:styleId="BodyTextwhy">
    <w:name w:val="Body Text.why"/>
    <w:basedOn w:val="BodyText"/>
    <w:qForma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microsoft.com/en-us/azure/databricks/lakehouse/medallion" TargetMode="External"/><Relationship Id="rId3" Type="http://schemas.openxmlformats.org/officeDocument/2006/relationships/hyperlink" Target="https://docs.databricks.com/aws/en/lakehouse/medallion" TargetMode="External"/><Relationship Id="rId4" Type="http://schemas.openxmlformats.org/officeDocument/2006/relationships/hyperlink" Target="https://community.databricks.com/t5/data-engineering/best-practices-for-designing-bronze-layer-with-sql-server-source/td-p/127188"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Notes — Fraud Detection Lakehouse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