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4BF94323" w14:textId="76A1C048" w:rsidR="007E3D6F" w:rsidRDefault="007E3D6F" w:rsidP="4D7351AA">
      <w:r>
        <w:t>Talk about how the rig</w:t>
      </w:r>
      <w:r w:rsidR="0034754B">
        <w:t>’</w:t>
      </w:r>
      <w:r>
        <w:t>s use is used to analyze/improve. The parameters focused in these improvements will likely be reflected later on in the objectives/</w:t>
      </w:r>
      <w:r w:rsidR="00726A82">
        <w:t>comparable sections</w:t>
      </w:r>
      <w:r>
        <w:t>.</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206A6804" w14:textId="61182298" w:rsidR="00200F70" w:rsidRDefault="00426886" w:rsidP="00426886">
      <w:r>
        <w:t xml:space="preserve">Shaker rigs work by suspending </w:t>
      </w:r>
      <w:r w:rsidR="00726A82">
        <w:t xml:space="preserve">a car </w:t>
      </w:r>
      <w:r>
        <w:t>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w:t>
      </w:r>
      <w:r w:rsidR="00726A82">
        <w:t>linear actuators</w:t>
      </w:r>
      <w:r w:rsidR="00200F70">
        <w:t xml:space="preserve">. </w:t>
      </w:r>
    </w:p>
    <w:p w14:paraId="2F2F1AE0" w14:textId="585D9C34" w:rsidR="00726A82" w:rsidRDefault="00726A82" w:rsidP="00426886">
      <w:r>
        <w:t>Explain how the ultimate motion of the actuator is affected by parameters that can be defined. Maybe frequency, response, force, etc.</w:t>
      </w:r>
    </w:p>
    <w:p w14:paraId="7A9A26A0" w14:textId="02650B69" w:rsidR="00D0567C" w:rsidRDefault="00D0567C" w:rsidP="00D0567C">
      <w:pPr>
        <w:pStyle w:val="ListParagraph"/>
        <w:numPr>
          <w:ilvl w:val="0"/>
          <w:numId w:val="4"/>
        </w:numPr>
      </w:pPr>
      <w:r>
        <w:t>Track inputs</w:t>
      </w:r>
    </w:p>
    <w:p w14:paraId="230E7EF5" w14:textId="7C94FC26" w:rsidR="00D0567C" w:rsidRDefault="00D0567C" w:rsidP="00D0567C">
      <w:pPr>
        <w:pStyle w:val="ListParagraph"/>
        <w:numPr>
          <w:ilvl w:val="0"/>
          <w:numId w:val="4"/>
        </w:numPr>
      </w:pPr>
      <w:r>
        <w:t>Suspension components</w:t>
      </w:r>
    </w:p>
    <w:p w14:paraId="3241B498" w14:textId="017DBAA9" w:rsidR="00D0567C" w:rsidRDefault="00D0567C" w:rsidP="00D0567C">
      <w:pPr>
        <w:pStyle w:val="ListParagraph"/>
        <w:numPr>
          <w:ilvl w:val="1"/>
          <w:numId w:val="4"/>
        </w:numPr>
      </w:pPr>
      <w:r>
        <w:t>Springs</w:t>
      </w:r>
    </w:p>
    <w:p w14:paraId="6349F965" w14:textId="0CC1DC95" w:rsidR="00D0567C" w:rsidRDefault="00D0567C" w:rsidP="00D0567C">
      <w:pPr>
        <w:pStyle w:val="ListParagraph"/>
        <w:numPr>
          <w:ilvl w:val="1"/>
          <w:numId w:val="4"/>
        </w:numPr>
      </w:pPr>
      <w:r>
        <w:t>Dampers</w:t>
      </w:r>
    </w:p>
    <w:p w14:paraId="49D69A9E" w14:textId="342CFD7A" w:rsidR="00D0567C" w:rsidRDefault="00D0567C" w:rsidP="00D0567C">
      <w:pPr>
        <w:pStyle w:val="ListParagraph"/>
        <w:numPr>
          <w:ilvl w:val="1"/>
          <w:numId w:val="4"/>
        </w:numPr>
      </w:pPr>
      <w:r>
        <w:t>Anti-roll bars</w:t>
      </w:r>
    </w:p>
    <w:p w14:paraId="40C1A193" w14:textId="46EA21EB" w:rsidR="00D0567C" w:rsidRDefault="00D0567C" w:rsidP="00D0567C">
      <w:pPr>
        <w:pStyle w:val="ListParagraph"/>
        <w:numPr>
          <w:ilvl w:val="1"/>
          <w:numId w:val="4"/>
        </w:numPr>
      </w:pPr>
      <w:r>
        <w:t>Tires</w:t>
      </w:r>
    </w:p>
    <w:p w14:paraId="17FD8ADD" w14:textId="51E67EE3" w:rsidR="00D0567C" w:rsidRDefault="00D0567C" w:rsidP="00D0567C">
      <w:pPr>
        <w:pStyle w:val="ListParagraph"/>
        <w:numPr>
          <w:ilvl w:val="1"/>
          <w:numId w:val="4"/>
        </w:numPr>
      </w:pPr>
      <w:r>
        <w:t>Unsprung mass?</w:t>
      </w:r>
    </w:p>
    <w:p w14:paraId="55E27E94" w14:textId="6FCBE820" w:rsidR="00D0567C" w:rsidRDefault="00D0567C" w:rsidP="00D0567C">
      <w:pPr>
        <w:pStyle w:val="ListParagraph"/>
        <w:numPr>
          <w:ilvl w:val="0"/>
          <w:numId w:val="4"/>
        </w:numPr>
      </w:pPr>
      <w:r>
        <w:t>Actuator data collection</w:t>
      </w:r>
    </w:p>
    <w:p w14:paraId="05EAFA3F" w14:textId="3E2B474C" w:rsidR="00200F70" w:rsidRDefault="00200F70" w:rsidP="00426886">
      <w:r>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Pr="006C39FA" w:rsidRDefault="00584B1C" w:rsidP="006C39FA">
      <w:pPr>
        <w:pStyle w:val="Heading2"/>
      </w:pPr>
      <w:bookmarkStart w:id="6" w:name="_Toc94295358"/>
      <w:r w:rsidRPr="006C39FA">
        <w:t>Lessons from prior responses to the problem</w:t>
      </w:r>
      <w:bookmarkEnd w:id="6"/>
    </w:p>
    <w:p w14:paraId="27FE0843" w14:textId="0AFC1C9D" w:rsidR="002E642F" w:rsidRDefault="00AC5119" w:rsidP="002D1348">
      <w:r>
        <w:t>The earliest shaker rigs used 4 vertical posts. [What type of actuators]. According to Dodds and Plummer in their paper titled, ”</w:t>
      </w:r>
      <w:r w:rsidRPr="00AC5119">
        <w:t>Laboratory Road Simulation for Full Vehicle Testing</w:t>
      </w:r>
      <w:r>
        <w:t xml:space="preserve">”, a limiting factor in the early days of shaker rig technology was a lack of understanding of the loading conditions and the </w:t>
      </w:r>
      <w:r>
        <w:lastRenderedPageBreak/>
        <w:t xml:space="preserve">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BF7A39">
        <w:t xml:space="preserve"> </w:t>
      </w:r>
      <w:r w:rsidR="00BF7A39">
        <w:fldChar w:fldCharType="begin"/>
      </w:r>
      <w:r w:rsidR="00BF7A39">
        <w:instrText xml:space="preserve"> ADDIN ZOTERO_ITEM CSL_CITATION {"citationID":"5F2MMBTi","properties":{"formattedCitation":"(Dodds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BF7A39">
        <w:fldChar w:fldCharType="separate"/>
      </w:r>
      <w:r w:rsidR="00BF7A39" w:rsidRPr="00E7183E">
        <w:rPr>
          <w:rFonts w:ascii="Calibri" w:hAnsi="Calibri" w:cs="Calibri"/>
        </w:rPr>
        <w:t>(Dodds &amp; Plummer, 2001)</w:t>
      </w:r>
      <w:r w:rsidR="00BF7A39">
        <w:fldChar w:fldCharType="end"/>
      </w:r>
      <w:r>
        <w:t>.</w:t>
      </w:r>
      <w:r w:rsidR="002E642F">
        <w:t xml:space="preserve"> </w:t>
      </w:r>
    </w:p>
    <w:p w14:paraId="3F09C4D3" w14:textId="74D0B87A" w:rsidR="00D65FE7" w:rsidRDefault="002E642F" w:rsidP="002D1348">
      <w:r>
        <w:t>What made electro-hydraulics adequate?</w:t>
      </w:r>
      <w:r w:rsidR="00AC5119">
        <w:t xml:space="preserve"> </w:t>
      </w:r>
    </w:p>
    <w:p w14:paraId="071FA4FE" w14:textId="327910E4" w:rsidR="00E7183E" w:rsidRDefault="000463DE" w:rsidP="002D1348">
      <w:r>
        <w:t>As shaker rigs developed, progress was made in both the configuration of actuators and the methods used to derive a simulation model.</w:t>
      </w:r>
    </w:p>
    <w:p w14:paraId="63C2630E" w14:textId="774CFBAE" w:rsidR="00E7183E" w:rsidRDefault="00E7183E" w:rsidP="002D1348">
      <w:r>
        <w:fldChar w:fldCharType="begin"/>
      </w:r>
      <w:r>
        <w:instrText xml:space="preserve"> ADDIN ZOTERO_ITEM CSL_CITATION {"citationID":"nAecMaIW","properties":{"formattedCitation":"(Rydberg,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E7183E">
        <w:rPr>
          <w:rFonts w:ascii="Calibri" w:hAnsi="Calibri" w:cs="Calibri"/>
        </w:rPr>
        <w:t>(Rydberg, 2008)</w:t>
      </w:r>
      <w:r>
        <w:fldChar w:fldCharType="end"/>
      </w:r>
      <w:r>
        <w:t xml:space="preserve"> discusses the use of hydraulic servo systems being introduced to more industries. His paper explains that the widespread use of hydraulic servo systems is thanks to their high precision, fast operation, and easy adjustability. </w:t>
      </w:r>
      <w:r w:rsidR="002A50E8">
        <w:t xml:space="preserve">It </w:t>
      </w:r>
      <w:r w:rsidR="009C4F3B">
        <w:t>was</w:t>
      </w:r>
      <w:r w:rsidR="002A50E8">
        <w:t xml:space="preserve"> </w:t>
      </w:r>
      <w:r w:rsidR="009C4F3B">
        <w:t>noticed</w:t>
      </w:r>
      <w:r w:rsidR="002A50E8">
        <w:t xml:space="preserve"> that </w:t>
      </w:r>
      <w:r w:rsidR="009C4F3B">
        <w:t xml:space="preserve">a downside to </w:t>
      </w:r>
      <w:r w:rsidR="002A50E8">
        <w:t xml:space="preserve">servo-hydraulic actuators </w:t>
      </w:r>
      <w:r w:rsidR="009C4F3B">
        <w:t>is</w:t>
      </w:r>
      <w:r w:rsidR="002A50E8">
        <w:t xml:space="preserve"> the non-linear behavior of fluid dynamics</w:t>
      </w:r>
      <w:r w:rsidR="009C4F3B">
        <w:t xml:space="preserve"> through the actuation</w:t>
      </w:r>
      <w:r w:rsidR="002A50E8">
        <w:t xml:space="preserve">. </w:t>
      </w:r>
      <w:r w:rsidR="009C4F3B">
        <w:t>However, a</w:t>
      </w:r>
      <w:r w:rsidR="002A50E8">
        <w:t xml:space="preserve"> servo-hydraulic control system that compensates for the non-linear behavior</w:t>
      </w:r>
      <w:r w:rsidR="009C4F3B">
        <w:t xml:space="preserve"> has been successfully implemented </w:t>
      </w:r>
      <w:r w:rsidR="009C4F3B">
        <w:fldChar w:fldCharType="begin"/>
      </w:r>
      <w:r w:rsidR="009C4F3B">
        <w:instrText xml:space="preserve"> ADDIN ZOTERO_ITEM CSL_CITATION {"citationID":"09EI4utV","properties":{"formattedCitation":"(Hahn et al., 1994)","plainCitation":"(Hahn et al., 1994)","noteIndex":0},"citationItems":[{"id":84,"uris":["http://zotero.org/users/12916010/items/6N84EGTI"],"itemData":{"id":84,"type":"paper-conference","abstract":"This paper presents a nonlinear control concept for servo-hydraulic actuators based on exact i/o-linearization techniques. Servo-hydraulic actuators have dominant nonlinearities due to the valve orifice flow characteristics. In most applications, they cannot be globally approximated by linear models over an extended working range. In this paper an input-output linearization technique, which exactly compensates the global nonlinearities of the system, is applied to a servo-hydraulic actuator and compared with a standard linear multi-sensor controller. The controlled actuator provides excellent transient and robustness behaviour shown in the simulation results.&lt;&gt;","container-title":"1994 Proceedings of IEEE International Conference on Control and Applications","DOI":"10.1109/CCA.1994.381197","event-title":"1994 Proceedings of IEEE International Conference on Control and Applications","page":"995-1000 vol.2","source":"IEEE Xplore","title":"Input/output linearization control of an electro servo-hydraulic actuator","URL":"https://ieeexplore.ieee.org/abstract/document/381197?casa_token=8RJAsFwe4y0AAAAA:aklQwcAsv8xt0sDvM9iHVvMUQ7xbJrD75gCfKj9Qkjbus5pHzklgMfqJiGuJvw-HuoyWiuJ8Jw","author":[{"literal":"Hahn"},{"literal":"Piepenbrink"},{"literal":"Leimbach"}],"accessed":{"date-parts":[["2023",11,15]]},"issued":{"date-parts":[["1994",8]]}}}],"schema":"https://github.com/citation-style-language/schema/raw/master/csl-citation.json"} </w:instrText>
      </w:r>
      <w:r w:rsidR="009C4F3B">
        <w:fldChar w:fldCharType="separate"/>
      </w:r>
      <w:r w:rsidR="009C4F3B" w:rsidRPr="002A50E8">
        <w:rPr>
          <w:rFonts w:ascii="Calibri" w:hAnsi="Calibri" w:cs="Calibri"/>
        </w:rPr>
        <w:t>(Hahn et al., 1994)</w:t>
      </w:r>
      <w:r w:rsidR="009C4F3B">
        <w:fldChar w:fldCharType="end"/>
      </w:r>
      <w:r w:rsidR="002A50E8">
        <w:t>.</w:t>
      </w:r>
      <w:r w:rsidR="00364EB3">
        <w:t xml:space="preserve"> </w:t>
      </w:r>
    </w:p>
    <w:p w14:paraId="4447A87B" w14:textId="77777777" w:rsidR="00584B1C" w:rsidRPr="00584B1C" w:rsidRDefault="31AB8FB0" w:rsidP="006C39FA">
      <w:pPr>
        <w:pStyle w:val="Heading2"/>
      </w:pPr>
      <w:bookmarkStart w:id="7" w:name="_Toc94295359"/>
      <w:r>
        <w:t>Project objectives and constraints</w:t>
      </w:r>
      <w:bookmarkEnd w:id="7"/>
    </w:p>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9"/>
      <w:commentRangeStart w:id="10"/>
      <w:r>
        <w:t>optimize a racecar</w:t>
      </w:r>
      <w:commentRangeEnd w:id="9"/>
      <w:r w:rsidR="00594477">
        <w:rPr>
          <w:rStyle w:val="CommentReference"/>
        </w:rPr>
        <w:commentReference w:id="9"/>
      </w:r>
      <w:commentRangeEnd w:id="10"/>
      <w:r w:rsidR="00C30EDF">
        <w:rPr>
          <w:rStyle w:val="CommentReference"/>
        </w:rPr>
        <w:commentReference w:id="10"/>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1" w:name="_Toc94295360"/>
      <w:r>
        <w:t>Candidate Solutions</w:t>
      </w:r>
      <w:bookmarkEnd w:id="11"/>
    </w:p>
    <w:p w14:paraId="7708845F" w14:textId="77777777" w:rsidR="00584B1C" w:rsidRDefault="00584B1C" w:rsidP="006C39FA">
      <w:pPr>
        <w:pStyle w:val="Heading2"/>
      </w:pPr>
      <w:bookmarkStart w:id="12" w:name="_Toc94295361"/>
      <w:r>
        <w:lastRenderedPageBreak/>
        <w:t>Scope of solutions considered</w:t>
      </w:r>
      <w:bookmarkEnd w:id="12"/>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13"/>
      <w:r w:rsidR="007D7FEA">
        <w:t>Contemporary shaker rigs typically utilize hydraulic servo systems.</w:t>
      </w:r>
      <w:commentRangeEnd w:id="13"/>
      <w:r w:rsidR="007D7FEA">
        <w:rPr>
          <w:rStyle w:val="CommentReference"/>
        </w:rPr>
        <w:commentReference w:id="13"/>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4" w:name="_Toc94295362"/>
      <w:r>
        <w:t>Explanation of candidate solutions</w:t>
      </w:r>
      <w:bookmarkEnd w:id="14"/>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5"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6"/>
      <w:r w:rsidR="00303D91">
        <w:t>racing</w:t>
      </w:r>
      <w:commentRangeEnd w:id="16"/>
      <w:r w:rsidR="00594477">
        <w:rPr>
          <w:rStyle w:val="CommentReference"/>
          <w:i w:val="0"/>
          <w:iCs w:val="0"/>
          <w:color w:val="auto"/>
        </w:rPr>
        <w:commentReference w:id="16"/>
      </w:r>
      <w:r w:rsidR="000C4D3C">
        <w:t xml:space="preserve"> for Mc</w:t>
      </w:r>
      <w:r w:rsidR="00303D91">
        <w:t>L</w:t>
      </w:r>
      <w:r w:rsidR="000C4D3C">
        <w:t>aren</w:t>
      </w:r>
      <w:bookmarkEnd w:id="15"/>
    </w:p>
    <w:p w14:paraId="043606B7" w14:textId="40994A9C" w:rsidR="00584B1C" w:rsidRDefault="00584B1C" w:rsidP="006C39FA">
      <w:pPr>
        <w:pStyle w:val="Heading2"/>
      </w:pPr>
      <w:bookmarkStart w:id="17" w:name="_Toc94295366"/>
      <w:r>
        <w:t>Comparative assessment of candidate solutions</w:t>
      </w:r>
      <w:bookmarkEnd w:id="17"/>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w:t>
            </w:r>
            <w:commentRangeStart w:id="18"/>
            <w:r>
              <w:t>mechanical</w:t>
            </w:r>
            <w:commentRangeEnd w:id="18"/>
            <w:r w:rsidR="00594477">
              <w:rPr>
                <w:rStyle w:val="CommentReference"/>
              </w:rPr>
              <w:commentReference w:id="18"/>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r>
              <w:t>Reolution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9" w:name="_Toc94295367"/>
      <w:r>
        <w:lastRenderedPageBreak/>
        <w:br w:type="page"/>
      </w:r>
    </w:p>
    <w:p w14:paraId="15EA3C31" w14:textId="68BFA5DF" w:rsidR="00584B1C" w:rsidRPr="00584B1C" w:rsidRDefault="00584B1C" w:rsidP="004653D1">
      <w:pPr>
        <w:pStyle w:val="Heading1"/>
      </w:pPr>
      <w:r>
        <w:lastRenderedPageBreak/>
        <w:t>Project Recommendations</w:t>
      </w:r>
      <w:bookmarkEnd w:id="19"/>
    </w:p>
    <w:p w14:paraId="5613D7A6" w14:textId="77777777" w:rsidR="00584B1C" w:rsidRPr="00584B1C" w:rsidRDefault="00584B1C" w:rsidP="006C39FA">
      <w:pPr>
        <w:pStyle w:val="Heading2"/>
      </w:pPr>
      <w:bookmarkStart w:id="20" w:name="_Toc94295368"/>
      <w:r>
        <w:t>Proposed solution</w:t>
      </w:r>
      <w:bookmarkEnd w:id="20"/>
    </w:p>
    <w:p w14:paraId="5244EFD1" w14:textId="77777777" w:rsidR="00584B1C" w:rsidRPr="00584B1C" w:rsidRDefault="00584B1C" w:rsidP="006C39FA">
      <w:pPr>
        <w:pStyle w:val="Heading2"/>
      </w:pPr>
      <w:bookmarkStart w:id="21" w:name="_Toc94295369"/>
      <w:r>
        <w:t>Design and implementation challenges</w:t>
      </w:r>
      <w:bookmarkEnd w:id="21"/>
    </w:p>
    <w:p w14:paraId="39B11013" w14:textId="77777777" w:rsidR="00584B1C" w:rsidRPr="00584B1C" w:rsidRDefault="31AB8FB0" w:rsidP="006C39FA">
      <w:pPr>
        <w:pStyle w:val="Heading2"/>
        <w:rPr>
          <w:sz w:val="20"/>
        </w:rPr>
      </w:pPr>
      <w:bookmarkStart w:id="22" w:name="_Toc94295370"/>
      <w:r>
        <w:t>Anticipated project outcomes and impacts</w:t>
      </w:r>
      <w:bookmarkEnd w:id="22"/>
    </w:p>
    <w:p w14:paraId="64501EEA" w14:textId="4058C50A" w:rsidR="4D7351AA" w:rsidRDefault="4D7351AA">
      <w:r>
        <w:br w:type="page"/>
      </w:r>
    </w:p>
    <w:p w14:paraId="58C27900" w14:textId="77777777" w:rsidR="00584B1C" w:rsidRPr="00584B1C" w:rsidRDefault="31AB8FB0" w:rsidP="004653D1">
      <w:pPr>
        <w:pStyle w:val="Heading1"/>
      </w:pPr>
      <w:bookmarkStart w:id="23" w:name="_Toc94295371"/>
      <w:r>
        <w:lastRenderedPageBreak/>
        <w:t>Glossary</w:t>
      </w:r>
      <w:bookmarkEnd w:id="23"/>
    </w:p>
    <w:p w14:paraId="0DF80CE3" w14:textId="68FC3E6C" w:rsidR="4D7351AA" w:rsidRDefault="4D7351AA">
      <w:r>
        <w:br w:type="page"/>
      </w:r>
    </w:p>
    <w:p w14:paraId="1A485BCE" w14:textId="0CAF9D78" w:rsidR="00E7183E" w:rsidRPr="00E7183E" w:rsidRDefault="00584B1C" w:rsidP="00E7183E">
      <w:pPr>
        <w:pStyle w:val="Heading1"/>
      </w:pPr>
      <w:bookmarkStart w:id="24" w:name="_Toc94295372"/>
      <w:r>
        <w:lastRenderedPageBreak/>
        <w:t>References</w:t>
      </w:r>
      <w:bookmarkEnd w:id="24"/>
    </w:p>
    <w:p w14:paraId="3EBB593E" w14:textId="6313B444" w:rsidR="00E0134C" w:rsidRDefault="00584B1C" w:rsidP="006C39FA">
      <w:pPr>
        <w:pStyle w:val="Heading2"/>
      </w:pPr>
      <w:bookmarkStart w:id="25" w:name="_Toc94295373"/>
      <w:r>
        <w:t>Additional sources consulted</w:t>
      </w:r>
      <w:bookmarkEnd w:id="25"/>
    </w:p>
    <w:p w14:paraId="1C0976D7" w14:textId="77777777" w:rsidR="00741490" w:rsidRPr="00741490" w:rsidRDefault="00E7183E" w:rsidP="00741490">
      <w:pPr>
        <w:pStyle w:val="Bibliography"/>
        <w:rPr>
          <w:rFonts w:ascii="Calibri" w:hAnsi="Calibri" w:cs="Calibri"/>
        </w:rPr>
      </w:pPr>
      <w:r>
        <w:fldChar w:fldCharType="begin"/>
      </w:r>
      <w:r>
        <w:instrText xml:space="preserve"> ADDIN ZOTERO_BIBL {"uncited":[],"omitted":[],"custom":[]} CSL_BIBLIOGRAPHY </w:instrText>
      </w:r>
      <w:r>
        <w:fldChar w:fldCharType="separate"/>
      </w:r>
      <w:r w:rsidR="00741490" w:rsidRPr="00741490">
        <w:rPr>
          <w:rFonts w:ascii="Calibri" w:hAnsi="Calibri" w:cs="Calibri"/>
        </w:rPr>
        <w:t xml:space="preserve">Boggs, C. M. (2009). </w:t>
      </w:r>
      <w:r w:rsidR="00741490" w:rsidRPr="00741490">
        <w:rPr>
          <w:rFonts w:ascii="Calibri" w:hAnsi="Calibri" w:cs="Calibri"/>
          <w:i/>
          <w:iCs/>
        </w:rPr>
        <w:t>The Use of Simulation to Expedite Experimental Investigations of the Effect of High-Performance Shock Absorbers</w:t>
      </w:r>
      <w:r w:rsidR="00741490" w:rsidRPr="00741490">
        <w:rPr>
          <w:rFonts w:ascii="Calibri" w:hAnsi="Calibri" w:cs="Calibri"/>
        </w:rPr>
        <w:t>. https://vtechworks.lib.vt.edu/handle/10919/26108</w:t>
      </w:r>
    </w:p>
    <w:p w14:paraId="3220D652" w14:textId="77777777" w:rsidR="00741490" w:rsidRPr="00741490" w:rsidRDefault="00741490" w:rsidP="00741490">
      <w:pPr>
        <w:pStyle w:val="Bibliography"/>
        <w:rPr>
          <w:rFonts w:ascii="Calibri" w:hAnsi="Calibri" w:cs="Calibri"/>
        </w:rPr>
      </w:pPr>
      <w:r w:rsidRPr="00741490">
        <w:rPr>
          <w:rFonts w:ascii="Calibri" w:hAnsi="Calibri" w:cs="Calibri"/>
        </w:rPr>
        <w:t xml:space="preserve">Dodds, C. J., &amp; Plummer, A. R. (2001). </w:t>
      </w:r>
      <w:r w:rsidRPr="00741490">
        <w:rPr>
          <w:rFonts w:ascii="Calibri" w:hAnsi="Calibri" w:cs="Calibri"/>
          <w:i/>
          <w:iCs/>
        </w:rPr>
        <w:t>Laboratory Road Simulation for Full Vehicle Testing: A Review</w:t>
      </w:r>
      <w:r w:rsidRPr="00741490">
        <w:rPr>
          <w:rFonts w:ascii="Calibri" w:hAnsi="Calibri" w:cs="Calibri"/>
        </w:rPr>
        <w:t>. 2001-26–0047. https://doi.org/10.4271/2001-26-0047</w:t>
      </w:r>
    </w:p>
    <w:p w14:paraId="30CAE051" w14:textId="77777777" w:rsidR="00741490" w:rsidRPr="00741490" w:rsidRDefault="00741490" w:rsidP="00741490">
      <w:pPr>
        <w:pStyle w:val="Bibliography"/>
        <w:rPr>
          <w:rFonts w:ascii="Calibri" w:hAnsi="Calibri" w:cs="Calibri"/>
        </w:rPr>
      </w:pPr>
      <w:r w:rsidRPr="00741490">
        <w:rPr>
          <w:rFonts w:ascii="Calibri" w:hAnsi="Calibri" w:cs="Calibri"/>
        </w:rPr>
        <w:t xml:space="preserve">Hahn, Piepenbrink, &amp; Leimbach. (1994). Input/output linearization control of an electro servo-hydraulic actuator. </w:t>
      </w:r>
      <w:r w:rsidRPr="00741490">
        <w:rPr>
          <w:rFonts w:ascii="Calibri" w:hAnsi="Calibri" w:cs="Calibri"/>
          <w:i/>
          <w:iCs/>
        </w:rPr>
        <w:t>1994 Proceedings of IEEE International Conference on Control and Applications</w:t>
      </w:r>
      <w:r w:rsidRPr="00741490">
        <w:rPr>
          <w:rFonts w:ascii="Calibri" w:hAnsi="Calibri" w:cs="Calibri"/>
        </w:rPr>
        <w:t>, 995–1000 vol.2. https://doi.org/10.1109/CCA.1994.381197</w:t>
      </w:r>
    </w:p>
    <w:p w14:paraId="720C616C" w14:textId="77777777" w:rsidR="00741490" w:rsidRPr="00741490" w:rsidRDefault="00741490" w:rsidP="00741490">
      <w:pPr>
        <w:pStyle w:val="Bibliography"/>
        <w:rPr>
          <w:rFonts w:ascii="Calibri" w:hAnsi="Calibri" w:cs="Calibri"/>
        </w:rPr>
      </w:pPr>
      <w:r w:rsidRPr="00741490">
        <w:rPr>
          <w:rFonts w:ascii="Calibri" w:hAnsi="Calibri" w:cs="Calibri"/>
        </w:rPr>
        <w:t xml:space="preserve">Rydberg, K.-E. (2008). Hydraulic Servo Systems. </w:t>
      </w:r>
      <w:r w:rsidRPr="00741490">
        <w:rPr>
          <w:rFonts w:ascii="Calibri" w:hAnsi="Calibri" w:cs="Calibri"/>
          <w:i/>
          <w:iCs/>
        </w:rPr>
        <w:t>Hydraulic Servo Systems</w:t>
      </w:r>
      <w:r w:rsidRPr="00741490">
        <w:rPr>
          <w:rFonts w:ascii="Calibri" w:hAnsi="Calibri" w:cs="Calibri"/>
        </w:rPr>
        <w:t>.</w:t>
      </w:r>
    </w:p>
    <w:p w14:paraId="09F64EC6" w14:textId="3F61011E"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You don’t need to explain the entire vehicle, but explaining components relevant 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0"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3" w:author="Jakob Werle" w:date="2023-11-29T02:21:00Z" w:initials="JW">
    <w:p w14:paraId="7BEF3F80" w14:textId="23B1AE7E" w:rsidR="007D7FEA" w:rsidRDefault="007D7FEA" w:rsidP="00D71232">
      <w:pPr>
        <w:pStyle w:val="CommentText"/>
      </w:pPr>
      <w:r>
        <w:rPr>
          <w:rStyle w:val="CommentReference"/>
        </w:rPr>
        <w:annotationRef/>
      </w:r>
      <w:r>
        <w:t>Need to cite something to say this accurately.</w:t>
      </w:r>
    </w:p>
  </w:comment>
  <w:comment w:id="16"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 w:id="18" w:author="Geoff Keston" w:date="2023-11-30T09:05:00Z" w:initials="GK">
    <w:p w14:paraId="14754CD1" w14:textId="651A5A89" w:rsidR="00594477" w:rsidRDefault="00594477">
      <w:pPr>
        <w:pStyle w:val="CommentText"/>
      </w:pPr>
      <w:r>
        <w:rPr>
          <w:rStyle w:val="CommentReference"/>
        </w:rPr>
        <w:annotationRef/>
      </w:r>
      <w:r>
        <w:t>A good workflow approach will be to use table this as a graphic organizer, which is a visual tool for organizing and focusing research. Filling in this table will spur the creation of text to fully explain each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87EE7F" w15:done="0"/>
  <w15:commentEx w15:paraId="4198A83C" w15:done="0"/>
  <w15:commentEx w15:paraId="43267025" w15:done="0"/>
  <w15:commentEx w15:paraId="3E1370F1" w15:done="0"/>
  <w15:commentEx w15:paraId="152C2072" w15:paraIdParent="3E1370F1" w15:done="0"/>
  <w15:commentEx w15:paraId="7BEF3F80" w15:done="0"/>
  <w15:commentEx w15:paraId="3F1014BC" w15:done="0"/>
  <w15:commentEx w15:paraId="147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28C178D4" w16cex:dateUtc="2023-12-04T23:55:00Z"/>
  <w16cex:commentExtensible w16cex:durableId="3B44D747" w16cex:dateUtc="2023-11-29T07:21:00Z"/>
  <w16cex:commentExtensible w16cex:durableId="73739F4F" w16cex:dateUtc="2023-11-30T14:07:00Z"/>
  <w16cex:commentExtensible w16cex:durableId="711F94C6" w16cex:dateUtc="2023-11-3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87EE7F" w16cid:durableId="42024D37"/>
  <w16cid:commentId w16cid:paraId="4198A83C" w16cid:durableId="08BA8351"/>
  <w16cid:commentId w16cid:paraId="43267025" w16cid:durableId="1049B7C3"/>
  <w16cid:commentId w16cid:paraId="3E1370F1" w16cid:durableId="4757F3F2"/>
  <w16cid:commentId w16cid:paraId="152C2072" w16cid:durableId="28C178D4"/>
  <w16cid:commentId w16cid:paraId="7BEF3F80" w16cid:durableId="3B44D747"/>
  <w16cid:commentId w16cid:paraId="3F1014BC" w16cid:durableId="73739F4F"/>
  <w16cid:commentId w16cid:paraId="14754CD1" w16cid:durableId="711F9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37C01" w14:textId="77777777" w:rsidR="00570E02" w:rsidRDefault="00570E02" w:rsidP="002F21F1">
      <w:pPr>
        <w:spacing w:after="0" w:line="240" w:lineRule="auto"/>
      </w:pPr>
      <w:r>
        <w:separator/>
      </w:r>
    </w:p>
  </w:endnote>
  <w:endnote w:type="continuationSeparator" w:id="0">
    <w:p w14:paraId="4EF2815B" w14:textId="77777777" w:rsidR="00570E02" w:rsidRDefault="00570E02"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21A54" w14:textId="77777777" w:rsidR="00570E02" w:rsidRDefault="00570E02" w:rsidP="002F21F1">
      <w:pPr>
        <w:spacing w:after="0" w:line="240" w:lineRule="auto"/>
      </w:pPr>
      <w:r>
        <w:separator/>
      </w:r>
    </w:p>
  </w:footnote>
  <w:footnote w:type="continuationSeparator" w:id="0">
    <w:p w14:paraId="1E0CF852" w14:textId="77777777" w:rsidR="00570E02" w:rsidRDefault="00570E02"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2"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1"/>
  </w:num>
  <w:num w:numId="2" w16cid:durableId="1304848933">
    <w:abstractNumId w:val="2"/>
  </w:num>
  <w:num w:numId="3" w16cid:durableId="1991670832">
    <w:abstractNumId w:val="3"/>
  </w:num>
  <w:num w:numId="4" w16cid:durableId="1516336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81251"/>
    <w:rsid w:val="00085BF5"/>
    <w:rsid w:val="000A10E1"/>
    <w:rsid w:val="000A6D8E"/>
    <w:rsid w:val="000C1F86"/>
    <w:rsid w:val="000C4D3C"/>
    <w:rsid w:val="000F4F60"/>
    <w:rsid w:val="000F553E"/>
    <w:rsid w:val="000F78E3"/>
    <w:rsid w:val="0013154B"/>
    <w:rsid w:val="00137EF6"/>
    <w:rsid w:val="001B543B"/>
    <w:rsid w:val="00200F70"/>
    <w:rsid w:val="0022281A"/>
    <w:rsid w:val="0025356E"/>
    <w:rsid w:val="00282C0B"/>
    <w:rsid w:val="002A50E8"/>
    <w:rsid w:val="002A546E"/>
    <w:rsid w:val="002B3796"/>
    <w:rsid w:val="002B7CFC"/>
    <w:rsid w:val="002D1348"/>
    <w:rsid w:val="002E4F78"/>
    <w:rsid w:val="002E642F"/>
    <w:rsid w:val="002F21F1"/>
    <w:rsid w:val="00303D91"/>
    <w:rsid w:val="00320B9B"/>
    <w:rsid w:val="0034754B"/>
    <w:rsid w:val="00364EB3"/>
    <w:rsid w:val="0037745E"/>
    <w:rsid w:val="003D2BBD"/>
    <w:rsid w:val="0040666A"/>
    <w:rsid w:val="00426886"/>
    <w:rsid w:val="00426E2B"/>
    <w:rsid w:val="00432C56"/>
    <w:rsid w:val="00437F5E"/>
    <w:rsid w:val="00457F45"/>
    <w:rsid w:val="00464525"/>
    <w:rsid w:val="004653D1"/>
    <w:rsid w:val="00465B9C"/>
    <w:rsid w:val="004975C7"/>
    <w:rsid w:val="0050099F"/>
    <w:rsid w:val="00516571"/>
    <w:rsid w:val="0053015C"/>
    <w:rsid w:val="00532F1E"/>
    <w:rsid w:val="0053574C"/>
    <w:rsid w:val="00567AA9"/>
    <w:rsid w:val="00570E02"/>
    <w:rsid w:val="00584B1C"/>
    <w:rsid w:val="00594477"/>
    <w:rsid w:val="006170CC"/>
    <w:rsid w:val="00626033"/>
    <w:rsid w:val="006306BA"/>
    <w:rsid w:val="006B5347"/>
    <w:rsid w:val="006C39FA"/>
    <w:rsid w:val="006C7391"/>
    <w:rsid w:val="006C7EB2"/>
    <w:rsid w:val="00726A82"/>
    <w:rsid w:val="00741490"/>
    <w:rsid w:val="007423A0"/>
    <w:rsid w:val="007A143D"/>
    <w:rsid w:val="007B41E4"/>
    <w:rsid w:val="007C2182"/>
    <w:rsid w:val="007C6189"/>
    <w:rsid w:val="007D7FEA"/>
    <w:rsid w:val="007E3D6F"/>
    <w:rsid w:val="0080715C"/>
    <w:rsid w:val="00826C00"/>
    <w:rsid w:val="0086558B"/>
    <w:rsid w:val="00896FBE"/>
    <w:rsid w:val="008C06A7"/>
    <w:rsid w:val="008F2810"/>
    <w:rsid w:val="00903C07"/>
    <w:rsid w:val="00967D3E"/>
    <w:rsid w:val="0099755C"/>
    <w:rsid w:val="009A73AC"/>
    <w:rsid w:val="009C4F3B"/>
    <w:rsid w:val="009D205E"/>
    <w:rsid w:val="00A04868"/>
    <w:rsid w:val="00A71C7A"/>
    <w:rsid w:val="00A74531"/>
    <w:rsid w:val="00AC5119"/>
    <w:rsid w:val="00AC7AA4"/>
    <w:rsid w:val="00AD522C"/>
    <w:rsid w:val="00AD8988"/>
    <w:rsid w:val="00B006A9"/>
    <w:rsid w:val="00B77154"/>
    <w:rsid w:val="00B879B5"/>
    <w:rsid w:val="00BB4348"/>
    <w:rsid w:val="00BBF0C5"/>
    <w:rsid w:val="00BF7767"/>
    <w:rsid w:val="00BF7A39"/>
    <w:rsid w:val="00BF7AA4"/>
    <w:rsid w:val="00C30EDF"/>
    <w:rsid w:val="00C44C44"/>
    <w:rsid w:val="00C7259C"/>
    <w:rsid w:val="00CD54AB"/>
    <w:rsid w:val="00CD746D"/>
    <w:rsid w:val="00D0567C"/>
    <w:rsid w:val="00D22382"/>
    <w:rsid w:val="00D2663C"/>
    <w:rsid w:val="00D455D3"/>
    <w:rsid w:val="00D65FE7"/>
    <w:rsid w:val="00D665B3"/>
    <w:rsid w:val="00D916E8"/>
    <w:rsid w:val="00E0134C"/>
    <w:rsid w:val="00E0787E"/>
    <w:rsid w:val="00E31828"/>
    <w:rsid w:val="00E676BB"/>
    <w:rsid w:val="00E7183E"/>
    <w:rsid w:val="00E8454D"/>
    <w:rsid w:val="00EB3CFD"/>
    <w:rsid w:val="00F40C9A"/>
    <w:rsid w:val="00F60DBD"/>
    <w:rsid w:val="00F84673"/>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3.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Jakob Werle</cp:lastModifiedBy>
  <cp:revision>9</cp:revision>
  <dcterms:created xsi:type="dcterms:W3CDTF">2023-12-04T23:47:00Z</dcterms:created>
  <dcterms:modified xsi:type="dcterms:W3CDTF">2024-09-09T16:52:00Z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zotero-version="6.0.30"&gt;&lt;session id="rwrFn5ZL"/&gt;&lt;style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