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6A4BF" w14:textId="0CEE4EF8" w:rsidR="007771D6" w:rsidRDefault="007771D6" w:rsidP="007771D6">
      <w:pPr>
        <w:jc w:val="center"/>
      </w:pPr>
      <w:r>
        <w:rPr>
          <w:noProof/>
        </w:rPr>
        <w:drawing>
          <wp:inline distT="0" distB="0" distL="0" distR="0" wp14:anchorId="1D342646" wp14:editId="05118A2B">
            <wp:extent cx="4762500" cy="4762500"/>
            <wp:effectExtent l="0" t="0" r="0" b="0"/>
            <wp:docPr id="572924352" name="Picture 1" descr="Templ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mple University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361214D7" w14:textId="58C67980" w:rsidR="00557051" w:rsidRPr="0027297B" w:rsidRDefault="0058689A" w:rsidP="0027297B">
      <w:pPr>
        <w:pStyle w:val="Title"/>
      </w:pPr>
      <w:r w:rsidRPr="0027297B">
        <w:t xml:space="preserve">Workshop </w:t>
      </w:r>
      <w:r w:rsidR="00E56350" w:rsidRPr="0027297B">
        <w:t>4</w:t>
      </w:r>
    </w:p>
    <w:p w14:paraId="51323ADD" w14:textId="406EBEE7" w:rsidR="0027297B" w:rsidRPr="0027297B" w:rsidRDefault="0027297B" w:rsidP="00BB7610">
      <w:pPr>
        <w:spacing w:after="120"/>
        <w:jc w:val="center"/>
        <w:rPr>
          <w:b/>
          <w:bCs/>
        </w:rPr>
      </w:pPr>
      <w:r>
        <w:t xml:space="preserve">Course: </w:t>
      </w:r>
      <w:r w:rsidRPr="0027297B">
        <w:rPr>
          <w:b/>
          <w:bCs/>
        </w:rPr>
        <w:t>War and Peace</w:t>
      </w:r>
    </w:p>
    <w:p w14:paraId="770C2103" w14:textId="16944546" w:rsidR="007771D6" w:rsidRDefault="007771D6" w:rsidP="00BB7610">
      <w:pPr>
        <w:spacing w:after="120"/>
        <w:jc w:val="center"/>
      </w:pPr>
      <w:r>
        <w:t xml:space="preserve">Instructor: </w:t>
      </w:r>
      <w:r w:rsidR="00962090">
        <w:rPr>
          <w:b/>
          <w:bCs/>
        </w:rPr>
        <w:t>Andrew Santora</w:t>
      </w:r>
    </w:p>
    <w:p w14:paraId="6BABE1BA" w14:textId="1FD2B6F8" w:rsidR="007771D6" w:rsidRDefault="007771D6" w:rsidP="00BB7610">
      <w:pPr>
        <w:spacing w:after="120"/>
        <w:jc w:val="center"/>
      </w:pPr>
      <w:r>
        <w:t xml:space="preserve">Student: </w:t>
      </w:r>
      <w:r w:rsidRPr="007771D6">
        <w:rPr>
          <w:b/>
          <w:bCs/>
        </w:rPr>
        <w:t>Jakob Werle</w:t>
      </w:r>
    </w:p>
    <w:p w14:paraId="31CCE9AE" w14:textId="1432FA38" w:rsidR="007771D6" w:rsidRDefault="007771D6" w:rsidP="00BB7610">
      <w:pPr>
        <w:spacing w:after="120"/>
        <w:jc w:val="center"/>
        <w:rPr>
          <w:b/>
          <w:bCs/>
        </w:rPr>
      </w:pPr>
      <w:r>
        <w:t xml:space="preserve">Submission Date: </w:t>
      </w:r>
      <w:r w:rsidRPr="007771D6">
        <w:rPr>
          <w:b/>
          <w:bCs/>
        </w:rPr>
        <w:t>2024-0</w:t>
      </w:r>
      <w:r w:rsidR="0058689A">
        <w:rPr>
          <w:b/>
          <w:bCs/>
        </w:rPr>
        <w:t>7-</w:t>
      </w:r>
      <w:r w:rsidR="00A86C45">
        <w:rPr>
          <w:b/>
          <w:bCs/>
        </w:rPr>
        <w:t>2</w:t>
      </w:r>
      <w:r w:rsidR="00C3745A">
        <w:rPr>
          <w:b/>
          <w:bCs/>
        </w:rPr>
        <w:t>8</w:t>
      </w:r>
    </w:p>
    <w:p w14:paraId="54A3AE1D" w14:textId="69839CE2" w:rsidR="00437C93" w:rsidRPr="007D0D96" w:rsidRDefault="00437C93" w:rsidP="007D0D96">
      <w:pPr>
        <w:rPr>
          <w:b/>
          <w:bCs/>
        </w:rPr>
      </w:pPr>
      <w:r>
        <w:br w:type="page"/>
      </w:r>
    </w:p>
    <w:p w14:paraId="78EA1806" w14:textId="0F99AD79" w:rsidR="00437C93" w:rsidRDefault="00F241EA">
      <w:pPr>
        <w:spacing w:line="278" w:lineRule="auto"/>
      </w:pPr>
      <w:r>
        <w:lastRenderedPageBreak/>
        <w:t>Citation</w:t>
      </w:r>
      <w:r w:rsidR="00437C93">
        <w:t xml:space="preserve"> 1:</w:t>
      </w:r>
      <w:r w:rsidR="00EA219D">
        <w:t xml:space="preserve"> </w:t>
      </w:r>
      <w:r w:rsidR="00EA219D">
        <w:fldChar w:fldCharType="begin"/>
      </w:r>
      <w:r w:rsidR="00EA219D">
        <w:instrText xml:space="preserve"> ADDIN ZOTERO_ITEM CSL_CITATION {"citationID":"WsEPKYVo","properties":{"formattedCitation":"(Warnke et al., 2024)","plainCitation":"(Warnke et al., 2024)","noteIndex":0},"citationItems":[{"id":180,"uris":["http://zotero.org/users/12916010/items/H3PYGMLF"],"itemData":{"id":180,"type":"article-journal","abstract":"We investigate land ownership claims and reconciliation-related outcomes in the intractable Israeli–Palestinian conflict. Using a person-centred approach and drawing on survey data of Jewish and Palestinian citizens of Israel, we (1) identify profiles with differing ingroup and outgroup ownership perceptions, (2) examine how profile membership depends on group identifications and the endorsement of ownership principles, and (3) assess how reconciliation intentions and support for concrete territorial conflict solutions differ across the profiles. The majority of the Jews (87%) perceived exclusive ingroup ownership of the contested land, whereas 13% perceived shared Jewish and Palestinian ownership. In contrast, most of the Palestinians perceived moderate levels of shared ownership (43%) followed by ingroup ownership (36%), but we also identified profiles with high levels of shared ownership (11%) and exclusive outgroup ownership (10%). We conclude that Jewish and Palestinian citizens of Israel have different understandings of land ownership. Complex patterns of endorsing various ownership principles and levels of group identifications explained profile membership, mostly in line with our expectations. Importantly, the profiles differed in attitudes towards concrete territorial solutions and intergroup reconciliation, attesting to the relevance of examining ownership perceptions in conflict regions from a person-centred approach.","container-title":"European Journal of Social Psychology","DOI":"10.1002/ejsp.2993","ISSN":"0046-2772, 1099-0992","issue":"1","journalAbbreviation":"Euro J Social Psych","language":"en","page":"31-47","source":"DOI.org (Crossref)","title":"Territorial ownership perceptions and reconciliation in the Israeli–Palestinian conflict: A person‐centred approach","title-short":"Territorial ownership perceptions and reconciliation in the Israeli–Palestinian conflict","volume":"54","author":[{"family":"Warnke","given":"Kaja"},{"family":"Martinović","given":"Borja"},{"family":"Rosler","given":"Nimrod"}],"issued":{"date-parts":[["2024",2]]}}}],"schema":"https://github.com/citation-style-language/schema/raw/master/csl-citation.json"} </w:instrText>
      </w:r>
      <w:r w:rsidR="00EA219D">
        <w:fldChar w:fldCharType="separate"/>
      </w:r>
      <w:r w:rsidR="00EA219D" w:rsidRPr="00EA219D">
        <w:rPr>
          <w:rFonts w:cs="Times New Roman"/>
        </w:rPr>
        <w:t>(Warnke et al., 2024)</w:t>
      </w:r>
      <w:r w:rsidR="00EA219D">
        <w:fldChar w:fldCharType="end"/>
      </w:r>
    </w:p>
    <w:p w14:paraId="4C8D02A2" w14:textId="653CE5AA" w:rsidR="00182670" w:rsidRDefault="00182670" w:rsidP="00261484">
      <w:pPr>
        <w:spacing w:line="278" w:lineRule="auto"/>
      </w:pPr>
      <w:r>
        <w:t xml:space="preserve">This source presents an analysis of the perceived territorial ownership of the Israel-Palestine conflict, comparing Israel and Palestinian accounts. </w:t>
      </w:r>
      <w:r w:rsidR="006F1F0E">
        <w:t xml:space="preserve">In summary, data collected shows that Jews are less favorable about the formation of a Palestinian state in any regard while Palestinians were more favorable about an independent or binational state. </w:t>
      </w:r>
      <w:r>
        <w:t xml:space="preserve">The analysis has a significance in regard to the </w:t>
      </w:r>
      <w:r w:rsidR="006F1F0E">
        <w:t xml:space="preserve">relationship between </w:t>
      </w:r>
      <w:r>
        <w:t>social driving factor</w:t>
      </w:r>
      <w:r w:rsidR="006F1F0E">
        <w:t>s</w:t>
      </w:r>
      <w:r>
        <w:t xml:space="preserve"> </w:t>
      </w:r>
      <w:r w:rsidR="006F1F0E">
        <w:t xml:space="preserve">and state actions. </w:t>
      </w:r>
    </w:p>
    <w:p w14:paraId="02ED56C0" w14:textId="2E8A95EA" w:rsidR="00437C93" w:rsidRDefault="00F241EA" w:rsidP="00437C93">
      <w:pPr>
        <w:spacing w:line="278" w:lineRule="auto"/>
      </w:pPr>
      <w:r>
        <w:t>Citation</w:t>
      </w:r>
      <w:r w:rsidR="00437C93">
        <w:t xml:space="preserve"> 2:</w:t>
      </w:r>
      <w:r w:rsidR="00EA219D">
        <w:t xml:space="preserve"> </w:t>
      </w:r>
      <w:r w:rsidR="00EA219D">
        <w:fldChar w:fldCharType="begin"/>
      </w:r>
      <w:r w:rsidR="00EA219D">
        <w:instrText xml:space="preserve"> ADDIN ZOTERO_ITEM CSL_CITATION {"citationID":"qVl2Qhkp","properties":{"formattedCitation":"(SEGEV, 2024)","plainCitation":"(SEGEV, 2024)","noteIndex":0},"citationItems":[{"id":183,"uris":["http://zotero.org/users/12916010/items/64FIZ4SG"],"itemData":{"id":183,"type":"article-journal","abstract":"This article explores the Israeli-Palestinian conflict, acknowledging the recent violence and its devastating impact on both Israelis and Palestinians. It recognizes the deep historical roots of the conflict, driven by religious and ideological factors, which make finding a lasting solution challenging. The article suggests that managing the conflict may be the most realistic option and calls for urgent action to address the current crisis. Additionally, it provides a historical overview of the conflict, highlighting key events such as the rejection of the UN partition plan and the consequences of the Six-Day War. The text concludes by emphasizing the importance of effective conflict management rather than pursuing grand peace plans that may not have the support of both sides. [Extracted from the article]","archive":"Historical Abstracts with Full Text","container-title":"Foreign Affairs","ISSN":"00157120","issue":"3","journalAbbreviation":"Foreign Affairs","page":"110-124","source":"EBSCOhost","title":"Israel's Forever War: The Long History of Managing--Rather Than Solving--the Conflict.","volume":"103","author":[{"family":"SEGEV","given":"TOM"}],"issued":{"date-parts":[["2024",6,5]]}}}],"schema":"https://github.com/citation-style-language/schema/raw/master/csl-citation.json"} </w:instrText>
      </w:r>
      <w:r w:rsidR="00EA219D">
        <w:fldChar w:fldCharType="separate"/>
      </w:r>
      <w:r w:rsidR="00EA219D" w:rsidRPr="00EA219D">
        <w:rPr>
          <w:rFonts w:cs="Times New Roman"/>
        </w:rPr>
        <w:t>(SEGEV, 2024)</w:t>
      </w:r>
      <w:r w:rsidR="00EA219D">
        <w:fldChar w:fldCharType="end"/>
      </w:r>
    </w:p>
    <w:p w14:paraId="024421A5" w14:textId="7B531F24" w:rsidR="000C3E86" w:rsidRDefault="000C3E86" w:rsidP="00437C93">
      <w:pPr>
        <w:spacing w:line="278" w:lineRule="auto"/>
      </w:pPr>
      <w:r>
        <w:t xml:space="preserve">This provides a detailed synopsis of the Israel-Palestine events that took place from the early 1900’s to present day. Segev suggests that mitigating the conflict may be the most effective way forward due to the deep cultural, religious, and political rats nest. An overview of the entire conflict will be important to be able to make contextual claims. </w:t>
      </w:r>
    </w:p>
    <w:p w14:paraId="109B9CD8" w14:textId="477E73C9" w:rsidR="007047E1" w:rsidRDefault="00F241EA" w:rsidP="00437C93">
      <w:pPr>
        <w:spacing w:line="278" w:lineRule="auto"/>
      </w:pPr>
      <w:r>
        <w:t>Citation</w:t>
      </w:r>
      <w:r w:rsidR="007047E1">
        <w:t xml:space="preserve"> 3:</w:t>
      </w:r>
      <w:r w:rsidR="007E6E4E">
        <w:t xml:space="preserve"> </w:t>
      </w:r>
      <w:r w:rsidR="007E6E4E">
        <w:fldChar w:fldCharType="begin"/>
      </w:r>
      <w:r w:rsidR="007E6E4E">
        <w:instrText xml:space="preserve"> ADDIN ZOTERO_ITEM CSL_CITATION {"citationID":"w2hPLebK","properties":{"formattedCitation":"(Carpenter, 1904)","plainCitation":"(Carpenter, 1904)","noteIndex":0},"citationItems":[{"id":189,"uris":["http://zotero.org/users/12916010/items/UV37M7YS"],"itemData":{"id":189,"type":"article-newspaper","abstract":"It was in his apartments at the Sherwood studios that I chatted with Israel Zangwill about the Zionist' movement and the new Jewish state, which is to be built up in the highlands of East Africa. Mr.","archive":"ProQuest Historical Newspapers: The Atlanta Constitution","archive_location":"495885131","container-title":"The Atlanta Constitution (1881-1945)","event-place":"Atlanta, Ga.","ISSN":"24731609","language":"English","page":"1-f7","publisher-place":"Atlanta, Ga.","title":"JEWS PLAN TO BUILD NEW ZION IN EAST AFRICA: ISRAEL ZANGWILL TALKS ABOUT LAND GREAT BRITAIN HAS GIVEN HIS PEOPLE---HOW ZIONISTS HOPE TO GET PALENSTINE","author":[{"family":"Carpenter","given":"Frank G"}],"issued":{"date-parts":[["1904",11,27]]}}}],"schema":"https://github.com/citation-style-language/schema/raw/master/csl-citation.json"} </w:instrText>
      </w:r>
      <w:r w:rsidR="007E6E4E">
        <w:fldChar w:fldCharType="separate"/>
      </w:r>
      <w:r w:rsidR="007E6E4E" w:rsidRPr="007E6E4E">
        <w:rPr>
          <w:rFonts w:cs="Times New Roman"/>
        </w:rPr>
        <w:t>(Carpenter, 1904)</w:t>
      </w:r>
      <w:r w:rsidR="007E6E4E">
        <w:fldChar w:fldCharType="end"/>
      </w:r>
    </w:p>
    <w:p w14:paraId="6A900BFD" w14:textId="3CD6ADED" w:rsidR="00261484" w:rsidRDefault="00261484" w:rsidP="00437C93">
      <w:pPr>
        <w:spacing w:line="278" w:lineRule="auto"/>
      </w:pPr>
      <w:r>
        <w:t xml:space="preserve">This new paper article from 1904 discusses the events surrounding the </w:t>
      </w:r>
      <w:r w:rsidR="008B19BF">
        <w:t xml:space="preserve">acquisition of Israel for the Jewish people. It highlights the perspective of the Jewish-American people, which showed a great amount of hostility towards Arabic people and disregards any residing populations in Palestine at the time. Spotlighting primary resources like this are important to show the true colors and intent of people </w:t>
      </w:r>
      <w:r w:rsidR="007657B8">
        <w:t xml:space="preserve">and how they may have shaped the conflict. </w:t>
      </w:r>
    </w:p>
    <w:p w14:paraId="1FDA491F" w14:textId="10A70708" w:rsidR="007047E1" w:rsidRDefault="00F241EA" w:rsidP="00437C93">
      <w:pPr>
        <w:spacing w:line="278" w:lineRule="auto"/>
      </w:pPr>
      <w:r>
        <w:t>Citation</w:t>
      </w:r>
      <w:r w:rsidR="007047E1">
        <w:t xml:space="preserve"> 4:</w:t>
      </w:r>
      <w:r w:rsidR="000C17DA">
        <w:t xml:space="preserve"> </w:t>
      </w:r>
      <w:r w:rsidR="00E92F95">
        <w:fldChar w:fldCharType="begin"/>
      </w:r>
      <w:r w:rsidR="00E92F95">
        <w:instrText xml:space="preserve"> ADDIN ZOTERO_ITEM CSL_CITATION {"citationID":"001Ba5pn","properties":{"formattedCitation":"(Barak, 2005)","plainCitation":"(Barak, 2005)","noteIndex":0},"citationItems":[{"id":203,"uris":["http://zotero.org/users/12916010/items/Q2MHWE4B"],"itemData":{"id":203,"type":"article-journal","abstract":"The article presents a critique of the Israeli?Palestinian peace process of 1993?2000 (the Oslo Process) by placing it in historical and theoretical perspective. It begins by showing how the Oslo Process was inspired by the legacy of peacemaking in the Arab?Israeli conflict, which stipulated peacemaking between states, and contends that this factor had far-reaching implications for the way the Israeli?Palestinian conflict was analyzed and treated. It then employs insights from the expanding literature on conflict and peace between groups, and especially from three major theoretical approaches that are referred to here as conflict management, conflict resolution, and conflict regulation, to assess the Oslo Process and explain its failure. This is done by examining (1) the causes and nature of the Israeli?Palestinian conflict; (2) the methods used to establish peace; (3) the impact of peacemaking efforts on the conflict; and (4) the role of outside players. The article contends that the peacemaking strategy adopted in this period was not informed by the vast literature on intergroup conflicts or by the experience of other, similar cases. It concludes by arguing that reconsidering conventional modes of peacemaking and learning from the experience of others are the most promising paths to peace between Israelis and Palestinians.","container-title":"Journal of Peace Research","DOI":"10.1177/0022343305057889","ISSN":"0022-3433","issue":"6","note":"publisher: SAGE Publications Ltd","page":"719-736","title":"The Failure of the Israeli–Palestinian Peace Process, 1993–2000","volume":"42","author":[{"family":"Barak","given":"Oren"}],"issued":{"date-parts":[["2005",11,1]]}}}],"schema":"https://github.com/citation-style-language/schema/raw/master/csl-citation.json"} </w:instrText>
      </w:r>
      <w:r w:rsidR="00E92F95">
        <w:fldChar w:fldCharType="separate"/>
      </w:r>
      <w:r w:rsidR="00E92F95" w:rsidRPr="00E92F95">
        <w:rPr>
          <w:rFonts w:cs="Times New Roman"/>
        </w:rPr>
        <w:t>(Barak, 2005)</w:t>
      </w:r>
      <w:r w:rsidR="00E92F95">
        <w:fldChar w:fldCharType="end"/>
      </w:r>
    </w:p>
    <w:p w14:paraId="7DB04E10" w14:textId="43846308" w:rsidR="004645BE" w:rsidRDefault="004645BE" w:rsidP="00437C93">
      <w:pPr>
        <w:spacing w:line="278" w:lineRule="auto"/>
      </w:pPr>
      <w:r>
        <w:t xml:space="preserve">A critique of the Oslo Process was presented in order to compare methods of conflict resolution for the Israel-Palestine conflict. </w:t>
      </w:r>
      <w:r w:rsidR="000C49C5">
        <w:t>In addition, there are takeaways for the relationship of outside powers, mainly the USA, with both Israel and Palestine.</w:t>
      </w:r>
      <w:r w:rsidR="006C364A">
        <w:t xml:space="preserve"> Barak’s argument is that the failure of Israel-Palestine resolutions, particularly the Oslo Process, can be credited to the misuse of outdated methods and treating this conflict as an interstate </w:t>
      </w:r>
      <w:r w:rsidR="0022495F">
        <w:t xml:space="preserve">problem. The analysis of peacemaking methods provides insights into how this conflict could move forward. </w:t>
      </w:r>
    </w:p>
    <w:p w14:paraId="08D18B9A" w14:textId="61BE8B29" w:rsidR="007047E1" w:rsidRDefault="00F241EA" w:rsidP="00437C93">
      <w:pPr>
        <w:spacing w:line="278" w:lineRule="auto"/>
      </w:pPr>
      <w:r>
        <w:t>Citation</w:t>
      </w:r>
      <w:r w:rsidR="007047E1">
        <w:t xml:space="preserve"> 5:</w:t>
      </w:r>
      <w:r w:rsidR="002D3FC7">
        <w:t xml:space="preserve"> </w:t>
      </w:r>
      <w:r w:rsidR="004F33B6">
        <w:fldChar w:fldCharType="begin"/>
      </w:r>
      <w:r w:rsidR="004F33B6">
        <w:instrText xml:space="preserve"> ADDIN ZOTERO_ITEM CSL_CITATION {"citationID":"l5oc9RZ0","properties":{"formattedCitation":"(Kacowicz, 2005)","plainCitation":"(Kacowicz, 2005)","noteIndex":0},"citationItems":[{"id":206,"uris":["http://zotero.org/users/12916010/items/R7FMM6BZ"],"itemData":{"id":206,"type":"article-journal","abstract":"This article presents the contending narratives of the failure of the Israeli-Palestinian peace process. The narratives refer to the ?Oslo? peace process of 1993-2000, the negotiations at Camp David (July 2000) and Taba (January 2001), and the ongoing asymmetrical war between Israel and the Palestinians since September 2000.They encompass the ?official? social reconstructions of how the Israeli government and the Palestinian Authority (PA) and the PLO present the facts and interpret the attitudes of both parties. Moreover, those narratives are almost identical in their logic, though diametrically opposed to each other. Each party blames, totally and unconditionally, the failure of the peace process upon the malign intentions of political destruction and annihilation of the other.The rationale for the paper is that narratives, which are ?stories with a plot?, do matter, since they shape our identity and our norms, which are crucial components of our reconstruction of social reality. In other words, narratives help to recreate self-perpetuating processes of wishful thinking and self-fulfilling prophecies by providing us with a moral and practical justification, ex post facto, for our acts.","container-title":"Cooperation and Conflict","DOI":"10.1177/0010836705055069","ISSN":"0010-8367","issue":"3","note":"publisher: SAGE Publications Ltd","page":"343-360","title":"Rashomon in the Middle East: Clashing Narratives, Images, and Frames in the                 Israeli-Palestinian Conflict","volume":"40","author":[{"family":"Kacowicz","given":"Arie M."}],"issued":{"date-parts":[["2005",9,1]]}}}],"schema":"https://github.com/citation-style-language/schema/raw/master/csl-citation.json"} </w:instrText>
      </w:r>
      <w:r w:rsidR="004F33B6">
        <w:fldChar w:fldCharType="separate"/>
      </w:r>
      <w:r w:rsidR="004F33B6" w:rsidRPr="004F33B6">
        <w:rPr>
          <w:rFonts w:cs="Times New Roman"/>
        </w:rPr>
        <w:t>(Kacowicz, 2005)</w:t>
      </w:r>
      <w:r w:rsidR="004F33B6">
        <w:fldChar w:fldCharType="end"/>
      </w:r>
    </w:p>
    <w:p w14:paraId="611530AB" w14:textId="542538F1" w:rsidR="00E24FA8" w:rsidRDefault="00E24FA8" w:rsidP="00437C93">
      <w:pPr>
        <w:spacing w:line="278" w:lineRule="auto"/>
      </w:pPr>
      <w:r>
        <w:t xml:space="preserve">This resource offers perspectives on the failing Israel-Palestine peacemaking process and discusses the conflicting nature of each states narrative. </w:t>
      </w:r>
      <w:r w:rsidR="00023F6B">
        <w:t>Kacowicz uses narratives to represent a likely wholistic viewpoint on each states experiences and ideologies. This resource builds upon a similar significance as the previous source, yet it challenges the idea of resolution-failure with arguments on the legitimacy of each party’s independent standpoint.</w:t>
      </w:r>
    </w:p>
    <w:p w14:paraId="39D37A72" w14:textId="4CD7E938" w:rsidR="00EA219D" w:rsidRDefault="00EA219D" w:rsidP="00EA219D">
      <w:pPr>
        <w:pStyle w:val="Heading1"/>
      </w:pPr>
      <w:r>
        <w:lastRenderedPageBreak/>
        <w:t>References</w:t>
      </w:r>
    </w:p>
    <w:p w14:paraId="7D87E8A7" w14:textId="77777777" w:rsidR="004F33B6" w:rsidRPr="004F33B6" w:rsidRDefault="00EA219D" w:rsidP="004F33B6">
      <w:pPr>
        <w:pStyle w:val="Bibliography"/>
        <w:rPr>
          <w:rFonts w:cs="Times New Roman"/>
        </w:rPr>
      </w:pPr>
      <w:r>
        <w:fldChar w:fldCharType="begin"/>
      </w:r>
      <w:r>
        <w:instrText xml:space="preserve"> ADDIN ZOTERO_BIBL {"uncited":[],"omitted":[],"custom":[]} CSL_BIBLIOGRAPHY </w:instrText>
      </w:r>
      <w:r>
        <w:fldChar w:fldCharType="separate"/>
      </w:r>
      <w:r w:rsidR="004F33B6" w:rsidRPr="004F33B6">
        <w:rPr>
          <w:rFonts w:cs="Times New Roman"/>
        </w:rPr>
        <w:t xml:space="preserve">Barak, O. (2005). The Failure of the Israeli–Palestinian Peace Process, 1993–2000. </w:t>
      </w:r>
      <w:r w:rsidR="004F33B6" w:rsidRPr="004F33B6">
        <w:rPr>
          <w:rFonts w:cs="Times New Roman"/>
          <w:i/>
          <w:iCs/>
        </w:rPr>
        <w:t>Journal of Peace Research</w:t>
      </w:r>
      <w:r w:rsidR="004F33B6" w:rsidRPr="004F33B6">
        <w:rPr>
          <w:rFonts w:cs="Times New Roman"/>
        </w:rPr>
        <w:t xml:space="preserve">, </w:t>
      </w:r>
      <w:r w:rsidR="004F33B6" w:rsidRPr="004F33B6">
        <w:rPr>
          <w:rFonts w:cs="Times New Roman"/>
          <w:i/>
          <w:iCs/>
        </w:rPr>
        <w:t>42</w:t>
      </w:r>
      <w:r w:rsidR="004F33B6" w:rsidRPr="004F33B6">
        <w:rPr>
          <w:rFonts w:cs="Times New Roman"/>
        </w:rPr>
        <w:t>(6), 719–736. https://doi.org/10.1177/0022343305057889</w:t>
      </w:r>
    </w:p>
    <w:p w14:paraId="61F539F7" w14:textId="77777777" w:rsidR="004F33B6" w:rsidRPr="004F33B6" w:rsidRDefault="004F33B6" w:rsidP="004F33B6">
      <w:pPr>
        <w:pStyle w:val="Bibliography"/>
        <w:rPr>
          <w:rFonts w:cs="Times New Roman"/>
        </w:rPr>
      </w:pPr>
      <w:r w:rsidRPr="004F33B6">
        <w:rPr>
          <w:rFonts w:cs="Times New Roman"/>
        </w:rPr>
        <w:t xml:space="preserve">Carpenter, F. G. (1904, November 27). JEWS PLAN TO BUILD NEW ZION IN EAST AFRICA: ISRAEL ZANGWILL TALKS ABOUT LAND GREAT BRITAIN HAS GIVEN HIS PEOPLE---HOW ZIONISTS HOPE TO GET PALENSTINE. </w:t>
      </w:r>
      <w:r w:rsidRPr="004F33B6">
        <w:rPr>
          <w:rFonts w:cs="Times New Roman"/>
          <w:i/>
          <w:iCs/>
        </w:rPr>
        <w:t>The Atlanta Constitution (1881-1945)</w:t>
      </w:r>
      <w:r w:rsidRPr="004F33B6">
        <w:rPr>
          <w:rFonts w:cs="Times New Roman"/>
        </w:rPr>
        <w:t>, 1-f7.</w:t>
      </w:r>
    </w:p>
    <w:p w14:paraId="17BD96C5" w14:textId="77777777" w:rsidR="004F33B6" w:rsidRPr="004F33B6" w:rsidRDefault="004F33B6" w:rsidP="004F33B6">
      <w:pPr>
        <w:pStyle w:val="Bibliography"/>
        <w:rPr>
          <w:rFonts w:cs="Times New Roman"/>
        </w:rPr>
      </w:pPr>
      <w:r w:rsidRPr="004F33B6">
        <w:rPr>
          <w:rFonts w:cs="Times New Roman"/>
        </w:rPr>
        <w:t xml:space="preserve">Kacowicz, A. M. (2005). Rashomon in the Middle East: Clashing Narratives, Images, and Frames in the                 Israeli-Palestinian Conflict. </w:t>
      </w:r>
      <w:r w:rsidRPr="004F33B6">
        <w:rPr>
          <w:rFonts w:cs="Times New Roman"/>
          <w:i/>
          <w:iCs/>
        </w:rPr>
        <w:t>Cooperation and Conflict</w:t>
      </w:r>
      <w:r w:rsidRPr="004F33B6">
        <w:rPr>
          <w:rFonts w:cs="Times New Roman"/>
        </w:rPr>
        <w:t xml:space="preserve">, </w:t>
      </w:r>
      <w:r w:rsidRPr="004F33B6">
        <w:rPr>
          <w:rFonts w:cs="Times New Roman"/>
          <w:i/>
          <w:iCs/>
        </w:rPr>
        <w:t>40</w:t>
      </w:r>
      <w:r w:rsidRPr="004F33B6">
        <w:rPr>
          <w:rFonts w:cs="Times New Roman"/>
        </w:rPr>
        <w:t>(3), 343–360. https://doi.org/10.1177/0010836705055069</w:t>
      </w:r>
    </w:p>
    <w:p w14:paraId="5F4DB578" w14:textId="77777777" w:rsidR="004F33B6" w:rsidRPr="004F33B6" w:rsidRDefault="004F33B6" w:rsidP="004F33B6">
      <w:pPr>
        <w:pStyle w:val="Bibliography"/>
        <w:rPr>
          <w:rFonts w:cs="Times New Roman"/>
        </w:rPr>
      </w:pPr>
      <w:r w:rsidRPr="004F33B6">
        <w:rPr>
          <w:rFonts w:cs="Times New Roman"/>
        </w:rPr>
        <w:t xml:space="preserve">SEGEV, T. (2024). Israel’s Forever War: The Long History of Managing—Rather Than Solving—The Conflict. </w:t>
      </w:r>
      <w:r w:rsidRPr="004F33B6">
        <w:rPr>
          <w:rFonts w:cs="Times New Roman"/>
          <w:i/>
          <w:iCs/>
        </w:rPr>
        <w:t>Foreign Affairs</w:t>
      </w:r>
      <w:r w:rsidRPr="004F33B6">
        <w:rPr>
          <w:rFonts w:cs="Times New Roman"/>
        </w:rPr>
        <w:t xml:space="preserve">, </w:t>
      </w:r>
      <w:r w:rsidRPr="004F33B6">
        <w:rPr>
          <w:rFonts w:cs="Times New Roman"/>
          <w:i/>
          <w:iCs/>
        </w:rPr>
        <w:t>103</w:t>
      </w:r>
      <w:r w:rsidRPr="004F33B6">
        <w:rPr>
          <w:rFonts w:cs="Times New Roman"/>
        </w:rPr>
        <w:t>(3), 110–124.</w:t>
      </w:r>
    </w:p>
    <w:p w14:paraId="43379562" w14:textId="77777777" w:rsidR="004F33B6" w:rsidRPr="004F33B6" w:rsidRDefault="004F33B6" w:rsidP="004F33B6">
      <w:pPr>
        <w:pStyle w:val="Bibliography"/>
        <w:rPr>
          <w:rFonts w:cs="Times New Roman"/>
        </w:rPr>
      </w:pPr>
      <w:r w:rsidRPr="004F33B6">
        <w:rPr>
          <w:rFonts w:cs="Times New Roman"/>
        </w:rPr>
        <w:t xml:space="preserve">Warnke, K., Martinović, B., &amp; Rosler, N. (2024). Territorial ownership perceptions and reconciliation in the Israeli–Palestinian conflict: A person‐centred approach. </w:t>
      </w:r>
      <w:r w:rsidRPr="004F33B6">
        <w:rPr>
          <w:rFonts w:cs="Times New Roman"/>
          <w:i/>
          <w:iCs/>
        </w:rPr>
        <w:t>European Journal of Social Psychology</w:t>
      </w:r>
      <w:r w:rsidRPr="004F33B6">
        <w:rPr>
          <w:rFonts w:cs="Times New Roman"/>
        </w:rPr>
        <w:t xml:space="preserve">, </w:t>
      </w:r>
      <w:r w:rsidRPr="004F33B6">
        <w:rPr>
          <w:rFonts w:cs="Times New Roman"/>
          <w:i/>
          <w:iCs/>
        </w:rPr>
        <w:t>54</w:t>
      </w:r>
      <w:r w:rsidRPr="004F33B6">
        <w:rPr>
          <w:rFonts w:cs="Times New Roman"/>
        </w:rPr>
        <w:t>(1), 31–47. https://doi.org/10.1002/ejsp.2993</w:t>
      </w:r>
    </w:p>
    <w:p w14:paraId="23A4DC33" w14:textId="171A80EF" w:rsidR="00EA219D" w:rsidRPr="00EA219D" w:rsidRDefault="00EA219D" w:rsidP="00EA219D">
      <w:r>
        <w:fldChar w:fldCharType="end"/>
      </w:r>
    </w:p>
    <w:sectPr w:rsidR="00EA219D" w:rsidRPr="00EA21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26054" w14:textId="77777777" w:rsidR="0063695F" w:rsidRDefault="0063695F" w:rsidP="00A64929">
      <w:pPr>
        <w:spacing w:after="0" w:line="240" w:lineRule="auto"/>
      </w:pPr>
      <w:r>
        <w:separator/>
      </w:r>
    </w:p>
  </w:endnote>
  <w:endnote w:type="continuationSeparator" w:id="0">
    <w:p w14:paraId="3C14904D" w14:textId="77777777" w:rsidR="0063695F" w:rsidRDefault="0063695F" w:rsidP="00A64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C3A509" w14:textId="77777777" w:rsidR="0063695F" w:rsidRDefault="0063695F" w:rsidP="00A64929">
      <w:pPr>
        <w:spacing w:after="0" w:line="240" w:lineRule="auto"/>
      </w:pPr>
      <w:r>
        <w:separator/>
      </w:r>
    </w:p>
  </w:footnote>
  <w:footnote w:type="continuationSeparator" w:id="0">
    <w:p w14:paraId="3858E1EF" w14:textId="77777777" w:rsidR="0063695F" w:rsidRDefault="0063695F" w:rsidP="00A64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80654"/>
    <w:multiLevelType w:val="hybridMultilevel"/>
    <w:tmpl w:val="FC9ED8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B0A1A"/>
    <w:multiLevelType w:val="hybridMultilevel"/>
    <w:tmpl w:val="6FB041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A75536"/>
    <w:multiLevelType w:val="hybridMultilevel"/>
    <w:tmpl w:val="84BED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A584E"/>
    <w:multiLevelType w:val="hybridMultilevel"/>
    <w:tmpl w:val="3DD0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4561356">
    <w:abstractNumId w:val="2"/>
  </w:num>
  <w:num w:numId="2" w16cid:durableId="937447385">
    <w:abstractNumId w:val="1"/>
  </w:num>
  <w:num w:numId="3" w16cid:durableId="1603535094">
    <w:abstractNumId w:val="3"/>
  </w:num>
  <w:num w:numId="4" w16cid:durableId="1525368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771D6"/>
    <w:rsid w:val="000206CF"/>
    <w:rsid w:val="00023F6B"/>
    <w:rsid w:val="00056A5C"/>
    <w:rsid w:val="00064033"/>
    <w:rsid w:val="000A098F"/>
    <w:rsid w:val="000A5AA8"/>
    <w:rsid w:val="000B046A"/>
    <w:rsid w:val="000C17DA"/>
    <w:rsid w:val="000C3E86"/>
    <w:rsid w:val="000C49C5"/>
    <w:rsid w:val="000D6B66"/>
    <w:rsid w:val="000E47F2"/>
    <w:rsid w:val="00152496"/>
    <w:rsid w:val="00171724"/>
    <w:rsid w:val="00177627"/>
    <w:rsid w:val="00177DCE"/>
    <w:rsid w:val="00182670"/>
    <w:rsid w:val="001D5EDA"/>
    <w:rsid w:val="00223CC8"/>
    <w:rsid w:val="0022495F"/>
    <w:rsid w:val="00234681"/>
    <w:rsid w:val="00261484"/>
    <w:rsid w:val="00262831"/>
    <w:rsid w:val="002717A2"/>
    <w:rsid w:val="00271E44"/>
    <w:rsid w:val="0027297B"/>
    <w:rsid w:val="002C0B4E"/>
    <w:rsid w:val="002C68DC"/>
    <w:rsid w:val="002D3FC7"/>
    <w:rsid w:val="00316270"/>
    <w:rsid w:val="00316CCB"/>
    <w:rsid w:val="0033767C"/>
    <w:rsid w:val="00343EB5"/>
    <w:rsid w:val="00373EF6"/>
    <w:rsid w:val="00377843"/>
    <w:rsid w:val="00392513"/>
    <w:rsid w:val="003C5F0C"/>
    <w:rsid w:val="0041554B"/>
    <w:rsid w:val="00437C93"/>
    <w:rsid w:val="004645BE"/>
    <w:rsid w:val="00471F3B"/>
    <w:rsid w:val="004973B0"/>
    <w:rsid w:val="004F33B6"/>
    <w:rsid w:val="005270D7"/>
    <w:rsid w:val="00557051"/>
    <w:rsid w:val="00574B78"/>
    <w:rsid w:val="0057708F"/>
    <w:rsid w:val="0058689A"/>
    <w:rsid w:val="005A337B"/>
    <w:rsid w:val="005A3697"/>
    <w:rsid w:val="005D6C39"/>
    <w:rsid w:val="005E40CA"/>
    <w:rsid w:val="006153DB"/>
    <w:rsid w:val="00632EEC"/>
    <w:rsid w:val="0063695F"/>
    <w:rsid w:val="0068516F"/>
    <w:rsid w:val="0069535F"/>
    <w:rsid w:val="006A46F6"/>
    <w:rsid w:val="006C364A"/>
    <w:rsid w:val="006D3C02"/>
    <w:rsid w:val="006F1F0E"/>
    <w:rsid w:val="007047E1"/>
    <w:rsid w:val="00730C22"/>
    <w:rsid w:val="00733566"/>
    <w:rsid w:val="007657B8"/>
    <w:rsid w:val="007771D6"/>
    <w:rsid w:val="007A744F"/>
    <w:rsid w:val="007D0D96"/>
    <w:rsid w:val="007E6E4E"/>
    <w:rsid w:val="008357C2"/>
    <w:rsid w:val="00863938"/>
    <w:rsid w:val="0086770E"/>
    <w:rsid w:val="00886939"/>
    <w:rsid w:val="008B19BF"/>
    <w:rsid w:val="008B29FE"/>
    <w:rsid w:val="008B7FC5"/>
    <w:rsid w:val="008D51D2"/>
    <w:rsid w:val="00962090"/>
    <w:rsid w:val="00962473"/>
    <w:rsid w:val="009846C3"/>
    <w:rsid w:val="009D456A"/>
    <w:rsid w:val="009D684F"/>
    <w:rsid w:val="00A4466F"/>
    <w:rsid w:val="00A64929"/>
    <w:rsid w:val="00A831ED"/>
    <w:rsid w:val="00A86C45"/>
    <w:rsid w:val="00A93E50"/>
    <w:rsid w:val="00AA720B"/>
    <w:rsid w:val="00AB0437"/>
    <w:rsid w:val="00AC6EAB"/>
    <w:rsid w:val="00AE0A6D"/>
    <w:rsid w:val="00B03520"/>
    <w:rsid w:val="00B3381D"/>
    <w:rsid w:val="00B34F5E"/>
    <w:rsid w:val="00B47FD9"/>
    <w:rsid w:val="00B67FDC"/>
    <w:rsid w:val="00B907DC"/>
    <w:rsid w:val="00BA4FE2"/>
    <w:rsid w:val="00BB7610"/>
    <w:rsid w:val="00C30E27"/>
    <w:rsid w:val="00C3745A"/>
    <w:rsid w:val="00C47A7E"/>
    <w:rsid w:val="00C86E98"/>
    <w:rsid w:val="00CB1A54"/>
    <w:rsid w:val="00CE1274"/>
    <w:rsid w:val="00D27172"/>
    <w:rsid w:val="00D709B1"/>
    <w:rsid w:val="00D81CE4"/>
    <w:rsid w:val="00D8309F"/>
    <w:rsid w:val="00D93C9D"/>
    <w:rsid w:val="00DE7F9B"/>
    <w:rsid w:val="00E164EF"/>
    <w:rsid w:val="00E24FA8"/>
    <w:rsid w:val="00E56350"/>
    <w:rsid w:val="00E61DA8"/>
    <w:rsid w:val="00E72EFE"/>
    <w:rsid w:val="00E8477D"/>
    <w:rsid w:val="00E92F95"/>
    <w:rsid w:val="00EA219D"/>
    <w:rsid w:val="00ED473A"/>
    <w:rsid w:val="00F07F8A"/>
    <w:rsid w:val="00F241EA"/>
    <w:rsid w:val="00F26BF3"/>
    <w:rsid w:val="00F7707D"/>
    <w:rsid w:val="00FB49AE"/>
    <w:rsid w:val="00FC0CB6"/>
    <w:rsid w:val="00FD0662"/>
    <w:rsid w:val="00FF1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FD552"/>
  <w15:docId w15:val="{FE9A35B9-A68F-4EC9-A1F2-DEE597C07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1ED"/>
    <w:pPr>
      <w:spacing w:line="480" w:lineRule="auto"/>
    </w:pPr>
    <w:rPr>
      <w:rFonts w:ascii="Times New Roman" w:hAnsi="Times New Roman"/>
    </w:rPr>
  </w:style>
  <w:style w:type="paragraph" w:styleId="Heading1">
    <w:name w:val="heading 1"/>
    <w:basedOn w:val="Normal"/>
    <w:next w:val="Normal"/>
    <w:link w:val="Heading1Char"/>
    <w:uiPriority w:val="9"/>
    <w:qFormat/>
    <w:rsid w:val="007771D6"/>
    <w:pPr>
      <w:keepNext/>
      <w:keepLines/>
      <w:spacing w:before="360" w:after="80"/>
      <w:outlineLvl w:val="0"/>
    </w:pPr>
    <w:rPr>
      <w:rFonts w:eastAsiaTheme="majorEastAsia" w:cstheme="majorBidi"/>
      <w:color w:val="C00000"/>
      <w:sz w:val="40"/>
      <w:szCs w:val="40"/>
    </w:rPr>
  </w:style>
  <w:style w:type="paragraph" w:styleId="Heading2">
    <w:name w:val="heading 2"/>
    <w:basedOn w:val="Normal"/>
    <w:next w:val="Normal"/>
    <w:link w:val="Heading2Char"/>
    <w:uiPriority w:val="9"/>
    <w:unhideWhenUsed/>
    <w:qFormat/>
    <w:rsid w:val="0017762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177627"/>
    <w:pPr>
      <w:outlineLvl w:val="2"/>
    </w:pPr>
    <w:rPr>
      <w:b/>
      <w:bCs/>
    </w:rPr>
  </w:style>
  <w:style w:type="paragraph" w:styleId="Heading4">
    <w:name w:val="heading 4"/>
    <w:basedOn w:val="Normal"/>
    <w:next w:val="Normal"/>
    <w:link w:val="Heading4Char"/>
    <w:uiPriority w:val="9"/>
    <w:semiHidden/>
    <w:unhideWhenUsed/>
    <w:qFormat/>
    <w:rsid w:val="00777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7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71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71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71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71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71D6"/>
    <w:rPr>
      <w:rFonts w:ascii="Times New Roman" w:eastAsiaTheme="majorEastAsia" w:hAnsi="Times New Roman" w:cstheme="majorBidi"/>
      <w:color w:val="C00000"/>
      <w:sz w:val="40"/>
      <w:szCs w:val="40"/>
    </w:rPr>
  </w:style>
  <w:style w:type="character" w:customStyle="1" w:styleId="Heading2Char">
    <w:name w:val="Heading 2 Char"/>
    <w:basedOn w:val="DefaultParagraphFont"/>
    <w:link w:val="Heading2"/>
    <w:uiPriority w:val="9"/>
    <w:rsid w:val="0017762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177627"/>
    <w:rPr>
      <w:rFonts w:ascii="Times New Roman" w:hAnsi="Times New Roman"/>
      <w:b/>
      <w:bCs/>
    </w:rPr>
  </w:style>
  <w:style w:type="character" w:customStyle="1" w:styleId="Heading4Char">
    <w:name w:val="Heading 4 Char"/>
    <w:basedOn w:val="DefaultParagraphFont"/>
    <w:link w:val="Heading4"/>
    <w:uiPriority w:val="9"/>
    <w:semiHidden/>
    <w:rsid w:val="00777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7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7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7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7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71D6"/>
    <w:rPr>
      <w:rFonts w:eastAsiaTheme="majorEastAsia" w:cstheme="majorBidi"/>
      <w:color w:val="272727" w:themeColor="text1" w:themeTint="D8"/>
    </w:rPr>
  </w:style>
  <w:style w:type="paragraph" w:styleId="Title">
    <w:name w:val="Title"/>
    <w:basedOn w:val="Normal"/>
    <w:next w:val="Normal"/>
    <w:link w:val="TitleChar"/>
    <w:uiPriority w:val="10"/>
    <w:qFormat/>
    <w:rsid w:val="005A3697"/>
    <w:pPr>
      <w:spacing w:after="120"/>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5A3697"/>
    <w:rPr>
      <w:rFonts w:ascii="Times New Roman" w:eastAsiaTheme="majorEastAsia" w:hAnsi="Times New Roman" w:cs="Times New Roman"/>
      <w:spacing w:val="-10"/>
      <w:kern w:val="28"/>
      <w:sz w:val="56"/>
      <w:szCs w:val="56"/>
    </w:rPr>
  </w:style>
  <w:style w:type="paragraph" w:styleId="Subtitle">
    <w:name w:val="Subtitle"/>
    <w:basedOn w:val="Normal"/>
    <w:next w:val="Normal"/>
    <w:link w:val="SubtitleChar"/>
    <w:uiPriority w:val="11"/>
    <w:qFormat/>
    <w:rsid w:val="00777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7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939"/>
    <w:pPr>
      <w:spacing w:before="160"/>
    </w:pPr>
    <w:rPr>
      <w:i/>
      <w:iCs/>
      <w:color w:val="404040" w:themeColor="text1" w:themeTint="BF"/>
    </w:rPr>
  </w:style>
  <w:style w:type="character" w:customStyle="1" w:styleId="QuoteChar">
    <w:name w:val="Quote Char"/>
    <w:basedOn w:val="DefaultParagraphFont"/>
    <w:link w:val="Quote"/>
    <w:uiPriority w:val="29"/>
    <w:rsid w:val="00886939"/>
    <w:rPr>
      <w:rFonts w:ascii="Times New Roman" w:hAnsi="Times New Roman"/>
      <w:i/>
      <w:iCs/>
      <w:color w:val="404040" w:themeColor="text1" w:themeTint="BF"/>
    </w:rPr>
  </w:style>
  <w:style w:type="paragraph" w:styleId="ListParagraph">
    <w:name w:val="List Paragraph"/>
    <w:basedOn w:val="Normal"/>
    <w:uiPriority w:val="34"/>
    <w:qFormat/>
    <w:rsid w:val="007771D6"/>
    <w:pPr>
      <w:ind w:left="720"/>
      <w:contextualSpacing/>
    </w:pPr>
  </w:style>
  <w:style w:type="character" w:styleId="IntenseEmphasis">
    <w:name w:val="Intense Emphasis"/>
    <w:basedOn w:val="DefaultParagraphFont"/>
    <w:uiPriority w:val="21"/>
    <w:qFormat/>
    <w:rsid w:val="007771D6"/>
    <w:rPr>
      <w:i/>
      <w:iCs/>
      <w:color w:val="0F4761" w:themeColor="accent1" w:themeShade="BF"/>
    </w:rPr>
  </w:style>
  <w:style w:type="paragraph" w:styleId="IntenseQuote">
    <w:name w:val="Intense Quote"/>
    <w:basedOn w:val="Normal"/>
    <w:next w:val="Normal"/>
    <w:link w:val="IntenseQuoteChar"/>
    <w:uiPriority w:val="30"/>
    <w:qFormat/>
    <w:rsid w:val="00777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71D6"/>
    <w:rPr>
      <w:i/>
      <w:iCs/>
      <w:color w:val="0F4761" w:themeColor="accent1" w:themeShade="BF"/>
    </w:rPr>
  </w:style>
  <w:style w:type="character" w:styleId="IntenseReference">
    <w:name w:val="Intense Reference"/>
    <w:basedOn w:val="DefaultParagraphFont"/>
    <w:uiPriority w:val="32"/>
    <w:qFormat/>
    <w:rsid w:val="007771D6"/>
    <w:rPr>
      <w:b/>
      <w:bCs/>
      <w:smallCaps/>
      <w:color w:val="0F4761" w:themeColor="accent1" w:themeShade="BF"/>
      <w:spacing w:val="5"/>
    </w:rPr>
  </w:style>
  <w:style w:type="paragraph" w:styleId="TOCHeading">
    <w:name w:val="TOC Heading"/>
    <w:basedOn w:val="Heading1"/>
    <w:next w:val="Normal"/>
    <w:uiPriority w:val="39"/>
    <w:unhideWhenUsed/>
    <w:qFormat/>
    <w:rsid w:val="00863938"/>
    <w:pPr>
      <w:spacing w:before="240" w:after="0" w:line="259" w:lineRule="auto"/>
      <w:outlineLvl w:val="9"/>
    </w:pPr>
    <w:rPr>
      <w:rFonts w:asciiTheme="majorHAnsi" w:hAnsiTheme="majorHAnsi"/>
      <w:color w:val="0F4761" w:themeColor="accent1" w:themeShade="BF"/>
      <w:kern w:val="0"/>
      <w:sz w:val="32"/>
      <w:szCs w:val="32"/>
      <w14:ligatures w14:val="none"/>
    </w:rPr>
  </w:style>
  <w:style w:type="paragraph" w:styleId="TOC1">
    <w:name w:val="toc 1"/>
    <w:basedOn w:val="Normal"/>
    <w:next w:val="Normal"/>
    <w:autoRedefine/>
    <w:uiPriority w:val="39"/>
    <w:unhideWhenUsed/>
    <w:rsid w:val="00863938"/>
    <w:pPr>
      <w:spacing w:after="100"/>
    </w:pPr>
  </w:style>
  <w:style w:type="paragraph" w:styleId="TOC2">
    <w:name w:val="toc 2"/>
    <w:basedOn w:val="Normal"/>
    <w:next w:val="Normal"/>
    <w:autoRedefine/>
    <w:uiPriority w:val="39"/>
    <w:unhideWhenUsed/>
    <w:rsid w:val="00863938"/>
    <w:pPr>
      <w:spacing w:after="100"/>
      <w:ind w:left="240"/>
    </w:pPr>
  </w:style>
  <w:style w:type="character" w:styleId="Hyperlink">
    <w:name w:val="Hyperlink"/>
    <w:basedOn w:val="DefaultParagraphFont"/>
    <w:uiPriority w:val="99"/>
    <w:unhideWhenUsed/>
    <w:rsid w:val="00863938"/>
    <w:rPr>
      <w:color w:val="467886" w:themeColor="hyperlink"/>
      <w:u w:val="single"/>
    </w:rPr>
  </w:style>
  <w:style w:type="paragraph" w:styleId="Bibliography">
    <w:name w:val="Bibliography"/>
    <w:basedOn w:val="Normal"/>
    <w:next w:val="Normal"/>
    <w:uiPriority w:val="37"/>
    <w:unhideWhenUsed/>
    <w:rsid w:val="00C47A7E"/>
    <w:pPr>
      <w:spacing w:after="0"/>
      <w:ind w:left="720" w:hanging="720"/>
    </w:pPr>
  </w:style>
  <w:style w:type="paragraph" w:styleId="FootnoteText">
    <w:name w:val="footnote text"/>
    <w:basedOn w:val="Normal"/>
    <w:link w:val="FootnoteTextChar"/>
    <w:uiPriority w:val="99"/>
    <w:semiHidden/>
    <w:unhideWhenUsed/>
    <w:rsid w:val="00A649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4929"/>
    <w:rPr>
      <w:rFonts w:ascii="Times New Roman" w:hAnsi="Times New Roman"/>
      <w:sz w:val="20"/>
      <w:szCs w:val="20"/>
    </w:rPr>
  </w:style>
  <w:style w:type="character" w:styleId="FootnoteReference">
    <w:name w:val="footnote reference"/>
    <w:basedOn w:val="DefaultParagraphFont"/>
    <w:uiPriority w:val="99"/>
    <w:semiHidden/>
    <w:unhideWhenUsed/>
    <w:rsid w:val="00A64929"/>
    <w:rPr>
      <w:vertAlign w:val="superscript"/>
    </w:rPr>
  </w:style>
  <w:style w:type="paragraph" w:styleId="Caption">
    <w:name w:val="caption"/>
    <w:basedOn w:val="Normal"/>
    <w:next w:val="Normal"/>
    <w:uiPriority w:val="35"/>
    <w:unhideWhenUsed/>
    <w:qFormat/>
    <w:rsid w:val="00B67FDC"/>
    <w:pPr>
      <w:spacing w:after="200" w:line="240" w:lineRule="auto"/>
      <w:jc w:val="center"/>
    </w:pPr>
    <w:rPr>
      <w:i/>
      <w:iCs/>
      <w:color w:val="0E2841" w:themeColor="text2"/>
      <w:sz w:val="18"/>
      <w:szCs w:val="18"/>
    </w:rPr>
  </w:style>
  <w:style w:type="paragraph" w:styleId="NoSpacing">
    <w:name w:val="No Spacing"/>
    <w:uiPriority w:val="1"/>
    <w:qFormat/>
    <w:rsid w:val="00962090"/>
    <w:pPr>
      <w:spacing w:after="0" w:line="240" w:lineRule="auto"/>
    </w:pPr>
    <w:rPr>
      <w:rFonts w:ascii="Times New Roman" w:hAnsi="Times New Roman"/>
    </w:rPr>
  </w:style>
  <w:style w:type="table" w:styleId="TableGrid">
    <w:name w:val="Table Grid"/>
    <w:basedOn w:val="TableNormal"/>
    <w:uiPriority w:val="39"/>
    <w:rsid w:val="00437C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30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00320">
      <w:bodyDiv w:val="1"/>
      <w:marLeft w:val="0"/>
      <w:marRight w:val="0"/>
      <w:marTop w:val="0"/>
      <w:marBottom w:val="0"/>
      <w:divBdr>
        <w:top w:val="none" w:sz="0" w:space="0" w:color="auto"/>
        <w:left w:val="none" w:sz="0" w:space="0" w:color="auto"/>
        <w:bottom w:val="none" w:sz="0" w:space="0" w:color="auto"/>
        <w:right w:val="none" w:sz="0" w:space="0" w:color="auto"/>
      </w:divBdr>
      <w:divsChild>
        <w:div w:id="863665795">
          <w:marLeft w:val="0"/>
          <w:marRight w:val="0"/>
          <w:marTop w:val="0"/>
          <w:marBottom w:val="0"/>
          <w:divBdr>
            <w:top w:val="none" w:sz="0" w:space="0" w:color="auto"/>
            <w:left w:val="none" w:sz="0" w:space="0" w:color="auto"/>
            <w:bottom w:val="none" w:sz="0" w:space="0" w:color="auto"/>
            <w:right w:val="none" w:sz="0" w:space="0" w:color="auto"/>
          </w:divBdr>
        </w:div>
      </w:divsChild>
    </w:div>
    <w:div w:id="237638694">
      <w:bodyDiv w:val="1"/>
      <w:marLeft w:val="0"/>
      <w:marRight w:val="0"/>
      <w:marTop w:val="0"/>
      <w:marBottom w:val="0"/>
      <w:divBdr>
        <w:top w:val="none" w:sz="0" w:space="0" w:color="auto"/>
        <w:left w:val="none" w:sz="0" w:space="0" w:color="auto"/>
        <w:bottom w:val="none" w:sz="0" w:space="0" w:color="auto"/>
        <w:right w:val="none" w:sz="0" w:space="0" w:color="auto"/>
      </w:divBdr>
      <w:divsChild>
        <w:div w:id="1235166668">
          <w:marLeft w:val="0"/>
          <w:marRight w:val="0"/>
          <w:marTop w:val="0"/>
          <w:marBottom w:val="0"/>
          <w:divBdr>
            <w:top w:val="none" w:sz="0" w:space="0" w:color="auto"/>
            <w:left w:val="none" w:sz="0" w:space="0" w:color="auto"/>
            <w:bottom w:val="none" w:sz="0" w:space="0" w:color="auto"/>
            <w:right w:val="none" w:sz="0" w:space="0" w:color="auto"/>
          </w:divBdr>
          <w:divsChild>
            <w:div w:id="157439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823418">
      <w:bodyDiv w:val="1"/>
      <w:marLeft w:val="0"/>
      <w:marRight w:val="0"/>
      <w:marTop w:val="0"/>
      <w:marBottom w:val="0"/>
      <w:divBdr>
        <w:top w:val="none" w:sz="0" w:space="0" w:color="auto"/>
        <w:left w:val="none" w:sz="0" w:space="0" w:color="auto"/>
        <w:bottom w:val="none" w:sz="0" w:space="0" w:color="auto"/>
        <w:right w:val="none" w:sz="0" w:space="0" w:color="auto"/>
      </w:divBdr>
      <w:divsChild>
        <w:div w:id="777943189">
          <w:marLeft w:val="0"/>
          <w:marRight w:val="0"/>
          <w:marTop w:val="0"/>
          <w:marBottom w:val="0"/>
          <w:divBdr>
            <w:top w:val="none" w:sz="0" w:space="0" w:color="auto"/>
            <w:left w:val="none" w:sz="0" w:space="0" w:color="auto"/>
            <w:bottom w:val="none" w:sz="0" w:space="0" w:color="auto"/>
            <w:right w:val="none" w:sz="0" w:space="0" w:color="auto"/>
          </w:divBdr>
          <w:divsChild>
            <w:div w:id="2622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65861">
      <w:bodyDiv w:val="1"/>
      <w:marLeft w:val="0"/>
      <w:marRight w:val="0"/>
      <w:marTop w:val="0"/>
      <w:marBottom w:val="0"/>
      <w:divBdr>
        <w:top w:val="none" w:sz="0" w:space="0" w:color="auto"/>
        <w:left w:val="none" w:sz="0" w:space="0" w:color="auto"/>
        <w:bottom w:val="none" w:sz="0" w:space="0" w:color="auto"/>
        <w:right w:val="none" w:sz="0" w:space="0" w:color="auto"/>
      </w:divBdr>
      <w:divsChild>
        <w:div w:id="690447752">
          <w:marLeft w:val="0"/>
          <w:marRight w:val="0"/>
          <w:marTop w:val="0"/>
          <w:marBottom w:val="0"/>
          <w:divBdr>
            <w:top w:val="none" w:sz="0" w:space="0" w:color="auto"/>
            <w:left w:val="none" w:sz="0" w:space="0" w:color="auto"/>
            <w:bottom w:val="none" w:sz="0" w:space="0" w:color="auto"/>
            <w:right w:val="none" w:sz="0" w:space="0" w:color="auto"/>
          </w:divBdr>
          <w:divsChild>
            <w:div w:id="153538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60377">
      <w:bodyDiv w:val="1"/>
      <w:marLeft w:val="0"/>
      <w:marRight w:val="0"/>
      <w:marTop w:val="0"/>
      <w:marBottom w:val="0"/>
      <w:divBdr>
        <w:top w:val="none" w:sz="0" w:space="0" w:color="auto"/>
        <w:left w:val="none" w:sz="0" w:space="0" w:color="auto"/>
        <w:bottom w:val="none" w:sz="0" w:space="0" w:color="auto"/>
        <w:right w:val="none" w:sz="0" w:space="0" w:color="auto"/>
      </w:divBdr>
      <w:divsChild>
        <w:div w:id="1342463975">
          <w:marLeft w:val="0"/>
          <w:marRight w:val="0"/>
          <w:marTop w:val="0"/>
          <w:marBottom w:val="0"/>
          <w:divBdr>
            <w:top w:val="none" w:sz="0" w:space="0" w:color="auto"/>
            <w:left w:val="none" w:sz="0" w:space="0" w:color="auto"/>
            <w:bottom w:val="none" w:sz="0" w:space="0" w:color="auto"/>
            <w:right w:val="none" w:sz="0" w:space="0" w:color="auto"/>
          </w:divBdr>
          <w:divsChild>
            <w:div w:id="42192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13926">
      <w:bodyDiv w:val="1"/>
      <w:marLeft w:val="0"/>
      <w:marRight w:val="0"/>
      <w:marTop w:val="0"/>
      <w:marBottom w:val="0"/>
      <w:divBdr>
        <w:top w:val="none" w:sz="0" w:space="0" w:color="auto"/>
        <w:left w:val="none" w:sz="0" w:space="0" w:color="auto"/>
        <w:bottom w:val="none" w:sz="0" w:space="0" w:color="auto"/>
        <w:right w:val="none" w:sz="0" w:space="0" w:color="auto"/>
      </w:divBdr>
      <w:divsChild>
        <w:div w:id="1003169147">
          <w:marLeft w:val="0"/>
          <w:marRight w:val="0"/>
          <w:marTop w:val="100"/>
          <w:marBottom w:val="100"/>
          <w:divBdr>
            <w:top w:val="none" w:sz="0" w:space="0" w:color="auto"/>
            <w:left w:val="none" w:sz="0" w:space="0" w:color="auto"/>
            <w:bottom w:val="none" w:sz="0" w:space="0" w:color="auto"/>
            <w:right w:val="none" w:sz="0" w:space="0" w:color="auto"/>
          </w:divBdr>
          <w:divsChild>
            <w:div w:id="1831091806">
              <w:marLeft w:val="0"/>
              <w:marRight w:val="0"/>
              <w:marTop w:val="750"/>
              <w:marBottom w:val="750"/>
              <w:divBdr>
                <w:top w:val="none" w:sz="0" w:space="0" w:color="auto"/>
                <w:left w:val="none" w:sz="0" w:space="0" w:color="auto"/>
                <w:bottom w:val="none" w:sz="0" w:space="0" w:color="auto"/>
                <w:right w:val="none" w:sz="0" w:space="0" w:color="auto"/>
              </w:divBdr>
              <w:divsChild>
                <w:div w:id="573707351">
                  <w:marLeft w:val="0"/>
                  <w:marRight w:val="0"/>
                  <w:marTop w:val="0"/>
                  <w:marBottom w:val="0"/>
                  <w:divBdr>
                    <w:top w:val="none" w:sz="0" w:space="0" w:color="auto"/>
                    <w:left w:val="none" w:sz="0" w:space="0" w:color="auto"/>
                    <w:bottom w:val="none" w:sz="0" w:space="0" w:color="auto"/>
                    <w:right w:val="none" w:sz="0" w:space="0" w:color="auto"/>
                  </w:divBdr>
                  <w:divsChild>
                    <w:div w:id="434329553">
                      <w:marLeft w:val="0"/>
                      <w:marRight w:val="0"/>
                      <w:marTop w:val="0"/>
                      <w:marBottom w:val="0"/>
                      <w:divBdr>
                        <w:top w:val="none" w:sz="0" w:space="0" w:color="auto"/>
                        <w:left w:val="none" w:sz="0" w:space="0" w:color="auto"/>
                        <w:bottom w:val="none" w:sz="0" w:space="0" w:color="auto"/>
                        <w:right w:val="none" w:sz="0" w:space="0" w:color="auto"/>
                      </w:divBdr>
                      <w:divsChild>
                        <w:div w:id="7512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668014">
          <w:marLeft w:val="0"/>
          <w:marRight w:val="0"/>
          <w:marTop w:val="100"/>
          <w:marBottom w:val="100"/>
          <w:divBdr>
            <w:top w:val="dashed" w:sz="6" w:space="0" w:color="A8A8A8"/>
            <w:left w:val="none" w:sz="0" w:space="0" w:color="auto"/>
            <w:bottom w:val="none" w:sz="0" w:space="0" w:color="auto"/>
            <w:right w:val="none" w:sz="0" w:space="0" w:color="auto"/>
          </w:divBdr>
          <w:divsChild>
            <w:div w:id="436143320">
              <w:marLeft w:val="0"/>
              <w:marRight w:val="0"/>
              <w:marTop w:val="750"/>
              <w:marBottom w:val="750"/>
              <w:divBdr>
                <w:top w:val="none" w:sz="0" w:space="0" w:color="auto"/>
                <w:left w:val="none" w:sz="0" w:space="0" w:color="auto"/>
                <w:bottom w:val="none" w:sz="0" w:space="0" w:color="auto"/>
                <w:right w:val="none" w:sz="0" w:space="0" w:color="auto"/>
              </w:divBdr>
              <w:divsChild>
                <w:div w:id="40637298">
                  <w:marLeft w:val="0"/>
                  <w:marRight w:val="0"/>
                  <w:marTop w:val="0"/>
                  <w:marBottom w:val="0"/>
                  <w:divBdr>
                    <w:top w:val="none" w:sz="0" w:space="0" w:color="auto"/>
                    <w:left w:val="none" w:sz="0" w:space="0" w:color="auto"/>
                    <w:bottom w:val="none" w:sz="0" w:space="0" w:color="auto"/>
                    <w:right w:val="none" w:sz="0" w:space="0" w:color="auto"/>
                  </w:divBdr>
                  <w:divsChild>
                    <w:div w:id="439882530">
                      <w:marLeft w:val="0"/>
                      <w:marRight w:val="0"/>
                      <w:marTop w:val="0"/>
                      <w:marBottom w:val="0"/>
                      <w:divBdr>
                        <w:top w:val="none" w:sz="0" w:space="0" w:color="auto"/>
                        <w:left w:val="none" w:sz="0" w:space="0" w:color="auto"/>
                        <w:bottom w:val="none" w:sz="0" w:space="0" w:color="auto"/>
                        <w:right w:val="none" w:sz="0" w:space="0" w:color="auto"/>
                      </w:divBdr>
                      <w:divsChild>
                        <w:div w:id="202501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088399">
      <w:bodyDiv w:val="1"/>
      <w:marLeft w:val="0"/>
      <w:marRight w:val="0"/>
      <w:marTop w:val="0"/>
      <w:marBottom w:val="0"/>
      <w:divBdr>
        <w:top w:val="none" w:sz="0" w:space="0" w:color="auto"/>
        <w:left w:val="none" w:sz="0" w:space="0" w:color="auto"/>
        <w:bottom w:val="none" w:sz="0" w:space="0" w:color="auto"/>
        <w:right w:val="none" w:sz="0" w:space="0" w:color="auto"/>
      </w:divBdr>
      <w:divsChild>
        <w:div w:id="178617271">
          <w:marLeft w:val="0"/>
          <w:marRight w:val="0"/>
          <w:marTop w:val="0"/>
          <w:marBottom w:val="0"/>
          <w:divBdr>
            <w:top w:val="none" w:sz="0" w:space="0" w:color="auto"/>
            <w:left w:val="none" w:sz="0" w:space="0" w:color="auto"/>
            <w:bottom w:val="none" w:sz="0" w:space="0" w:color="auto"/>
            <w:right w:val="none" w:sz="0" w:space="0" w:color="auto"/>
          </w:divBdr>
        </w:div>
      </w:divsChild>
    </w:div>
    <w:div w:id="1432583187">
      <w:bodyDiv w:val="1"/>
      <w:marLeft w:val="0"/>
      <w:marRight w:val="0"/>
      <w:marTop w:val="0"/>
      <w:marBottom w:val="0"/>
      <w:divBdr>
        <w:top w:val="none" w:sz="0" w:space="0" w:color="auto"/>
        <w:left w:val="none" w:sz="0" w:space="0" w:color="auto"/>
        <w:bottom w:val="none" w:sz="0" w:space="0" w:color="auto"/>
        <w:right w:val="none" w:sz="0" w:space="0" w:color="auto"/>
      </w:divBdr>
      <w:divsChild>
        <w:div w:id="2111119855">
          <w:marLeft w:val="0"/>
          <w:marRight w:val="0"/>
          <w:marTop w:val="0"/>
          <w:marBottom w:val="0"/>
          <w:divBdr>
            <w:top w:val="none" w:sz="0" w:space="0" w:color="auto"/>
            <w:left w:val="none" w:sz="0" w:space="0" w:color="auto"/>
            <w:bottom w:val="none" w:sz="0" w:space="0" w:color="auto"/>
            <w:right w:val="none" w:sz="0" w:space="0" w:color="auto"/>
          </w:divBdr>
        </w:div>
      </w:divsChild>
    </w:div>
    <w:div w:id="1640911947">
      <w:bodyDiv w:val="1"/>
      <w:marLeft w:val="0"/>
      <w:marRight w:val="0"/>
      <w:marTop w:val="0"/>
      <w:marBottom w:val="0"/>
      <w:divBdr>
        <w:top w:val="none" w:sz="0" w:space="0" w:color="auto"/>
        <w:left w:val="none" w:sz="0" w:space="0" w:color="auto"/>
        <w:bottom w:val="none" w:sz="0" w:space="0" w:color="auto"/>
        <w:right w:val="none" w:sz="0" w:space="0" w:color="auto"/>
      </w:divBdr>
      <w:divsChild>
        <w:div w:id="1041520969">
          <w:marLeft w:val="0"/>
          <w:marRight w:val="0"/>
          <w:marTop w:val="0"/>
          <w:marBottom w:val="0"/>
          <w:divBdr>
            <w:top w:val="none" w:sz="0" w:space="0" w:color="auto"/>
            <w:left w:val="none" w:sz="0" w:space="0" w:color="auto"/>
            <w:bottom w:val="none" w:sz="0" w:space="0" w:color="auto"/>
            <w:right w:val="none" w:sz="0" w:space="0" w:color="auto"/>
          </w:divBdr>
        </w:div>
      </w:divsChild>
    </w:div>
    <w:div w:id="1944877831">
      <w:bodyDiv w:val="1"/>
      <w:marLeft w:val="0"/>
      <w:marRight w:val="0"/>
      <w:marTop w:val="0"/>
      <w:marBottom w:val="0"/>
      <w:divBdr>
        <w:top w:val="none" w:sz="0" w:space="0" w:color="auto"/>
        <w:left w:val="none" w:sz="0" w:space="0" w:color="auto"/>
        <w:bottom w:val="none" w:sz="0" w:space="0" w:color="auto"/>
        <w:right w:val="none" w:sz="0" w:space="0" w:color="auto"/>
      </w:divBdr>
      <w:divsChild>
        <w:div w:id="7946888">
          <w:marLeft w:val="0"/>
          <w:marRight w:val="0"/>
          <w:marTop w:val="100"/>
          <w:marBottom w:val="100"/>
          <w:divBdr>
            <w:top w:val="dashed" w:sz="6" w:space="0" w:color="A8A8A8"/>
            <w:left w:val="none" w:sz="0" w:space="0" w:color="auto"/>
            <w:bottom w:val="none" w:sz="0" w:space="0" w:color="auto"/>
            <w:right w:val="none" w:sz="0" w:space="0" w:color="auto"/>
          </w:divBdr>
          <w:divsChild>
            <w:div w:id="1684160546">
              <w:marLeft w:val="0"/>
              <w:marRight w:val="0"/>
              <w:marTop w:val="750"/>
              <w:marBottom w:val="750"/>
              <w:divBdr>
                <w:top w:val="none" w:sz="0" w:space="0" w:color="auto"/>
                <w:left w:val="none" w:sz="0" w:space="0" w:color="auto"/>
                <w:bottom w:val="none" w:sz="0" w:space="0" w:color="auto"/>
                <w:right w:val="none" w:sz="0" w:space="0" w:color="auto"/>
              </w:divBdr>
              <w:divsChild>
                <w:div w:id="501704520">
                  <w:marLeft w:val="0"/>
                  <w:marRight w:val="0"/>
                  <w:marTop w:val="0"/>
                  <w:marBottom w:val="0"/>
                  <w:divBdr>
                    <w:top w:val="none" w:sz="0" w:space="0" w:color="auto"/>
                    <w:left w:val="none" w:sz="0" w:space="0" w:color="auto"/>
                    <w:bottom w:val="none" w:sz="0" w:space="0" w:color="auto"/>
                    <w:right w:val="none" w:sz="0" w:space="0" w:color="auto"/>
                  </w:divBdr>
                  <w:divsChild>
                    <w:div w:id="303587726">
                      <w:marLeft w:val="0"/>
                      <w:marRight w:val="0"/>
                      <w:marTop w:val="0"/>
                      <w:marBottom w:val="0"/>
                      <w:divBdr>
                        <w:top w:val="none" w:sz="0" w:space="0" w:color="auto"/>
                        <w:left w:val="none" w:sz="0" w:space="0" w:color="auto"/>
                        <w:bottom w:val="none" w:sz="0" w:space="0" w:color="auto"/>
                        <w:right w:val="none" w:sz="0" w:space="0" w:color="auto"/>
                      </w:divBdr>
                      <w:divsChild>
                        <w:div w:id="19219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2654">
          <w:marLeft w:val="0"/>
          <w:marRight w:val="0"/>
          <w:marTop w:val="100"/>
          <w:marBottom w:val="100"/>
          <w:divBdr>
            <w:top w:val="none" w:sz="0" w:space="0" w:color="auto"/>
            <w:left w:val="none" w:sz="0" w:space="0" w:color="auto"/>
            <w:bottom w:val="none" w:sz="0" w:space="0" w:color="auto"/>
            <w:right w:val="none" w:sz="0" w:space="0" w:color="auto"/>
          </w:divBdr>
          <w:divsChild>
            <w:div w:id="370619041">
              <w:marLeft w:val="0"/>
              <w:marRight w:val="0"/>
              <w:marTop w:val="750"/>
              <w:marBottom w:val="750"/>
              <w:divBdr>
                <w:top w:val="none" w:sz="0" w:space="0" w:color="auto"/>
                <w:left w:val="none" w:sz="0" w:space="0" w:color="auto"/>
                <w:bottom w:val="none" w:sz="0" w:space="0" w:color="auto"/>
                <w:right w:val="none" w:sz="0" w:space="0" w:color="auto"/>
              </w:divBdr>
              <w:divsChild>
                <w:div w:id="1588537537">
                  <w:marLeft w:val="0"/>
                  <w:marRight w:val="0"/>
                  <w:marTop w:val="0"/>
                  <w:marBottom w:val="0"/>
                  <w:divBdr>
                    <w:top w:val="none" w:sz="0" w:space="0" w:color="auto"/>
                    <w:left w:val="none" w:sz="0" w:space="0" w:color="auto"/>
                    <w:bottom w:val="none" w:sz="0" w:space="0" w:color="auto"/>
                    <w:right w:val="none" w:sz="0" w:space="0" w:color="auto"/>
                  </w:divBdr>
                  <w:divsChild>
                    <w:div w:id="227570498">
                      <w:marLeft w:val="0"/>
                      <w:marRight w:val="0"/>
                      <w:marTop w:val="0"/>
                      <w:marBottom w:val="0"/>
                      <w:divBdr>
                        <w:top w:val="none" w:sz="0" w:space="0" w:color="auto"/>
                        <w:left w:val="none" w:sz="0" w:space="0" w:color="auto"/>
                        <w:bottom w:val="none" w:sz="0" w:space="0" w:color="auto"/>
                        <w:right w:val="none" w:sz="0" w:space="0" w:color="auto"/>
                      </w:divBdr>
                      <w:divsChild>
                        <w:div w:id="153597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847054">
      <w:bodyDiv w:val="1"/>
      <w:marLeft w:val="0"/>
      <w:marRight w:val="0"/>
      <w:marTop w:val="0"/>
      <w:marBottom w:val="0"/>
      <w:divBdr>
        <w:top w:val="none" w:sz="0" w:space="0" w:color="auto"/>
        <w:left w:val="none" w:sz="0" w:space="0" w:color="auto"/>
        <w:bottom w:val="none" w:sz="0" w:space="0" w:color="auto"/>
        <w:right w:val="none" w:sz="0" w:space="0" w:color="auto"/>
      </w:divBdr>
      <w:divsChild>
        <w:div w:id="1931160082">
          <w:marLeft w:val="0"/>
          <w:marRight w:val="0"/>
          <w:marTop w:val="100"/>
          <w:marBottom w:val="100"/>
          <w:divBdr>
            <w:top w:val="dashed" w:sz="6" w:space="0" w:color="A8A8A8"/>
            <w:left w:val="none" w:sz="0" w:space="0" w:color="auto"/>
            <w:bottom w:val="none" w:sz="0" w:space="0" w:color="auto"/>
            <w:right w:val="none" w:sz="0" w:space="0" w:color="auto"/>
          </w:divBdr>
          <w:divsChild>
            <w:div w:id="1996571632">
              <w:marLeft w:val="0"/>
              <w:marRight w:val="0"/>
              <w:marTop w:val="750"/>
              <w:marBottom w:val="750"/>
              <w:divBdr>
                <w:top w:val="none" w:sz="0" w:space="0" w:color="auto"/>
                <w:left w:val="none" w:sz="0" w:space="0" w:color="auto"/>
                <w:bottom w:val="none" w:sz="0" w:space="0" w:color="auto"/>
                <w:right w:val="none" w:sz="0" w:space="0" w:color="auto"/>
              </w:divBdr>
              <w:divsChild>
                <w:div w:id="1831216694">
                  <w:marLeft w:val="0"/>
                  <w:marRight w:val="0"/>
                  <w:marTop w:val="0"/>
                  <w:marBottom w:val="0"/>
                  <w:divBdr>
                    <w:top w:val="none" w:sz="0" w:space="0" w:color="auto"/>
                    <w:left w:val="none" w:sz="0" w:space="0" w:color="auto"/>
                    <w:bottom w:val="none" w:sz="0" w:space="0" w:color="auto"/>
                    <w:right w:val="none" w:sz="0" w:space="0" w:color="auto"/>
                  </w:divBdr>
                  <w:divsChild>
                    <w:div w:id="743375471">
                      <w:marLeft w:val="0"/>
                      <w:marRight w:val="0"/>
                      <w:marTop w:val="0"/>
                      <w:marBottom w:val="0"/>
                      <w:divBdr>
                        <w:top w:val="none" w:sz="0" w:space="0" w:color="auto"/>
                        <w:left w:val="none" w:sz="0" w:space="0" w:color="auto"/>
                        <w:bottom w:val="none" w:sz="0" w:space="0" w:color="auto"/>
                        <w:right w:val="none" w:sz="0" w:space="0" w:color="auto"/>
                      </w:divBdr>
                      <w:divsChild>
                        <w:div w:id="79371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654912">
          <w:marLeft w:val="0"/>
          <w:marRight w:val="0"/>
          <w:marTop w:val="100"/>
          <w:marBottom w:val="100"/>
          <w:divBdr>
            <w:top w:val="none" w:sz="0" w:space="0" w:color="auto"/>
            <w:left w:val="none" w:sz="0" w:space="0" w:color="auto"/>
            <w:bottom w:val="none" w:sz="0" w:space="0" w:color="auto"/>
            <w:right w:val="none" w:sz="0" w:space="0" w:color="auto"/>
          </w:divBdr>
          <w:divsChild>
            <w:div w:id="119151267">
              <w:marLeft w:val="0"/>
              <w:marRight w:val="0"/>
              <w:marTop w:val="750"/>
              <w:marBottom w:val="750"/>
              <w:divBdr>
                <w:top w:val="none" w:sz="0" w:space="0" w:color="auto"/>
                <w:left w:val="none" w:sz="0" w:space="0" w:color="auto"/>
                <w:bottom w:val="none" w:sz="0" w:space="0" w:color="auto"/>
                <w:right w:val="none" w:sz="0" w:space="0" w:color="auto"/>
              </w:divBdr>
              <w:divsChild>
                <w:div w:id="10303482">
                  <w:marLeft w:val="0"/>
                  <w:marRight w:val="0"/>
                  <w:marTop w:val="0"/>
                  <w:marBottom w:val="0"/>
                  <w:divBdr>
                    <w:top w:val="none" w:sz="0" w:space="0" w:color="auto"/>
                    <w:left w:val="none" w:sz="0" w:space="0" w:color="auto"/>
                    <w:bottom w:val="none" w:sz="0" w:space="0" w:color="auto"/>
                    <w:right w:val="none" w:sz="0" w:space="0" w:color="auto"/>
                  </w:divBdr>
                  <w:divsChild>
                    <w:div w:id="1590654137">
                      <w:marLeft w:val="0"/>
                      <w:marRight w:val="0"/>
                      <w:marTop w:val="0"/>
                      <w:marBottom w:val="0"/>
                      <w:divBdr>
                        <w:top w:val="none" w:sz="0" w:space="0" w:color="auto"/>
                        <w:left w:val="none" w:sz="0" w:space="0" w:color="auto"/>
                        <w:bottom w:val="none" w:sz="0" w:space="0" w:color="auto"/>
                        <w:right w:val="none" w:sz="0" w:space="0" w:color="auto"/>
                      </w:divBdr>
                      <w:divsChild>
                        <w:div w:id="38733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5A82D-C8A9-4782-8A95-C6D844E55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1935</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Werle</dc:creator>
  <cp:keywords/>
  <dc:description/>
  <cp:lastModifiedBy>Jakob Werle</cp:lastModifiedBy>
  <cp:revision>31</cp:revision>
  <dcterms:created xsi:type="dcterms:W3CDTF">2024-08-11T05:14:00Z</dcterms:created>
  <dcterms:modified xsi:type="dcterms:W3CDTF">2024-08-12T06:17:00Z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id="OlEBDgA1"/&gt;&lt;style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