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Arial" w:hAnsi="Arial"/>
          <w:b/>
          <w:i w:val="0"/>
          <w:color w:val="1A365D"/>
          <w:sz w:val="36"/>
        </w:rPr>
        <w:t>ILT System - Architecture Design &amp; Technical Specifications</w:t>
      </w:r>
    </w:p>
    <w:p>
      <w:pPr>
        <w:spacing w:before="0" w:after="160"/>
        <w:jc w:val="center"/>
      </w:pPr>
      <w:r>
        <w:rPr>
          <w:rFonts w:ascii="Arial" w:hAnsi="Arial"/>
          <w:b w:val="0"/>
          <w:i/>
          <w:color w:val="4A5568"/>
          <w:sz w:val="21"/>
        </w:rPr>
        <w:t>Comprehensive Engineering Specification: Binary Wire Protocol, DDL, Local P2P Fallback, Kiosk Lockdown, Template Tooling &amp; Privacy Controls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EDF2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B6CB0"/>
                <w:sz w:val="16"/>
              </w:rPr>
              <w:t xml:space="preserve">Document ID: </w:t>
            </w:r>
            <w:r>
              <w:rPr>
                <w:rFonts w:ascii="Arial" w:hAnsi="Arial"/>
                <w:b w:val="0"/>
                <w:color w:val="2D3748"/>
                <w:sz w:val="16"/>
              </w:rPr>
              <w:t>ILT-ARCH-SPEC-V3.0-EN</w:t>
            </w:r>
          </w:p>
        </w:tc>
        <w:tc>
          <w:tcPr>
            <w:tcW w:type="dxa" w:w="2556"/>
            <w:shd w:val="clear" w:color="auto" w:fill="EDF2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B6CB0"/>
                <w:sz w:val="16"/>
              </w:rPr>
              <w:t xml:space="preserve">Date: </w:t>
            </w:r>
            <w:r>
              <w:rPr>
                <w:rFonts w:ascii="Arial" w:hAnsi="Arial"/>
                <w:b w:val="0"/>
                <w:color w:val="2D3748"/>
                <w:sz w:val="16"/>
              </w:rPr>
              <w:t>October 2026</w:t>
            </w:r>
          </w:p>
        </w:tc>
        <w:tc>
          <w:tcPr>
            <w:tcW w:type="dxa" w:w="2556"/>
            <w:shd w:val="clear" w:color="auto" w:fill="EDF2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B6CB0"/>
                <w:sz w:val="16"/>
              </w:rPr>
              <w:t xml:space="preserve">Scope: </w:t>
            </w:r>
            <w:r>
              <w:rPr>
                <w:rFonts w:ascii="Arial" w:hAnsi="Arial"/>
                <w:b w:val="0"/>
                <w:color w:val="2D3748"/>
                <w:sz w:val="16"/>
              </w:rPr>
              <w:t>Educational Research (Open Source)</w:t>
            </w:r>
          </w:p>
        </w:tc>
        <w:tc>
          <w:tcPr>
            <w:tcW w:type="dxa" w:w="2556"/>
            <w:shd w:val="clear" w:color="auto" w:fill="EDF2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B6CB0"/>
                <w:sz w:val="16"/>
              </w:rPr>
              <w:t xml:space="preserve">Input Hardware: </w:t>
            </w:r>
            <w:r>
              <w:rPr>
                <w:rFonts w:ascii="Arial" w:hAnsi="Arial"/>
                <w:b w:val="0"/>
                <w:color w:val="2D3748"/>
                <w:sz w:val="16"/>
              </w:rPr>
              <w:t>Wacom DTHA116 (EMR)</w:t>
            </w:r>
          </w:p>
        </w:tc>
      </w:tr>
      <w:tr>
        <w:tc>
          <w:tcPr>
            <w:tcW w:type="dxa" w:w="255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B6CB0"/>
                <w:sz w:val="16"/>
              </w:rPr>
              <w:t xml:space="preserve">Status: </w:t>
            </w:r>
            <w:r>
              <w:rPr>
                <w:rFonts w:ascii="Arial" w:hAnsi="Arial"/>
                <w:b w:val="0"/>
                <w:color w:val="2D3748"/>
                <w:sz w:val="16"/>
              </w:rPr>
              <w:t>Approved for Implementation</w:t>
            </w:r>
          </w:p>
        </w:tc>
        <w:tc>
          <w:tcPr>
            <w:tcW w:type="dxa" w:w="255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B6CB0"/>
                <w:sz w:val="16"/>
              </w:rPr>
              <w:t xml:space="preserve">Field Network: </w:t>
            </w:r>
            <w:r>
              <w:rPr>
                <w:rFonts w:ascii="Arial" w:hAnsi="Arial"/>
                <w:b w:val="0"/>
                <w:color w:val="2D3748"/>
                <w:sz w:val="16"/>
              </w:rPr>
              <w:t>Local P2P + Async Cloud Sync</w:t>
            </w:r>
          </w:p>
        </w:tc>
        <w:tc>
          <w:tcPr>
            <w:tcW w:type="dxa" w:w="255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B6CB0"/>
                <w:sz w:val="16"/>
              </w:rPr>
              <w:t xml:space="preserve">Video Privacy: </w:t>
            </w:r>
            <w:r>
              <w:rPr>
                <w:rFonts w:ascii="Arial" w:hAnsi="Arial"/>
                <w:b w:val="0"/>
                <w:color w:val="2D3748"/>
                <w:sz w:val="16"/>
              </w:rPr>
              <w:t>Evaluator-Only Access + SSE-S3</w:t>
            </w:r>
          </w:p>
        </w:tc>
        <w:tc>
          <w:tcPr>
            <w:tcW w:type="dxa" w:w="255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B6CB0"/>
                <w:sz w:val="16"/>
              </w:rPr>
              <w:t xml:space="preserve">Stylus Protocol: </w:t>
            </w:r>
            <w:r>
              <w:rPr>
                <w:rFonts w:ascii="Arial" w:hAnsi="Arial"/>
                <w:b w:val="0"/>
                <w:color w:val="2D3748"/>
                <w:sz w:val="16"/>
              </w:rPr>
              <w:t>Binary ArrayBuffer (20ms Batch)</w:t>
            </w:r>
          </w:p>
        </w:tc>
      </w:tr>
    </w:tbl>
    <w:p>
      <w:pPr>
        <w:spacing w:before="280" w:after="80"/>
        <w:jc w:val="left"/>
      </w:pPr>
      <w:r>
        <w:rPr>
          <w:rFonts w:ascii="Arial" w:hAnsi="Arial"/>
          <w:b/>
          <w:i w:val="0"/>
          <w:color w:val="1A365D"/>
          <w:sz w:val="29"/>
        </w:rPr>
        <w:t>1. Introduction, Vision &amp; Core Architectural Principles</w:t>
      </w:r>
    </w:p>
    <w:p>
      <w:pPr>
        <w:spacing w:before="40" w:after="80"/>
        <w:jc w:val="left"/>
      </w:pPr>
      <w:r>
        <w:rPr>
          <w:rFonts w:ascii="Arial" w:hAnsi="Arial"/>
          <w:b w:val="0"/>
          <w:i w:val="0"/>
          <w:color w:val="2D3748"/>
          <w:sz w:val="20"/>
        </w:rPr>
        <w:t>The ILT (Identification of Learning Disabilities System) platform is an open-source, distributed Web architecture designed for educational research and clinical screening of children with learning disabilities and literacy deficits. The system captures and analyzes fine-motor kinematics during handwriting and drawing tasks on a high-precision electromagnetic resonance (EMR) digitizer (Wacom DTHA116 with native 1140x2200 resolution). Telemetry streams include spatial coordinates (X, Y, Z hover/contact), 4,096 discrete pressure levels, flight-time vs. surface-time latencies, pen tremor, and real-time path deviation.</w:t>
      </w:r>
    </w:p>
    <w:p>
      <w:pPr>
        <w:spacing w:before="30" w:after="50"/>
        <w:ind w:left="288"/>
        <w:jc w:val="left"/>
      </w:pPr>
      <w:r>
        <w:rPr>
          <w:rFonts w:ascii="Arial" w:hAnsi="Arial"/>
          <w:b/>
          <w:color w:val="2B6CB0"/>
          <w:sz w:val="20"/>
        </w:rPr>
        <w:t xml:space="preserve">• </w:t>
      </w:r>
      <w:r>
        <w:rPr>
          <w:rFonts w:ascii="Arial" w:hAnsi="Arial"/>
          <w:b/>
          <w:color w:val="1A365D"/>
          <w:sz w:val="19"/>
        </w:rPr>
        <w:t xml:space="preserve">Open-Source Educational Research Platform: </w:t>
      </w:r>
      <w:r>
        <w:rPr>
          <w:rFonts w:ascii="Arial" w:hAnsi="Arial"/>
          <w:b w:val="0"/>
          <w:color w:val="2D3748"/>
          <w:sz w:val="19"/>
        </w:rPr>
        <w:t>Engineered strictly as a non-commercial, open-source educational research tool using proven open-source components, enabling flexible deployment across academic institutions, municipal clinics, and school districts.</w:t>
      </w:r>
    </w:p>
    <w:p>
      <w:pPr>
        <w:spacing w:before="30" w:after="50"/>
        <w:ind w:left="288"/>
        <w:jc w:val="left"/>
      </w:pPr>
      <w:r>
        <w:rPr>
          <w:rFonts w:ascii="Arial" w:hAnsi="Arial"/>
          <w:b/>
          <w:color w:val="2B6CB0"/>
          <w:sz w:val="20"/>
        </w:rPr>
        <w:t xml:space="preserve">• </w:t>
      </w:r>
      <w:r>
        <w:rPr>
          <w:rFonts w:ascii="Arial" w:hAnsi="Arial"/>
          <w:b/>
          <w:color w:val="1A365D"/>
          <w:sz w:val="19"/>
        </w:rPr>
        <w:t xml:space="preserve">Zero WAN Dependency (Local P2P First with Async Sync): </w:t>
      </w:r>
      <w:r>
        <w:rPr>
          <w:rFonts w:ascii="Arial" w:hAnsi="Arial"/>
          <w:b w:val="0"/>
          <w:color w:val="2D3748"/>
          <w:sz w:val="19"/>
        </w:rPr>
        <w:t>Diagnostic sessions operate over a direct peer-to-peer (P2P) local Wi-Fi channel. Network drops or internet unavailability do not disrupt ongoing evaluations; session telemetry and video are buffered locally and synchronized asynchronously once connectivity is restored.</w:t>
      </w:r>
    </w:p>
    <w:p>
      <w:pPr>
        <w:spacing w:before="30" w:after="50"/>
        <w:ind w:left="288"/>
        <w:jc w:val="left"/>
      </w:pPr>
      <w:r>
        <w:rPr>
          <w:rFonts w:ascii="Arial" w:hAnsi="Arial"/>
          <w:b/>
          <w:color w:val="2B6CB0"/>
          <w:sz w:val="20"/>
        </w:rPr>
        <w:t xml:space="preserve">• </w:t>
      </w:r>
      <w:r>
        <w:rPr>
          <w:rFonts w:ascii="Arial" w:hAnsi="Arial"/>
          <w:b/>
          <w:color w:val="1A365D"/>
          <w:sz w:val="19"/>
        </w:rPr>
        <w:t xml:space="preserve">Zero-GC Binary Telemetry Protocol: </w:t>
      </w:r>
      <w:r>
        <w:rPr>
          <w:rFonts w:ascii="Arial" w:hAnsi="Arial"/>
          <w:b w:val="0"/>
          <w:color w:val="2D3748"/>
          <w:sz w:val="19"/>
        </w:rPr>
        <w:t>Stylus kinematics sampled at 133Hz–200Hz are packed into fixed-size ArrayBuffer packets (3–5 samples batched), preventing garbage collection pauses and eliminating JSON overhead.</w:t>
      </w:r>
    </w:p>
    <w:p>
      <w:pPr>
        <w:spacing w:before="30" w:after="50"/>
        <w:ind w:left="288"/>
        <w:jc w:val="left"/>
      </w:pPr>
      <w:r>
        <w:rPr>
          <w:rFonts w:ascii="Arial" w:hAnsi="Arial"/>
          <w:b/>
          <w:color w:val="2B6CB0"/>
          <w:sz w:val="20"/>
        </w:rPr>
        <w:t xml:space="preserve">• </w:t>
      </w:r>
      <w:r>
        <w:rPr>
          <w:rFonts w:ascii="Arial" w:hAnsi="Arial"/>
          <w:b/>
          <w:color w:val="1A365D"/>
          <w:sz w:val="19"/>
        </w:rPr>
        <w:t xml:space="preserve">Strict Privacy by Design &amp; Data Segregation: </w:t>
      </w:r>
      <w:r>
        <w:rPr>
          <w:rFonts w:ascii="Arial" w:hAnsi="Arial"/>
          <w:b w:val="0"/>
          <w:color w:val="2D3748"/>
          <w:sz w:val="19"/>
        </w:rPr>
        <w:t>Session video recordings are strictly confidential and accessible exclusively by the diagnosing evaluator. Personal identification is decoupled from biometric kinematic logs, and all persistent data is stored encrypted.</w:t>
      </w:r>
    </w:p>
    <w:p>
      <w:pPr>
        <w:spacing w:before="280" w:after="80"/>
        <w:jc w:val="left"/>
      </w:pPr>
      <w:r>
        <w:rPr>
          <w:rFonts w:ascii="Arial" w:hAnsi="Arial"/>
          <w:b/>
          <w:i w:val="0"/>
          <w:color w:val="1A365D"/>
          <w:sz w:val="29"/>
        </w:rPr>
        <w:t>2. User Roles, RBAC &amp; Privacy Access Controls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2B6CB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2556"/>
            <w:shd w:val="clear" w:color="auto" w:fill="2B6CB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Identity &amp; Auth</w:t>
            </w:r>
          </w:p>
        </w:tc>
        <w:tc>
          <w:tcPr>
            <w:tcW w:type="dxa" w:w="2556"/>
            <w:shd w:val="clear" w:color="auto" w:fill="2B6CB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Operating Interface</w:t>
            </w:r>
          </w:p>
        </w:tc>
        <w:tc>
          <w:tcPr>
            <w:tcW w:type="dxa" w:w="2556"/>
            <w:shd w:val="clear" w:color="auto" w:fill="2B6CB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Key Responsibilities &amp; Permissions</w:t>
            </w:r>
          </w:p>
        </w:tc>
      </w:tr>
      <w:tr>
        <w:tc>
          <w:tcPr>
            <w:tcW w:type="dxa" w:w="255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System Administrator</w:t>
            </w:r>
          </w:p>
        </w:tc>
        <w:tc>
          <w:tcPr>
            <w:tcW w:type="dxa" w:w="255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Email + Standard Password + Recovery Email</w:t>
            </w:r>
          </w:p>
        </w:tc>
        <w:tc>
          <w:tcPr>
            <w:tcW w:type="dxa" w:w="255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Administrative Web Portal</w:t>
            </w:r>
          </w:p>
        </w:tc>
        <w:tc>
          <w:tcPr>
            <w:tcW w:type="dxa" w:w="255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User management (Evaluators, Analysts), account activation/deactivation, password resets, Domain management (regions, schools, clinics).</w:t>
            </w:r>
          </w:p>
        </w:tc>
      </w:tr>
      <w:tr>
        <w:tc>
          <w:tcPr>
            <w:tcW w:type="dxa" w:w="2556"/>
            <w:shd w:val="clear" w:color="auto"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Diagnostician (Evaluator)</w:t>
            </w:r>
          </w:p>
        </w:tc>
        <w:tc>
          <w:tcPr>
            <w:tcW w:type="dxa" w:w="2556"/>
            <w:shd w:val="clear" w:color="auto"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Email + Password (Selects Domain at Login)</w:t>
            </w:r>
          </w:p>
        </w:tc>
        <w:tc>
          <w:tcPr>
            <w:tcW w:type="dxa" w:w="2556"/>
            <w:shd w:val="clear" w:color="auto"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Cockpit Web Workstation (PC/Laptop)</w:t>
            </w:r>
          </w:p>
        </w:tc>
        <w:tc>
          <w:tcPr>
            <w:tcW w:type="dxa" w:w="2556"/>
            <w:shd w:val="clear" w:color="auto"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Student alias intake, 5-digit PIN tablet pairing, task orchestration (Start/Pause/Stop/Clear), 80% live canvas mirror with real-time error HUD, exclusive access to observational session video.</w:t>
            </w:r>
          </w:p>
        </w:tc>
      </w:tr>
      <w:tr>
        <w:tc>
          <w:tcPr>
            <w:tcW w:type="dxa" w:w="255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Examinee (Student)</w:t>
            </w:r>
          </w:p>
        </w:tc>
        <w:tc>
          <w:tcPr>
            <w:tcW w:type="dxa" w:w="255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Not a registered user (Session ID only)</w:t>
            </w:r>
          </w:p>
        </w:tc>
        <w:tc>
          <w:tcPr>
            <w:tcW w:type="dxa" w:w="255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Tablet App (Wacom DTHA116)</w:t>
            </w:r>
          </w:p>
        </w:tc>
        <w:tc>
          <w:tcPr>
            <w:tcW w:type="dxa" w:w="255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Performs drawing/handwriting tasks on a fullscreen canvas (1140x2200) with zero UI distractions, no system bars, and no visible error indications.</w:t>
            </w:r>
          </w:p>
        </w:tc>
      </w:tr>
      <w:tr>
        <w:tc>
          <w:tcPr>
            <w:tcW w:type="dxa" w:w="2556"/>
            <w:shd w:val="clear" w:color="auto"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Diagnostic Analyst</w:t>
            </w:r>
          </w:p>
        </w:tc>
        <w:tc>
          <w:tcPr>
            <w:tcW w:type="dxa" w:w="2556"/>
            <w:shd w:val="clear" w:color="auto"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Email + Standard Password</w:t>
            </w:r>
          </w:p>
        </w:tc>
        <w:tc>
          <w:tcPr>
            <w:tcW w:type="dxa" w:w="2556"/>
            <w:shd w:val="clear" w:color="auto"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Analytics &amp; BI Dashboard</w:t>
            </w:r>
          </w:p>
        </w:tc>
        <w:tc>
          <w:tcPr>
            <w:tcW w:type="dxa" w:w="2556"/>
            <w:shd w:val="clear" w:color="auto"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Access to centralized session databases, deterministic graphic replay, multi-variable cohort filtering across Domains, statistical modeling (no video access).</w:t>
            </w:r>
          </w:p>
        </w:tc>
      </w:tr>
    </w:tbl>
    <w:p>
      <w:pPr>
        <w:spacing w:before="280" w:after="80"/>
        <w:jc w:val="left"/>
      </w:pPr>
      <w:r>
        <w:rPr>
          <w:rFonts w:ascii="Arial" w:hAnsi="Arial"/>
          <w:b/>
          <w:i w:val="0"/>
          <w:color w:val="1A365D"/>
          <w:sz w:val="29"/>
        </w:rPr>
        <w:t>3. High-Performance Binary Wire Protocol &amp; OpCodes Dictionary</w:t>
      </w:r>
    </w:p>
    <w:p>
      <w:pPr>
        <w:spacing w:before="200" w:after="60"/>
        <w:jc w:val="left"/>
      </w:pPr>
      <w:r>
        <w:rPr>
          <w:rFonts w:ascii="Arial" w:hAnsi="Arial"/>
          <w:b/>
          <w:i w:val="0"/>
          <w:color w:val="2B6CB0"/>
          <w:sz w:val="24"/>
        </w:rPr>
        <w:t>3.1 Binary Packet Layout &amp; Batching Performance Analysis</w:t>
      </w:r>
    </w:p>
    <w:p>
      <w:pPr>
        <w:spacing w:before="40" w:after="80"/>
        <w:jc w:val="left"/>
      </w:pPr>
      <w:r>
        <w:rPr>
          <w:rFonts w:ascii="Arial" w:hAnsi="Arial"/>
          <w:b w:val="0"/>
          <w:i w:val="0"/>
          <w:color w:val="2D3748"/>
          <w:sz w:val="20"/>
        </w:rPr>
        <w:t>At sampling rates of 133Hz–200Hz, standard JSON encoding incurs an overhead of ~150 bytes per sample, creating severe CPU parsing strain and repetitive Garbage Collection (GC) pauses in browser runtimes. The system utilizes a direct, fixed-size binary struct (ArrayBuffer / DataView) batched in 3–5 sample windows (15–25ms, default 4 samples):</w:t>
      </w:r>
    </w:p>
    <w:p>
      <w:pPr>
        <w:spacing w:before="30" w:after="50"/>
        <w:ind w:left="288"/>
        <w:jc w:val="left"/>
      </w:pPr>
      <w:r>
        <w:rPr>
          <w:rFonts w:ascii="Arial" w:hAnsi="Arial"/>
          <w:b/>
          <w:color w:val="2B6CB0"/>
          <w:sz w:val="20"/>
        </w:rPr>
        <w:t xml:space="preserve">• </w:t>
      </w:r>
      <w:r>
        <w:rPr>
          <w:rFonts w:ascii="Arial" w:hAnsi="Arial"/>
          <w:b/>
          <w:color w:val="1A365D"/>
          <w:sz w:val="19"/>
        </w:rPr>
        <w:t xml:space="preserve">Packet Header (8 Bytes): </w:t>
      </w:r>
      <w:r>
        <w:rPr>
          <w:rFonts w:ascii="Arial" w:hAnsi="Arial"/>
          <w:b w:val="0"/>
          <w:color w:val="2D3748"/>
          <w:sz w:val="19"/>
        </w:rPr>
        <w:t>OpCode (1B, 0x01) | Batch Count N (1B, range 1-8) | Sequence Number (2B, uint16) | Base Timestamp (4B, uint32, ms epoch offset).</w:t>
      </w:r>
    </w:p>
    <w:p>
      <w:pPr>
        <w:spacing w:before="30" w:after="50"/>
        <w:ind w:left="288"/>
        <w:jc w:val="left"/>
      </w:pPr>
      <w:r>
        <w:rPr>
          <w:rFonts w:ascii="Arial" w:hAnsi="Arial"/>
          <w:b/>
          <w:color w:val="2B6CB0"/>
          <w:sz w:val="20"/>
        </w:rPr>
        <w:t xml:space="preserve">• </w:t>
      </w:r>
      <w:r>
        <w:rPr>
          <w:rFonts w:ascii="Arial" w:hAnsi="Arial"/>
          <w:b/>
          <w:color w:val="1A365D"/>
          <w:sz w:val="19"/>
        </w:rPr>
        <w:t xml:space="preserve">Individual Sample Struct (11 Bytes): </w:t>
      </w:r>
      <w:r>
        <w:rPr>
          <w:rFonts w:ascii="Arial" w:hAnsi="Arial"/>
          <w:b w:val="0"/>
          <w:color w:val="2D3748"/>
          <w:sz w:val="19"/>
        </w:rPr>
        <w:t>Delta_T (2B, uint16, ms offset) | X (2B, uint16, 0-1140) | Y (2B, uint16, 0-2200) | Pressure (2B, uint16, 0-4096) | TiltX (1B, int8, -90 to +90) | TiltY (1B, int8, -90 to +90) | Flags (1B: bit 0: InContact, bit 1: InBounds, bit 2: ButtonDown).</w:t>
      </w:r>
    </w:p>
    <w:p>
      <w:pPr>
        <w:spacing w:before="30" w:after="50"/>
        <w:ind w:left="288"/>
        <w:jc w:val="left"/>
      </w:pPr>
      <w:r>
        <w:rPr>
          <w:rFonts w:ascii="Arial" w:hAnsi="Arial"/>
          <w:b/>
          <w:color w:val="2B6CB0"/>
          <w:sz w:val="20"/>
        </w:rPr>
        <w:t xml:space="preserve">• </w:t>
      </w:r>
      <w:r>
        <w:rPr>
          <w:rFonts w:ascii="Arial" w:hAnsi="Arial"/>
          <w:b/>
          <w:color w:val="1A365D"/>
          <w:sz w:val="19"/>
        </w:rPr>
        <w:t xml:space="preserve">Throughput Benchmark: </w:t>
      </w:r>
      <w:r>
        <w:rPr>
          <w:rFonts w:ascii="Arial" w:hAnsi="Arial"/>
          <w:b w:val="0"/>
          <w:color w:val="2D3748"/>
          <w:sz w:val="19"/>
        </w:rPr>
        <w:t>A 4-sample batched packet requires exactly 52 bytes. Sustained 200Hz transmission consumes only ~2.6 KB/s, delivering sub-20ms latency and 60 FPS mirror rendering with negligible thread utilization.</w:t>
      </w:r>
    </w:p>
    <w:p>
      <w:pPr>
        <w:spacing w:before="200" w:after="60"/>
        <w:jc w:val="left"/>
      </w:pPr>
      <w:r>
        <w:rPr>
          <w:rFonts w:ascii="Arial" w:hAnsi="Arial"/>
          <w:b/>
          <w:i w:val="0"/>
          <w:color w:val="2B6CB0"/>
          <w:sz w:val="24"/>
        </w:rPr>
        <w:t>3.2 WebSocket &amp; WebRTC Protocol OpCodes Dictionary</w:t>
      </w:r>
    </w:p>
    <w:p>
      <w:pPr>
        <w:spacing w:before="40" w:after="80"/>
        <w:jc w:val="left"/>
      </w:pPr>
      <w:r>
        <w:rPr>
          <w:rFonts w:ascii="Arial" w:hAnsi="Arial"/>
          <w:b w:val="0"/>
          <w:i w:val="0"/>
          <w:color w:val="2D3748"/>
          <w:sz w:val="20"/>
        </w:rPr>
        <w:t>The protocol dictionary is mapped to the relational database table protocol_opcodes, facilitating dynamic extensions for future feature sets: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2B6CB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OpCode</w:t>
            </w:r>
          </w:p>
        </w:tc>
        <w:tc>
          <w:tcPr>
            <w:tcW w:type="dxa" w:w="2556"/>
            <w:shd w:val="clear" w:color="auto" w:fill="2B6CB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Message Identifier</w:t>
            </w:r>
          </w:p>
        </w:tc>
        <w:tc>
          <w:tcPr>
            <w:tcW w:type="dxa" w:w="2556"/>
            <w:shd w:val="clear" w:color="auto" w:fill="2B6CB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Direction</w:t>
            </w:r>
          </w:p>
        </w:tc>
        <w:tc>
          <w:tcPr>
            <w:tcW w:type="dxa" w:w="2556"/>
            <w:shd w:val="clear" w:color="auto" w:fill="2B6CB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Functional Description &amp; Payload</w:t>
            </w:r>
          </w:p>
        </w:tc>
      </w:tr>
      <w:tr>
        <w:tc>
          <w:tcPr>
            <w:tcW w:type="dxa" w:w="255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0x01</w:t>
            </w:r>
          </w:p>
        </w:tc>
        <w:tc>
          <w:tcPr>
            <w:tcW w:type="dxa" w:w="255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PEN_TELEMETRY_BATCH</w:t>
            </w:r>
          </w:p>
        </w:tc>
        <w:tc>
          <w:tcPr>
            <w:tcW w:type="dxa" w:w="255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Tablet -&gt; Evaluator / Server</w:t>
            </w:r>
          </w:p>
        </w:tc>
        <w:tc>
          <w:tcPr>
            <w:tcW w:type="dxa" w:w="255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Batched binary ArrayBuffer payload containing 3-5 EMR point samples for live mirroring and storage.</w:t>
            </w:r>
          </w:p>
        </w:tc>
      </w:tr>
      <w:tr>
        <w:tc>
          <w:tcPr>
            <w:tcW w:type="dxa" w:w="2556"/>
            <w:shd w:val="clear" w:color="auto"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0x02</w:t>
            </w:r>
          </w:p>
        </w:tc>
        <w:tc>
          <w:tcPr>
            <w:tcW w:type="dxa" w:w="2556"/>
            <w:shd w:val="clear" w:color="auto"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VALIDATION_ERROR</w:t>
            </w:r>
          </w:p>
        </w:tc>
        <w:tc>
          <w:tcPr>
            <w:tcW w:type="dxa" w:w="2556"/>
            <w:shd w:val="clear" w:color="auto"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Tablet -&gt; Evaluator</w:t>
            </w:r>
          </w:p>
        </w:tc>
        <w:tc>
          <w:tcPr>
            <w:tcW w:type="dxa" w:w="2556"/>
            <w:shd w:val="clear" w:color="auto"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Real-time kinematic error notification: missed target waypoint, segment boundary breach, or premature pen lift.</w:t>
            </w:r>
          </w:p>
        </w:tc>
      </w:tr>
      <w:tr>
        <w:tc>
          <w:tcPr>
            <w:tcW w:type="dxa" w:w="255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0x03</w:t>
            </w:r>
          </w:p>
        </w:tc>
        <w:tc>
          <w:tcPr>
            <w:tcW w:type="dxa" w:w="255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SESSION_START</w:t>
            </w:r>
          </w:p>
        </w:tc>
        <w:tc>
          <w:tcPr>
            <w:tcW w:type="dxa" w:w="255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Evaluator -&gt; Tablet / Server</w:t>
            </w:r>
          </w:p>
        </w:tc>
        <w:tc>
          <w:tcPr>
            <w:tcW w:type="dxa" w:w="255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Initiates evaluation: locks canvas, starts master session timer, and triggers local USB video capture.</w:t>
            </w:r>
          </w:p>
        </w:tc>
      </w:tr>
      <w:tr>
        <w:tc>
          <w:tcPr>
            <w:tcW w:type="dxa" w:w="2556"/>
            <w:shd w:val="clear" w:color="auto"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0x04</w:t>
            </w:r>
          </w:p>
        </w:tc>
        <w:tc>
          <w:tcPr>
            <w:tcW w:type="dxa" w:w="2556"/>
            <w:shd w:val="clear" w:color="auto"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SESSION_PAUSE</w:t>
            </w:r>
          </w:p>
        </w:tc>
        <w:tc>
          <w:tcPr>
            <w:tcW w:type="dxa" w:w="2556"/>
            <w:shd w:val="clear" w:color="auto"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Evaluator -&gt; Tablet</w:t>
            </w:r>
          </w:p>
        </w:tc>
        <w:tc>
          <w:tcPr>
            <w:tcW w:type="dxa" w:w="2556"/>
            <w:shd w:val="clear" w:color="auto"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Temporarily pauses task: suspends pen input capture and pauses the master timer.</w:t>
            </w:r>
          </w:p>
        </w:tc>
      </w:tr>
      <w:tr>
        <w:tc>
          <w:tcPr>
            <w:tcW w:type="dxa" w:w="255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0x05</w:t>
            </w:r>
          </w:p>
        </w:tc>
        <w:tc>
          <w:tcPr>
            <w:tcW w:type="dxa" w:w="255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SESSION_STOP</w:t>
            </w:r>
          </w:p>
        </w:tc>
        <w:tc>
          <w:tcPr>
            <w:tcW w:type="dxa" w:w="255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Evaluator -&gt; Tablet / Server</w:t>
            </w:r>
          </w:p>
        </w:tc>
        <w:tc>
          <w:tcPr>
            <w:tcW w:type="dxa" w:w="255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Concludes task: closes pen channel, finalizes local video recording, and enqueues video for background upload.</w:t>
            </w:r>
          </w:p>
        </w:tc>
      </w:tr>
      <w:tr>
        <w:tc>
          <w:tcPr>
            <w:tcW w:type="dxa" w:w="2556"/>
            <w:shd w:val="clear" w:color="auto"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0x06</w:t>
            </w:r>
          </w:p>
        </w:tc>
        <w:tc>
          <w:tcPr>
            <w:tcW w:type="dxa" w:w="2556"/>
            <w:shd w:val="clear" w:color="auto"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CANVAS_CLEAR</w:t>
            </w:r>
          </w:p>
        </w:tc>
        <w:tc>
          <w:tcPr>
            <w:tcW w:type="dxa" w:w="2556"/>
            <w:shd w:val="clear" w:color="auto"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Evaluator -&gt; Tablet</w:t>
            </w:r>
          </w:p>
        </w:tc>
        <w:tc>
          <w:tcPr>
            <w:tcW w:type="dxa" w:w="2556"/>
            <w:shd w:val="clear" w:color="auto"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Clears the active canvas surface on the tablet upon evaluator command.</w:t>
            </w:r>
          </w:p>
        </w:tc>
      </w:tr>
      <w:tr>
        <w:tc>
          <w:tcPr>
            <w:tcW w:type="dxa" w:w="255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0x07</w:t>
            </w:r>
          </w:p>
        </w:tc>
        <w:tc>
          <w:tcPr>
            <w:tcW w:type="dxa" w:w="255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PIN_PAIRING_REQ</w:t>
            </w:r>
          </w:p>
        </w:tc>
        <w:tc>
          <w:tcPr>
            <w:tcW w:type="dxa" w:w="255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Tablet -&gt; Server / Evaluator</w:t>
            </w:r>
          </w:p>
        </w:tc>
        <w:tc>
          <w:tcPr>
            <w:tcW w:type="dxa" w:w="255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Broadcasts tablet 5-digit PIN for workstation pairing and handshake verification.</w:t>
            </w:r>
          </w:p>
        </w:tc>
      </w:tr>
      <w:tr>
        <w:tc>
          <w:tcPr>
            <w:tcW w:type="dxa" w:w="2556"/>
            <w:shd w:val="clear" w:color="auto"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0x08</w:t>
            </w:r>
          </w:p>
        </w:tc>
        <w:tc>
          <w:tcPr>
            <w:tcW w:type="dxa" w:w="2556"/>
            <w:shd w:val="clear" w:color="auto"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PIN_PAIRING_ACK</w:t>
            </w:r>
          </w:p>
        </w:tc>
        <w:tc>
          <w:tcPr>
            <w:tcW w:type="dxa" w:w="2556"/>
            <w:shd w:val="clear" w:color="auto"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Evaluator -&gt; Tablet</w:t>
            </w:r>
          </w:p>
        </w:tc>
        <w:tc>
          <w:tcPr>
            <w:tcW w:type="dxa" w:w="2556"/>
            <w:shd w:val="clear" w:color="auto"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Pairing acknowledgement: unlocks the tablet from the PIN screen to the task canvas.</w:t>
            </w:r>
          </w:p>
        </w:tc>
      </w:tr>
      <w:tr>
        <w:tc>
          <w:tcPr>
            <w:tcW w:type="dxa" w:w="255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0x09</w:t>
            </w:r>
          </w:p>
        </w:tc>
        <w:tc>
          <w:tcPr>
            <w:tcW w:type="dxa" w:w="255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TEMPLATE_LOAD</w:t>
            </w:r>
          </w:p>
        </w:tc>
        <w:tc>
          <w:tcPr>
            <w:tcW w:type="dxa" w:w="255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Evaluator -&gt; Tablet</w:t>
            </w:r>
          </w:p>
        </w:tc>
        <w:tc>
          <w:tcPr>
            <w:tcW w:type="dxa" w:w="255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Dispatches chosen task template definition (JSON) to initialize tablet boundaries and waypoints.</w:t>
            </w:r>
          </w:p>
        </w:tc>
      </w:tr>
      <w:tr>
        <w:tc>
          <w:tcPr>
            <w:tcW w:type="dxa" w:w="2556"/>
            <w:shd w:val="clear" w:color="auto"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0x0A</w:t>
            </w:r>
          </w:p>
        </w:tc>
        <w:tc>
          <w:tcPr>
            <w:tcW w:type="dxa" w:w="2556"/>
            <w:shd w:val="clear" w:color="auto"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SANITY_CHECK_TAP</w:t>
            </w:r>
          </w:p>
        </w:tc>
        <w:tc>
          <w:tcPr>
            <w:tcW w:type="dxa" w:w="2556"/>
            <w:shd w:val="clear" w:color="auto"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Tablet -&gt; Evaluator</w:t>
            </w:r>
          </w:p>
        </w:tc>
        <w:tc>
          <w:tcPr>
            <w:tcW w:type="dxa" w:w="2556"/>
            <w:shd w:val="clear" w:color="auto"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Reports 3-second calibration tap delta to verify zero viewport offset and absence of magnetic interference.</w:t>
            </w:r>
          </w:p>
        </w:tc>
      </w:tr>
    </w:tbl>
    <w:p>
      <w:pPr>
        <w:spacing w:before="280" w:after="80"/>
        <w:jc w:val="left"/>
      </w:pPr>
      <w:r>
        <w:rPr>
          <w:rFonts w:ascii="Arial" w:hAnsi="Arial"/>
          <w:b/>
          <w:i w:val="0"/>
          <w:color w:val="1A365D"/>
          <w:sz w:val="29"/>
        </w:rPr>
        <w:t>4. Relational Database Schema &amp; TimescaleDB Hypertables</w:t>
      </w:r>
    </w:p>
    <w:p>
      <w:pPr>
        <w:spacing w:before="200" w:after="60"/>
        <w:jc w:val="left"/>
      </w:pPr>
      <w:r>
        <w:rPr>
          <w:rFonts w:ascii="Arial" w:hAnsi="Arial"/>
          <w:b/>
          <w:i w:val="0"/>
          <w:color w:val="2B6CB0"/>
          <w:sz w:val="24"/>
        </w:rPr>
        <w:t>4.1 PostgreSQL Core Relational Schema (DDL)</w:t>
      </w:r>
    </w:p>
    <w:p>
      <w:pPr>
        <w:spacing w:before="40" w:after="80"/>
        <w:jc w:val="left"/>
      </w:pPr>
      <w:r>
        <w:rPr>
          <w:rFonts w:ascii="Arial" w:hAnsi="Arial"/>
          <w:b w:val="0"/>
          <w:i w:val="0"/>
          <w:color w:val="2D3748"/>
          <w:sz w:val="20"/>
        </w:rPr>
        <w:t>The database architecture is centered on the Session entity, linking administrative domains, RBAC users, paired tablets, and encrypted video URIs:</w:t>
      </w:r>
    </w:p>
    <w:p>
      <w:pPr>
        <w:spacing w:before="60" w:after="120"/>
        <w:jc w:val="left"/>
      </w:pPr>
      <w:r>
        <w:rPr>
          <w:rFonts w:ascii="Courier New" w:hAnsi="Courier New"/>
          <w:color w:val="1A365D"/>
          <w:sz w:val="15"/>
        </w:rPr>
        <w:t>-- 1. Administrative Domains (Regions, Municipalities, Schools)</w:t>
        <w:br/>
        <w:t>CREATE TABLE domains (</w:t>
        <w:br/>
        <w:t xml:space="preserve">    domain_id SERIAL PRIMARY KEY,</w:t>
        <w:br/>
        <w:t xml:space="preserve">    domain_name VARCHAR(100) NOT NULL UNIQUE,</w:t>
        <w:br/>
        <w:t xml:space="preserve">    domain_description TEXT,</w:t>
        <w:br/>
        <w:t xml:space="preserve">    created_at TIMESTAMP WITH TIME ZONE DEFAULT CURRENT_TIMESTAMP</w:t>
        <w:br/>
        <w:t>);</w:t>
        <w:br/>
        <w:br/>
        <w:t>-- 2. System Users (Admin, Evaluator, Analyst)</w:t>
        <w:br/>
        <w:t>CREATE TABLE users (</w:t>
        <w:br/>
        <w:t xml:space="preserve">    user_id UUID PRIMARY KEY DEFAULT gen_random_uuid(),</w:t>
        <w:br/>
        <w:t xml:space="preserve">    email VARCHAR(255) NOT NULL UNIQUE,</w:t>
        <w:br/>
        <w:t xml:space="preserve">    password_hash VARCHAR(255) NOT NULL,</w:t>
        <w:br/>
        <w:t xml:space="preserve">    secondary_email VARCHAR(255),</w:t>
        <w:br/>
        <w:t xml:space="preserve">    role VARCHAR(20) NOT NULL CHECK (role IN ('ADMIN', 'DIAGNOSTICIAN', 'ANALYST')),</w:t>
        <w:br/>
        <w:t xml:space="preserve">    domain_id INT REFERENCES domains(domain_id) ON DELETE SET NULL,</w:t>
        <w:br/>
        <w:t xml:space="preserve">    is_active BOOLEAN DEFAULT TRUE,</w:t>
        <w:br/>
        <w:t xml:space="preserve">    created_at TIMESTAMP WITH TIME ZONE DEFAULT CURRENT_TIMESTAMP</w:t>
        <w:br/>
        <w:t>);</w:t>
        <w:br/>
        <w:br/>
        <w:t>-- 3. Registered Tablets (5-Digit PIN Identification)</w:t>
        <w:br/>
        <w:t>CREATE TABLE tablets (</w:t>
        <w:br/>
        <w:t xml:space="preserve">    tablet_id SERIAL PRIMARY KEY,</w:t>
        <w:br/>
        <w:t xml:space="preserve">    pairing_pin VARCHAR(5) NOT NULL UNIQUE,</w:t>
        <w:br/>
        <w:t xml:space="preserve">    device_name VARCHAR(100) DEFAULT 'Wacom DTHA116',</w:t>
        <w:br/>
        <w:t xml:space="preserve">    local_ip VARCHAR(45),</w:t>
        <w:br/>
        <w:t xml:space="preserve">    last_seen_at TIMESTAMP WITH TIME ZONE DEFAULT CURRENT_TIMESTAMP</w:t>
        <w:br/>
        <w:t>);</w:t>
        <w:br/>
        <w:br/>
        <w:t>-- 4. Block Page Task Templates (Declarative Schema)</w:t>
        <w:br/>
        <w:t>CREATE TABLE block_templates (</w:t>
        <w:br/>
        <w:t xml:space="preserve">    template_id VARCHAR(50) PRIMARY KEY,</w:t>
        <w:br/>
        <w:t xml:space="preserve">    template_name VARCHAR(100) NOT NULL,</w:t>
        <w:br/>
        <w:t xml:space="preserve">    canvas_width INT DEFAULT 1140,</w:t>
        <w:br/>
        <w:t xml:space="preserve">    canvas_height INT DEFAULT 2200,</w:t>
        <w:br/>
        <w:t xml:space="preserve">    template_schema JSONB NOT NULL,</w:t>
        <w:br/>
        <w:t xml:space="preserve">    created_at TIMESTAMP WITH TIME ZONE DEFAULT CURRENT_TIMESTAMP</w:t>
        <w:br/>
        <w:t>);</w:t>
        <w:br/>
        <w:br/>
        <w:t>-- 5. Diagnostic Sessions Master Entity</w:t>
        <w:br/>
        <w:t>CREATE TABLE sessions (</w:t>
        <w:br/>
        <w:t xml:space="preserve">    session_id UUID PRIMARY KEY DEFAULT gen_random_uuid(),</w:t>
        <w:br/>
        <w:t xml:space="preserve">    session_number BIGSERIAL UNIQUE,</w:t>
        <w:br/>
        <w:t xml:space="preserve">    domain_id INT NOT NULL REFERENCES domains(domain_id),</w:t>
        <w:br/>
        <w:t xml:space="preserve">    evaluator_id UUID NOT NULL REFERENCES users(user_id),</w:t>
        <w:br/>
        <w:t xml:space="preserve">    tablet_id INT REFERENCES tablets(tablet_id),</w:t>
        <w:br/>
        <w:t xml:space="preserve">    examinee_alias VARCHAR(50) NOT NULL,</w:t>
        <w:br/>
        <w:t xml:space="preserve">    template_id VARCHAR(50) REFERENCES block_templates(template_id),</w:t>
        <w:br/>
        <w:t xml:space="preserve">    status VARCHAR(20) DEFAULT 'INITIALIZED' CHECK (status IN ('INITIALIZED', 'ACTIVE', 'PAUSED', 'COMPLETED', 'ABORTED')),</w:t>
        <w:br/>
        <w:t xml:space="preserve">    sync_status VARCHAR(20) DEFAULT 'LOCAL_ONLY' CHECK (sync_status IN ('LOCAL_ONLY', 'SYNCING', 'SYNCED_TO_CLOUD')),</w:t>
        <w:br/>
        <w:t xml:space="preserve">    start_time TIMESTAMP WITH TIME ZONE,</w:t>
        <w:br/>
        <w:t xml:space="preserve">    end_time TIMESTAMP WITH TIME ZONE,</w:t>
        <w:br/>
        <w:t xml:space="preserve">    duration_ms INT DEFAULT 0,</w:t>
        <w:br/>
        <w:t xml:space="preserve">    video_file_url TEXT NULL,</w:t>
        <w:br/>
        <w:t xml:space="preserve">    video_upload_status VARCHAR(20) DEFAULT 'NONE',</w:t>
        <w:br/>
        <w:t xml:space="preserve">    created_at TIMESTAMP WITH TIME ZONE DEFAULT CURRENT_TIMESTAMP</w:t>
        <w:br/>
        <w:t>);</w:t>
        <w:br/>
        <w:br/>
        <w:t>-- 6. Time-Stamped Diagnostic Errors Log</w:t>
        <w:br/>
        <w:t>CREATE TABLE session_errors (</w:t>
        <w:br/>
        <w:t xml:space="preserve">    error_id BIGSERIAL PRIMARY KEY,</w:t>
        <w:br/>
        <w:t xml:space="preserve">    session_id UUID NOT NULL REFERENCES sessions(session_id) ON DELETE CASCADE,</w:t>
        <w:br/>
        <w:t xml:space="preserve">    segment_id INT NOT NULL,</w:t>
        <w:br/>
        <w:t xml:space="preserve">    error_type VARCHAR(30) NOT NULL,</w:t>
        <w:br/>
        <w:t xml:space="preserve">    error_details JSONB,</w:t>
        <w:br/>
        <w:t xml:space="preserve">    timestamp_ms INT NOT NULL</w:t>
        <w:br/>
        <w:t>);</w:t>
        <w:br/>
        <w:br/>
        <w:t>-- 7. Protocol OpCodes Dictionary Table</w:t>
        <w:br/>
        <w:t>CREATE TABLE protocol_opcodes (</w:t>
        <w:br/>
        <w:t xml:space="preserve">    opcode_hex VARCHAR(4) PRIMARY KEY,</w:t>
        <w:br/>
        <w:t xml:space="preserve">    code_name VARCHAR(50) NOT NULL UNIQUE,</w:t>
        <w:br/>
        <w:t xml:space="preserve">    direction VARCHAR(50) NOT NULL,</w:t>
        <w:br/>
        <w:t xml:space="preserve">    category VARCHAR(30) NOT NULL,</w:t>
        <w:br/>
        <w:t xml:space="preserve">    description TEXT,</w:t>
        <w:br/>
        <w:t xml:space="preserve">    is_active BOOLEAN DEFAULT TRUE</w:t>
        <w:br/>
        <w:t>);</w:t>
      </w:r>
    </w:p>
    <w:p>
      <w:pPr>
        <w:spacing w:before="200" w:after="60"/>
        <w:jc w:val="left"/>
      </w:pPr>
      <w:r>
        <w:rPr>
          <w:rFonts w:ascii="Arial" w:hAnsi="Arial"/>
          <w:b/>
          <w:i w:val="0"/>
          <w:color w:val="2B6CB0"/>
          <w:sz w:val="24"/>
        </w:rPr>
        <w:t>4.2 TimescaleDB Hypertables &amp; Compression Policies</w:t>
      </w:r>
    </w:p>
    <w:p>
      <w:pPr>
        <w:spacing w:before="40" w:after="80"/>
        <w:jc w:val="left"/>
      </w:pPr>
      <w:r>
        <w:rPr>
          <w:rFonts w:ascii="Arial" w:hAnsi="Arial"/>
          <w:b w:val="0"/>
          <w:i w:val="0"/>
          <w:color w:val="2D3748"/>
          <w:sz w:val="20"/>
        </w:rPr>
        <w:t>High-density stylus point streams are persisted in a specialized time-series table transformed into a TimescaleDB Hypertable:</w:t>
      </w:r>
    </w:p>
    <w:p>
      <w:pPr>
        <w:spacing w:before="60" w:after="120"/>
        <w:jc w:val="left"/>
      </w:pPr>
      <w:r>
        <w:rPr>
          <w:rFonts w:ascii="Courier New" w:hAnsi="Courier New"/>
          <w:color w:val="2B6CB0"/>
          <w:sz w:val="15"/>
        </w:rPr>
        <w:t>-- Biometric Stylus Telemetry Table</w:t>
        <w:br/>
        <w:t>CREATE TABLE pen_telemetry (</w:t>
        <w:br/>
        <w:t xml:space="preserve">    session_id UUID NOT NULL,</w:t>
        <w:br/>
        <w:t xml:space="preserve">    sample_time TIMESTAMP WITH TIME ZONE NOT NULL,</w:t>
        <w:br/>
        <w:t xml:space="preserve">    delta_ms INT NOT NULL,</w:t>
        <w:br/>
        <w:t xml:space="preserve">    x NUMERIC(7,2) NOT NULL,</w:t>
        <w:br/>
        <w:t xml:space="preserve">    y NUMERIC(7,2) NOT NULL,</w:t>
        <w:br/>
        <w:t xml:space="preserve">    z_hover BOOLEAN DEFAULT FALSE,</w:t>
        <w:br/>
        <w:t xml:space="preserve">    pressure INT NOT NULL CHECK (pressure BETWEEN 0 AND 4096),</w:t>
        <w:br/>
        <w:t xml:space="preserve">    tilt_x SMALLINT DEFAULT 0,</w:t>
        <w:br/>
        <w:t xml:space="preserve">    tilt_y SMALLINT DEFAULT 0,</w:t>
        <w:br/>
        <w:t xml:space="preserve">    flags SMALLINT DEFAULT 0</w:t>
        <w:br/>
        <w:t>);</w:t>
        <w:br/>
        <w:br/>
        <w:t>-- Convert to TimescaleDB Hypertable</w:t>
        <w:br/>
        <w:t xml:space="preserve">SELECT create_hypertable('pen_telemetry', 'sample_time', </w:t>
        <w:br/>
        <w:t xml:space="preserve">    chunk_time_interval =&gt; INTERVAL '1 day',</w:t>
        <w:br/>
        <w:t xml:space="preserve">    if_not_exists =&gt; TRUE</w:t>
        <w:br/>
        <w:t>);</w:t>
        <w:br/>
        <w:br/>
        <w:t>-- Compound Index for Sub-Millisecond Replay Queries</w:t>
        <w:br/>
        <w:t>CREATE INDEX idx_pen_telemetry_session_time ON pen_telemetry (session_id, delta_ms ASC);</w:t>
        <w:br/>
        <w:br/>
        <w:t>-- Enable Native Columnar Compression Grouped by Session</w:t>
        <w:br/>
        <w:t>ALTER TABLE pen_telemetry SET (</w:t>
        <w:br/>
        <w:t xml:space="preserve">    timescaledb.compress,</w:t>
        <w:br/>
        <w:t xml:space="preserve">    timescaledb.compress_segmentby = 'session_id',</w:t>
        <w:br/>
        <w:t xml:space="preserve">    timescaledb.compress_orderby = 'delta_ms ASC'</w:t>
        <w:br/>
        <w:t>);</w:t>
      </w:r>
    </w:p>
    <w:p>
      <w:pPr>
        <w:spacing w:before="30" w:after="50"/>
        <w:ind w:left="288"/>
        <w:jc w:val="left"/>
      </w:pPr>
      <w:r>
        <w:rPr>
          <w:rFonts w:ascii="Arial" w:hAnsi="Arial"/>
          <w:b/>
          <w:color w:val="2B6CB0"/>
          <w:sz w:val="20"/>
        </w:rPr>
        <w:t xml:space="preserve">• </w:t>
      </w:r>
      <w:r>
        <w:rPr>
          <w:rFonts w:ascii="Arial" w:hAnsi="Arial"/>
          <w:b/>
          <w:color w:val="1A365D"/>
          <w:sz w:val="19"/>
        </w:rPr>
        <w:t xml:space="preserve">Configurable Chunk Partitioning: </w:t>
      </w:r>
      <w:r>
        <w:rPr>
          <w:rFonts w:ascii="Arial" w:hAnsi="Arial"/>
          <w:b w:val="0"/>
          <w:color w:val="2D3748"/>
          <w:sz w:val="19"/>
        </w:rPr>
        <w:t>Chunk interval is managed externally via environment configuration (ENV: TIMESCALE_CHUNK_INTERVAL, default 1 day). This ensures operational adaptability across deployment scales.</w:t>
      </w:r>
    </w:p>
    <w:p>
      <w:pPr>
        <w:spacing w:before="30" w:after="50"/>
        <w:ind w:left="288"/>
        <w:jc w:val="left"/>
      </w:pPr>
      <w:r>
        <w:rPr>
          <w:rFonts w:ascii="Arial" w:hAnsi="Arial"/>
          <w:b/>
          <w:color w:val="2B6CB0"/>
          <w:sz w:val="20"/>
        </w:rPr>
        <w:t xml:space="preserve">• </w:t>
      </w:r>
      <w:r>
        <w:rPr>
          <w:rFonts w:ascii="Arial" w:hAnsi="Arial"/>
          <w:b/>
          <w:color w:val="1A365D"/>
          <w:sz w:val="19"/>
        </w:rPr>
        <w:t xml:space="preserve">Transparent Columnar Compression: </w:t>
      </w:r>
      <w:r>
        <w:rPr>
          <w:rFonts w:ascii="Arial" w:hAnsi="Arial"/>
          <w:b w:val="0"/>
          <w:color w:val="2D3748"/>
          <w:sz w:val="19"/>
        </w:rPr>
        <w:t>Upon session completion (status = 'COMPLETED'), an automated background compression job compresses the chunk. This achieves 85-90% disk space reduction while preserving full SQL queryability for analyst pipelines without decompression overhead.</w:t>
      </w:r>
    </w:p>
    <w:p>
      <w:pPr>
        <w:spacing w:before="280" w:after="80"/>
        <w:jc w:val="left"/>
      </w:pPr>
      <w:r>
        <w:rPr>
          <w:rFonts w:ascii="Arial" w:hAnsi="Arial"/>
          <w:b/>
          <w:i w:val="0"/>
          <w:color w:val="1A365D"/>
          <w:sz w:val="29"/>
        </w:rPr>
        <w:t>5. Network Topology, Cloud Infrastructure &amp; Local P2P Fallback</w:t>
      </w:r>
    </w:p>
    <w:p>
      <w:pPr>
        <w:spacing w:before="200" w:after="60"/>
        <w:jc w:val="left"/>
      </w:pPr>
      <w:r>
        <w:rPr>
          <w:rFonts w:ascii="Arial" w:hAnsi="Arial"/>
          <w:b/>
          <w:i w:val="0"/>
          <w:color w:val="2B6CB0"/>
          <w:sz w:val="24"/>
        </w:rPr>
        <w:t>5.1 Educational Research Cloud Hosting Alternatives</w:t>
      </w:r>
    </w:p>
    <w:p>
      <w:pPr>
        <w:spacing w:before="40" w:after="80"/>
        <w:jc w:val="left"/>
      </w:pPr>
      <w:r>
        <w:rPr>
          <w:rFonts w:ascii="Arial" w:hAnsi="Arial"/>
          <w:b w:val="0"/>
          <w:i w:val="0"/>
          <w:color w:val="2D3748"/>
          <w:sz w:val="20"/>
        </w:rPr>
        <w:t>Because ILT is designed as an open-source educational research platform, cloud hosting infrastructure focuses on cost predictability and open-source compatibility:</w:t>
      </w:r>
    </w:p>
    <w:p>
      <w:pPr>
        <w:spacing w:before="30" w:after="50"/>
        <w:ind w:left="288"/>
        <w:jc w:val="left"/>
      </w:pPr>
      <w:r>
        <w:rPr>
          <w:rFonts w:ascii="Arial" w:hAnsi="Arial"/>
          <w:b/>
          <w:color w:val="2B6CB0"/>
          <w:sz w:val="20"/>
        </w:rPr>
        <w:t xml:space="preserve">• </w:t>
      </w:r>
      <w:r>
        <w:rPr>
          <w:rFonts w:ascii="Arial" w:hAnsi="Arial"/>
          <w:b/>
          <w:color w:val="1A365D"/>
          <w:sz w:val="19"/>
        </w:rPr>
        <w:t xml:space="preserve">Global Cloud Providers (AWS / Google Cloud / Azure Research): </w:t>
      </w:r>
      <w:r>
        <w:rPr>
          <w:rFonts w:ascii="Arial" w:hAnsi="Arial"/>
          <w:b w:val="0"/>
          <w:color w:val="2D3748"/>
          <w:sz w:val="19"/>
        </w:rPr>
        <w:t>Major cloud vendors offer dedicated academic grant programs (e.g., AWS Cloud for Research Grants, Google Cloud Research Credits) that subsidize compute and storage. They offer premier container orchestration (EKS/GKE), automated multi-zone failover, and compliance certifications.</w:t>
      </w:r>
    </w:p>
    <w:p>
      <w:pPr>
        <w:spacing w:before="30" w:after="50"/>
        <w:ind w:left="288"/>
        <w:jc w:val="left"/>
      </w:pPr>
      <w:r>
        <w:rPr>
          <w:rFonts w:ascii="Arial" w:hAnsi="Arial"/>
          <w:b/>
          <w:color w:val="2B6CB0"/>
          <w:sz w:val="20"/>
        </w:rPr>
        <w:t xml:space="preserve">• </w:t>
      </w:r>
      <w:r>
        <w:rPr>
          <w:rFonts w:ascii="Arial" w:hAnsi="Arial"/>
          <w:b/>
          <w:color w:val="1A365D"/>
          <w:sz w:val="19"/>
        </w:rPr>
        <w:t xml:space="preserve">Open-Source Friendly Infrastructure (Hetzner / OVHcloud): </w:t>
      </w:r>
      <w:r>
        <w:rPr>
          <w:rFonts w:ascii="Arial" w:hAnsi="Arial"/>
          <w:b w:val="0"/>
          <w:color w:val="2D3748"/>
          <w:sz w:val="19"/>
        </w:rPr>
        <w:t>Leading European bare-metal and VPS providers deliver fixed, highly predictable monthly costs with unmetered bandwidth (no egress fees), making them optimal for academic research labs operating under fixed university budgets.</w:t>
      </w:r>
    </w:p>
    <w:p>
      <w:pPr>
        <w:spacing w:before="200" w:after="60"/>
        <w:jc w:val="left"/>
      </w:pPr>
      <w:r>
        <w:rPr>
          <w:rFonts w:ascii="Arial" w:hAnsi="Arial"/>
          <w:b/>
          <w:i w:val="0"/>
          <w:color w:val="2B6CB0"/>
          <w:sz w:val="24"/>
        </w:rPr>
        <w:t>5.2 Local P2P Wi-Fi Direct Channel (Zero WAN Dependency)</w:t>
      </w:r>
    </w:p>
    <w:p>
      <w:pPr>
        <w:spacing w:before="40" w:after="80"/>
        <w:jc w:val="left"/>
      </w:pPr>
      <w:r>
        <w:rPr>
          <w:rFonts w:ascii="Arial" w:hAnsi="Arial"/>
          <w:b w:val="0"/>
          <w:i w:val="0"/>
          <w:color w:val="2D3748"/>
          <w:sz w:val="20"/>
        </w:rPr>
        <w:t>In school and clinic environments, the student tablet and evaluator PC typically share a local Wi-Fi router. The network architecture leverages this topology:</w:t>
      </w:r>
    </w:p>
    <w:p>
      <w:pPr>
        <w:spacing w:before="30" w:after="50"/>
        <w:ind w:left="288"/>
        <w:jc w:val="left"/>
      </w:pPr>
      <w:r>
        <w:rPr>
          <w:rFonts w:ascii="Arial" w:hAnsi="Arial"/>
          <w:b/>
          <w:color w:val="2B6CB0"/>
          <w:sz w:val="20"/>
        </w:rPr>
        <w:t xml:space="preserve">• </w:t>
      </w:r>
      <w:r>
        <w:rPr>
          <w:rFonts w:ascii="Arial" w:hAnsi="Arial"/>
          <w:b/>
          <w:color w:val="1A365D"/>
          <w:sz w:val="19"/>
        </w:rPr>
        <w:t xml:space="preserve">Direct Local P2P Channel (WebRTC DataChannel / Local WSS): </w:t>
      </w:r>
      <w:r>
        <w:rPr>
          <w:rFonts w:ascii="Arial" w:hAnsi="Arial"/>
          <w:b w:val="0"/>
          <w:color w:val="2D3748"/>
          <w:sz w:val="19"/>
        </w:rPr>
        <w:t>Stylus data streams directly across the local LAN subnet. Telemetry latency drops below 15ms, and the evaluation remains fully functional even during total external WAN outages.</w:t>
      </w:r>
    </w:p>
    <w:p>
      <w:pPr>
        <w:spacing w:before="30" w:after="50"/>
        <w:ind w:left="288"/>
        <w:jc w:val="left"/>
      </w:pPr>
      <w:r>
        <w:rPr>
          <w:rFonts w:ascii="Arial" w:hAnsi="Arial"/>
          <w:b/>
          <w:color w:val="2B6CB0"/>
          <w:sz w:val="20"/>
        </w:rPr>
        <w:t xml:space="preserve">• </w:t>
      </w:r>
      <w:r>
        <w:rPr>
          <w:rFonts w:ascii="Arial" w:hAnsi="Arial"/>
          <w:b/>
          <w:color w:val="1A365D"/>
          <w:sz w:val="19"/>
        </w:rPr>
        <w:t xml:space="preserve">Asynchronous Session Cloud Sync: </w:t>
      </w:r>
      <w:r>
        <w:rPr>
          <w:rFonts w:ascii="Arial" w:hAnsi="Arial"/>
          <w:b w:val="0"/>
          <w:color w:val="2D3748"/>
          <w:sz w:val="19"/>
        </w:rPr>
        <w:t>Telemetry points and error events are buffered in local browser storage (IndexedDB on evaluator PC / tablet). When internet connectivity becomes available and the workstation is idle, a background sync agent performs a bulk ingestion into PostgreSQL/TimescaleDB and streams the local video file to MinIO.</w:t>
      </w:r>
    </w:p>
    <w:p>
      <w:pPr>
        <w:spacing w:before="280" w:after="80"/>
        <w:jc w:val="left"/>
      </w:pPr>
      <w:r>
        <w:rPr>
          <w:rFonts w:ascii="Arial" w:hAnsi="Arial"/>
          <w:b/>
          <w:i w:val="0"/>
          <w:color w:val="1A365D"/>
          <w:sz w:val="29"/>
        </w:rPr>
        <w:t>6. Tablet Kiosk Configuration &amp; Device Management</w:t>
      </w:r>
    </w:p>
    <w:p>
      <w:pPr>
        <w:spacing w:before="40" w:after="80"/>
        <w:jc w:val="left"/>
      </w:pPr>
      <w:r>
        <w:rPr>
          <w:rFonts w:ascii="Arial" w:hAnsi="Arial"/>
          <w:b w:val="0"/>
          <w:i w:val="0"/>
          <w:color w:val="2D3748"/>
          <w:sz w:val="20"/>
        </w:rPr>
        <w:t>To prevent accidental app switching, gesture interruptions, or sleep modes during evaluations:</w:t>
      </w:r>
    </w:p>
    <w:p>
      <w:pPr>
        <w:spacing w:before="30" w:after="50"/>
        <w:ind w:left="288"/>
        <w:jc w:val="left"/>
      </w:pPr>
      <w:r>
        <w:rPr>
          <w:rFonts w:ascii="Arial" w:hAnsi="Arial"/>
          <w:b/>
          <w:color w:val="2B6CB0"/>
          <w:sz w:val="20"/>
        </w:rPr>
        <w:t xml:space="preserve">• </w:t>
      </w:r>
      <w:r>
        <w:rPr>
          <w:rFonts w:ascii="Arial" w:hAnsi="Arial"/>
          <w:b/>
          <w:color w:val="1A365D"/>
          <w:sz w:val="19"/>
        </w:rPr>
        <w:t xml:space="preserve">Dedicated Kiosk Shell: Fully Kiosk Browser: </w:t>
      </w:r>
      <w:r>
        <w:rPr>
          <w:rFonts w:ascii="Arial" w:hAnsi="Arial"/>
          <w:b w:val="0"/>
          <w:color w:val="2D3748"/>
          <w:sz w:val="19"/>
        </w:rPr>
        <w:t>Selected as the turnkey runtime for Android on the Wacom DTHA116. It enforces Lock Task Mode, completely blocks Android navigation and status bars, enables auto-launch on device boot, and ensures native hardware-accelerated WebGL/Canvas rendering.</w:t>
      </w:r>
    </w:p>
    <w:p>
      <w:pPr>
        <w:spacing w:before="30" w:after="50"/>
        <w:ind w:left="288"/>
        <w:jc w:val="left"/>
      </w:pPr>
      <w:r>
        <w:rPr>
          <w:rFonts w:ascii="Arial" w:hAnsi="Arial"/>
          <w:b/>
          <w:color w:val="2B6CB0"/>
          <w:sz w:val="20"/>
        </w:rPr>
        <w:t xml:space="preserve">• </w:t>
      </w:r>
      <w:r>
        <w:rPr>
          <w:rFonts w:ascii="Arial" w:hAnsi="Arial"/>
          <w:b/>
          <w:color w:val="1A365D"/>
          <w:sz w:val="19"/>
        </w:rPr>
        <w:t xml:space="preserve">Open-Source Android Wrapper (Custom TWA): </w:t>
      </w:r>
      <w:r>
        <w:rPr>
          <w:rFonts w:ascii="Arial" w:hAnsi="Arial"/>
          <w:b w:val="0"/>
          <w:color w:val="2D3748"/>
          <w:sz w:val="19"/>
        </w:rPr>
        <w:t>Alternative custom APK based on Trusted Web Activities (TWA) registered as Device Owner, utilizing Android's native `startLockTask()` API.</w:t>
      </w:r>
    </w:p>
    <w:p>
      <w:pPr>
        <w:spacing w:before="30" w:after="50"/>
        <w:ind w:left="288"/>
        <w:jc w:val="left"/>
      </w:pPr>
      <w:r>
        <w:rPr>
          <w:rFonts w:ascii="Arial" w:hAnsi="Arial"/>
          <w:b/>
          <w:color w:val="2B6CB0"/>
          <w:sz w:val="20"/>
        </w:rPr>
        <w:t xml:space="preserve">• </w:t>
      </w:r>
      <w:r>
        <w:rPr>
          <w:rFonts w:ascii="Arial" w:hAnsi="Arial"/>
          <w:b/>
          <w:color w:val="1A365D"/>
          <w:sz w:val="19"/>
        </w:rPr>
        <w:t xml:space="preserve">Screen WakeLock API: </w:t>
      </w:r>
      <w:r>
        <w:rPr>
          <w:rFonts w:ascii="Arial" w:hAnsi="Arial"/>
          <w:b w:val="0"/>
          <w:color w:val="2D3748"/>
          <w:sz w:val="19"/>
        </w:rPr>
        <w:t>The client application invokes `navigator.wakeLock.request('screen')` on task initiation, ensuring the digitizer display remains fully awake while the child plans strokes between segments.</w:t>
      </w:r>
    </w:p>
    <w:p>
      <w:pPr>
        <w:spacing w:before="280" w:after="80"/>
        <w:jc w:val="left"/>
      </w:pPr>
      <w:r>
        <w:rPr>
          <w:rFonts w:ascii="Arial" w:hAnsi="Arial"/>
          <w:b/>
          <w:i w:val="0"/>
          <w:color w:val="1A365D"/>
          <w:sz w:val="29"/>
        </w:rPr>
        <w:t>7. Two-Phase Block Canvas Template Authoring Tooling</w:t>
      </w:r>
    </w:p>
    <w:p>
      <w:pPr>
        <w:spacing w:before="40" w:after="80"/>
        <w:jc w:val="left"/>
      </w:pPr>
      <w:r>
        <w:rPr>
          <w:rFonts w:ascii="Arial" w:hAnsi="Arial"/>
          <w:b w:val="0"/>
          <w:i w:val="0"/>
          <w:color w:val="2D3748"/>
          <w:sz w:val="20"/>
        </w:rPr>
        <w:t>Block pages contain segmented grids and target waypoints requiring continuous strokes. Template generation follows a structured two-phase roadmap:</w:t>
      </w:r>
    </w:p>
    <w:p>
      <w:pPr>
        <w:spacing w:before="30" w:after="50"/>
        <w:ind w:left="288"/>
        <w:jc w:val="left"/>
      </w:pPr>
      <w:r>
        <w:rPr>
          <w:rFonts w:ascii="Arial" w:hAnsi="Arial"/>
          <w:b/>
          <w:color w:val="2B6CB0"/>
          <w:sz w:val="20"/>
        </w:rPr>
        <w:t xml:space="preserve">• </w:t>
      </w:r>
      <w:r>
        <w:rPr>
          <w:rFonts w:ascii="Arial" w:hAnsi="Arial"/>
          <w:b/>
          <w:color w:val="1A365D"/>
          <w:sz w:val="19"/>
        </w:rPr>
        <w:t xml:space="preserve">Phase 1: In-Situ Pen Calibration Mode on Tablet: </w:t>
      </w:r>
      <w:r>
        <w:rPr>
          <w:rFonts w:ascii="Arial" w:hAnsi="Arial"/>
          <w:b w:val="0"/>
          <w:color w:val="2D3748"/>
          <w:sz w:val="19"/>
        </w:rPr>
        <w:t>1. Upload task graphic (PNG/SVG, 1140x2200). 2. Layer 1 (Grid Structure): Touching grid corners with the EMR stylus auto-generates bounding boxes. 3. Layer 2 (Movement Waypoints): Touching target points sequentially (P1 -&gt; P2 -&gt; P3) records sub-pixel coordinates. The system automatically compiles the declarative JSON schema into the database.</w:t>
      </w:r>
    </w:p>
    <w:p>
      <w:pPr>
        <w:spacing w:before="30" w:after="50"/>
        <w:ind w:left="288"/>
        <w:jc w:val="left"/>
      </w:pPr>
      <w:r>
        <w:rPr>
          <w:rFonts w:ascii="Arial" w:hAnsi="Arial"/>
          <w:b/>
          <w:color w:val="2B6CB0"/>
          <w:sz w:val="20"/>
        </w:rPr>
        <w:t xml:space="preserve">• </w:t>
      </w:r>
      <w:r>
        <w:rPr>
          <w:rFonts w:ascii="Arial" w:hAnsi="Arial"/>
          <w:b/>
          <w:color w:val="1A365D"/>
          <w:sz w:val="19"/>
        </w:rPr>
        <w:t xml:space="preserve">Phase 2: AI &amp; Computer Vision Template Generator: </w:t>
      </w:r>
      <w:r>
        <w:rPr>
          <w:rFonts w:ascii="Arial" w:hAnsi="Arial"/>
          <w:b w:val="0"/>
          <w:color w:val="2D3748"/>
          <w:sz w:val="19"/>
        </w:rPr>
        <w:t>Future extension utilizing contour detection and OCR algorithms to process scanned test sheets, automatically suggesting grid segments and target coordinates for administrative verification.</w:t>
      </w:r>
    </w:p>
    <w:p>
      <w:pPr>
        <w:spacing w:before="280" w:after="80"/>
        <w:jc w:val="left"/>
      </w:pPr>
      <w:r>
        <w:rPr>
          <w:rFonts w:ascii="Arial" w:hAnsi="Arial"/>
          <w:b/>
          <w:i w:val="0"/>
          <w:color w:val="1A365D"/>
          <w:sz w:val="29"/>
        </w:rPr>
        <w:t>8. Observational Video Subsystem &amp; Real-Time Kinematic Validation FSM</w:t>
      </w:r>
    </w:p>
    <w:p>
      <w:pPr>
        <w:spacing w:before="30" w:after="50"/>
        <w:ind w:left="288"/>
        <w:jc w:val="left"/>
      </w:pPr>
      <w:r>
        <w:rPr>
          <w:rFonts w:ascii="Arial" w:hAnsi="Arial"/>
          <w:b/>
          <w:color w:val="2B6CB0"/>
          <w:sz w:val="20"/>
        </w:rPr>
        <w:t xml:space="preserve">• </w:t>
      </w:r>
      <w:r>
        <w:rPr>
          <w:rFonts w:ascii="Arial" w:hAnsi="Arial"/>
          <w:b/>
          <w:color w:val="1A365D"/>
          <w:sz w:val="19"/>
        </w:rPr>
        <w:t xml:space="preserve">Local Recording via OPFS: </w:t>
      </w:r>
      <w:r>
        <w:rPr>
          <w:rFonts w:ascii="Arial" w:hAnsi="Arial"/>
          <w:b w:val="0"/>
          <w:color w:val="2D3748"/>
          <w:sz w:val="19"/>
        </w:rPr>
        <w:t>A standard USB HD camera connects directly to the Evaluator PC. Upon [Start Task], the browser records local WebM/H.264 streams directly into the Origin Private File System (OPFS), imposing zero network strain during active tests.</w:t>
      </w:r>
    </w:p>
    <w:p>
      <w:pPr>
        <w:spacing w:before="30" w:after="50"/>
        <w:ind w:left="288"/>
        <w:jc w:val="left"/>
      </w:pPr>
      <w:r>
        <w:rPr>
          <w:rFonts w:ascii="Arial" w:hAnsi="Arial"/>
          <w:b/>
          <w:color w:val="2B6CB0"/>
          <w:sz w:val="20"/>
        </w:rPr>
        <w:t xml:space="preserve">• </w:t>
      </w:r>
      <w:r>
        <w:rPr>
          <w:rFonts w:ascii="Arial" w:hAnsi="Arial"/>
          <w:b/>
          <w:color w:val="1A365D"/>
          <w:sz w:val="19"/>
        </w:rPr>
        <w:t xml:space="preserve">Exclusive Evaluator Access (Strict Privacy): </w:t>
      </w:r>
      <w:r>
        <w:rPr>
          <w:rFonts w:ascii="Arial" w:hAnsi="Arial"/>
          <w:b w:val="0"/>
          <w:color w:val="2D3748"/>
          <w:sz w:val="19"/>
        </w:rPr>
        <w:t>Video recordings are exclusively viewable by the diagnosing evaluator (`evaluator_id = current_user.id`). Analysts receive access only to de-identified telemetry graphs and kinematic statistics.</w:t>
      </w:r>
    </w:p>
    <w:p>
      <w:pPr>
        <w:spacing w:before="30" w:after="50"/>
        <w:ind w:left="288"/>
        <w:jc w:val="left"/>
      </w:pPr>
      <w:r>
        <w:rPr>
          <w:rFonts w:ascii="Arial" w:hAnsi="Arial"/>
          <w:b/>
          <w:color w:val="2B6CB0"/>
          <w:sz w:val="20"/>
        </w:rPr>
        <w:t xml:space="preserve">• </w:t>
      </w:r>
      <w:r>
        <w:rPr>
          <w:rFonts w:ascii="Arial" w:hAnsi="Arial"/>
          <w:b/>
          <w:color w:val="1A365D"/>
          <w:sz w:val="19"/>
        </w:rPr>
        <w:t xml:space="preserve">Cascading Deletion: </w:t>
      </w:r>
      <w:r>
        <w:rPr>
          <w:rFonts w:ascii="Arial" w:hAnsi="Arial"/>
          <w:b w:val="0"/>
          <w:color w:val="2D3748"/>
          <w:sz w:val="19"/>
        </w:rPr>
        <w:t>Telemetry and video are retained until explicitly deleted. Deleting a Session triggers cascading deletion across PostgreSQL, TimescaleDB, and MinIO storage.</w:t>
      </w:r>
    </w:p>
    <w:p>
      <w:pPr>
        <w:spacing w:before="30" w:after="50"/>
        <w:ind w:left="288"/>
        <w:jc w:val="left"/>
      </w:pPr>
      <w:r>
        <w:rPr>
          <w:rFonts w:ascii="Arial" w:hAnsi="Arial"/>
          <w:b/>
          <w:color w:val="2B6CB0"/>
          <w:sz w:val="20"/>
        </w:rPr>
        <w:t xml:space="preserve">• </w:t>
      </w:r>
      <w:r>
        <w:rPr>
          <w:rFonts w:ascii="Arial" w:hAnsi="Arial"/>
          <w:b/>
          <w:color w:val="1A365D"/>
          <w:sz w:val="19"/>
        </w:rPr>
        <w:t xml:space="preserve">Real-Time Validation FSM: </w:t>
      </w:r>
      <w:r>
        <w:rPr>
          <w:rFonts w:ascii="Arial" w:hAnsi="Arial"/>
          <w:b w:val="0"/>
          <w:color w:val="2D3748"/>
          <w:sz w:val="19"/>
        </w:rPr>
        <w:t>Edge validation on the tablet continuously evaluates: (1) `POINTS_MISSED` (stroke vector failing to intersect waypoint tolerance $R=18</w:t>
        <w:tab/>
        <w:t>ext{px}$), (2) `OUT_OF_BOUNDS` (pen pressure $&gt;0$ outside box), and (3) `PREMATURE_PEN_LIFT` (pressure dropping to 0 prior to completing all targets in a segment). Errors are instantly mirrored as red bounding boxes on the evaluator's 80% screen.</w:t>
      </w:r>
    </w:p>
    <w:p>
      <w:pPr>
        <w:spacing w:before="280" w:after="80"/>
        <w:jc w:val="left"/>
      </w:pPr>
      <w:r>
        <w:rPr>
          <w:rFonts w:ascii="Arial" w:hAnsi="Arial"/>
          <w:b/>
          <w:i w:val="0"/>
          <w:color w:val="1A365D"/>
          <w:sz w:val="29"/>
        </w:rPr>
        <w:t>9. System Architecture &amp; Process Diagrams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13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blo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3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hAnsi="Arial"/>
          <w:b w:val="0"/>
          <w:i/>
          <w:color w:val="64748B"/>
          <w:sz w:val="17"/>
        </w:rPr>
        <w:t>Figure 1: High-Level System Block Architecture Diagram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9940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dfd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4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hAnsi="Arial"/>
          <w:b w:val="0"/>
          <w:i/>
          <w:color w:val="64748B"/>
          <w:sz w:val="17"/>
        </w:rPr>
        <w:t>Figure 2: Data Flow Diagram - Level 0 (Context Diagram)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131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dfd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3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hAnsi="Arial"/>
          <w:b w:val="0"/>
          <w:i/>
          <w:color w:val="64748B"/>
          <w:sz w:val="17"/>
        </w:rPr>
        <w:t>Figure 3: Data Flow Diagram - Level 1 (Decomposition Diagram)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192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p2p_syn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hAnsi="Arial"/>
          <w:b w:val="0"/>
          <w:i/>
          <w:color w:val="64748B"/>
          <w:sz w:val="17"/>
        </w:rPr>
        <w:t>Figure 4: Local P2P Wi-Fi Architecture with Asynchronous Cloud Sync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059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template_work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5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hAnsi="Arial"/>
          <w:b w:val="0"/>
          <w:i/>
          <w:color w:val="64748B"/>
          <w:sz w:val="17"/>
        </w:rPr>
        <w:t>Figure 5: Two-Phase Block Canvas Template Creation Workflow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192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fs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hAnsi="Arial"/>
          <w:b w:val="0"/>
          <w:i/>
          <w:color w:val="64748B"/>
          <w:sz w:val="17"/>
        </w:rPr>
        <w:t>Figure 6: Real-Time Geometric &amp; Kinematic Error Validation FSM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059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video_work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5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hAnsi="Arial"/>
          <w:b w:val="0"/>
          <w:i/>
          <w:color w:val="64748B"/>
          <w:sz w:val="17"/>
        </w:rPr>
        <w:t>Figure 7: Local Observational Video Capture &amp; Idle Background Upload Workflow</w:t>
      </w:r>
    </w:p>
    <w:p>
      <w:pPr>
        <w:spacing w:before="280" w:after="80"/>
        <w:jc w:val="left"/>
      </w:pPr>
      <w:r>
        <w:rPr>
          <w:rFonts w:ascii="Arial" w:hAnsi="Arial"/>
          <w:b/>
          <w:i w:val="0"/>
          <w:color w:val="1A365D"/>
          <w:sz w:val="29"/>
        </w:rPr>
        <w:t>10. Open-Source Technology Stack &amp; Infrastructure Bootstrap Roadmap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2B6CB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Layer / Subsystem</w:t>
            </w:r>
          </w:p>
        </w:tc>
        <w:tc>
          <w:tcPr>
            <w:tcW w:type="dxa" w:w="2556"/>
            <w:shd w:val="clear" w:color="auto" w:fill="2B6CB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Primary Open-Source Tech</w:t>
            </w:r>
          </w:p>
        </w:tc>
        <w:tc>
          <w:tcPr>
            <w:tcW w:type="dxa" w:w="2556"/>
            <w:shd w:val="clear" w:color="auto" w:fill="2B6CB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Viable Alternative</w:t>
            </w:r>
          </w:p>
        </w:tc>
        <w:tc>
          <w:tcPr>
            <w:tcW w:type="dxa" w:w="2556"/>
            <w:shd w:val="clear" w:color="auto" w:fill="2B6CB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Architectural Role &amp; Value</w:t>
            </w:r>
          </w:p>
        </w:tc>
      </w:tr>
      <w:tr>
        <w:tc>
          <w:tcPr>
            <w:tcW w:type="dxa" w:w="255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Tablet Client Runtime</w:t>
            </w:r>
          </w:p>
        </w:tc>
        <w:tc>
          <w:tcPr>
            <w:tcW w:type="dxa" w:w="255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HTML5 Canvas + Vanilla JS</w:t>
            </w:r>
          </w:p>
        </w:tc>
        <w:tc>
          <w:tcPr>
            <w:tcW w:type="dxa" w:w="255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Preact</w:t>
            </w:r>
          </w:p>
        </w:tc>
        <w:tc>
          <w:tcPr>
            <w:tcW w:type="dxa" w:w="255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Zero runtime overhead, 60+ FPS stylus rendering on Android WebView.</w:t>
            </w:r>
          </w:p>
        </w:tc>
      </w:tr>
      <w:tr>
        <w:tc>
          <w:tcPr>
            <w:tcW w:type="dxa" w:w="2556"/>
            <w:shd w:val="clear" w:color="auto"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Evaluator Cockpit UI</w:t>
            </w:r>
          </w:p>
        </w:tc>
        <w:tc>
          <w:tcPr>
            <w:tcW w:type="dxa" w:w="2556"/>
            <w:shd w:val="clear" w:color="auto"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React / Next.js or Vue 3</w:t>
            </w:r>
          </w:p>
        </w:tc>
        <w:tc>
          <w:tcPr>
            <w:tcW w:type="dxa" w:w="2556"/>
            <w:shd w:val="clear" w:color="auto"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Svelte</w:t>
            </w:r>
          </w:p>
        </w:tc>
        <w:tc>
          <w:tcPr>
            <w:tcW w:type="dxa" w:w="2556"/>
            <w:shd w:val="clear" w:color="auto"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Modular reactive state management for 80% mirror and control telemetry.</w:t>
            </w:r>
          </w:p>
        </w:tc>
      </w:tr>
      <w:tr>
        <w:tc>
          <w:tcPr>
            <w:tcW w:type="dxa" w:w="255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Local Video Capture</w:t>
            </w:r>
          </w:p>
        </w:tc>
        <w:tc>
          <w:tcPr>
            <w:tcW w:type="dxa" w:w="255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MediaRecorder API + OPFS</w:t>
            </w:r>
          </w:p>
        </w:tc>
        <w:tc>
          <w:tcPr>
            <w:tcW w:type="dxa" w:w="255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IndexedDB Blob Stream</w:t>
            </w:r>
          </w:p>
        </w:tc>
        <w:tc>
          <w:tcPr>
            <w:tcW w:type="dxa" w:w="255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Direct-to-disk recording on evaluator PC without network saturation.</w:t>
            </w:r>
          </w:p>
        </w:tc>
      </w:tr>
      <w:tr>
        <w:tc>
          <w:tcPr>
            <w:tcW w:type="dxa" w:w="2556"/>
            <w:shd w:val="clear" w:color="auto"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Backend API &amp; Signaling</w:t>
            </w:r>
          </w:p>
        </w:tc>
        <w:tc>
          <w:tcPr>
            <w:tcW w:type="dxa" w:w="2556"/>
            <w:shd w:val="clear" w:color="auto"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Node.js (Fastify / ws) or Go</w:t>
            </w:r>
          </w:p>
        </w:tc>
        <w:tc>
          <w:tcPr>
            <w:tcW w:type="dxa" w:w="2556"/>
            <w:shd w:val="clear" w:color="auto"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Python FastAPI</w:t>
            </w:r>
          </w:p>
        </w:tc>
        <w:tc>
          <w:tcPr>
            <w:tcW w:type="dxa" w:w="2556"/>
            <w:shd w:val="clear" w:color="auto"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Handles hundreds of concurrent WebSockets with low memory footprint.</w:t>
            </w:r>
          </w:p>
        </w:tc>
      </w:tr>
      <w:tr>
        <w:tc>
          <w:tcPr>
            <w:tcW w:type="dxa" w:w="255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Primary Relational DB</w:t>
            </w:r>
          </w:p>
        </w:tc>
        <w:tc>
          <w:tcPr>
            <w:tcW w:type="dxa" w:w="255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PostgreSQL 16</w:t>
            </w:r>
          </w:p>
        </w:tc>
        <w:tc>
          <w:tcPr>
            <w:tcW w:type="dxa" w:w="255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MariaDB</w:t>
            </w:r>
          </w:p>
        </w:tc>
        <w:tc>
          <w:tcPr>
            <w:tcW w:type="dxa" w:w="255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Enterprise ACID compliance, robust JSONB support, and RBAC governance.</w:t>
            </w:r>
          </w:p>
        </w:tc>
      </w:tr>
      <w:tr>
        <w:tc>
          <w:tcPr>
            <w:tcW w:type="dxa" w:w="2556"/>
            <w:shd w:val="clear" w:color="auto"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Time-Series Kinematics Store</w:t>
            </w:r>
          </w:p>
        </w:tc>
        <w:tc>
          <w:tcPr>
            <w:tcW w:type="dxa" w:w="2556"/>
            <w:shd w:val="clear" w:color="auto"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TimescaleDB (Postgres Ext)</w:t>
            </w:r>
          </w:p>
        </w:tc>
        <w:tc>
          <w:tcPr>
            <w:tcW w:type="dxa" w:w="2556"/>
            <w:shd w:val="clear" w:color="auto"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ClickHouse</w:t>
            </w:r>
          </w:p>
        </w:tc>
        <w:tc>
          <w:tcPr>
            <w:tcW w:type="dxa" w:w="2556"/>
            <w:shd w:val="clear" w:color="auto" w:fill="F7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Sub-millisecond partitioning and native columnar compression of point streams.</w:t>
            </w:r>
          </w:p>
        </w:tc>
      </w:tr>
      <w:tr>
        <w:tc>
          <w:tcPr>
            <w:tcW w:type="dxa" w:w="255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Dedicated Object Storage</w:t>
            </w:r>
          </w:p>
        </w:tc>
        <w:tc>
          <w:tcPr>
            <w:tcW w:type="dxa" w:w="255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MinIO (S3-Compatible)</w:t>
            </w:r>
          </w:p>
        </w:tc>
        <w:tc>
          <w:tcPr>
            <w:tcW w:type="dxa" w:w="255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Ceph</w:t>
            </w:r>
          </w:p>
        </w:tc>
        <w:tc>
          <w:tcPr>
            <w:tcW w:type="dxa" w:w="255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Secure on-premises / cloud storage for session videos with SSE-S3 encryption.</w:t>
            </w:r>
          </w:p>
        </w:tc>
      </w:tr>
    </w:tbl>
    <w:p>
      <w:pPr>
        <w:spacing w:before="200" w:after="60"/>
        <w:jc w:val="left"/>
      </w:pPr>
      <w:r>
        <w:rPr>
          <w:rFonts w:ascii="Arial" w:hAnsi="Arial"/>
          <w:b/>
          <w:i w:val="0"/>
          <w:color w:val="2B6CB0"/>
          <w:sz w:val="24"/>
        </w:rPr>
        <w:t>10.1 Immediate Infrastructure Deployment Steps</w:t>
      </w:r>
    </w:p>
    <w:p>
      <w:pPr>
        <w:spacing w:before="30" w:after="50"/>
        <w:ind w:left="288"/>
        <w:jc w:val="left"/>
      </w:pPr>
      <w:r>
        <w:rPr>
          <w:rFonts w:ascii="Arial" w:hAnsi="Arial"/>
          <w:b/>
          <w:color w:val="2B6CB0"/>
          <w:sz w:val="20"/>
        </w:rPr>
        <w:t xml:space="preserve">• </w:t>
      </w:r>
      <w:r>
        <w:rPr>
          <w:rFonts w:ascii="Arial" w:hAnsi="Arial"/>
          <w:b/>
          <w:color w:val="1A365D"/>
          <w:sz w:val="19"/>
        </w:rPr>
        <w:t xml:space="preserve">Step 1: Containerized Foundation (Docker Compose): </w:t>
      </w:r>
      <w:r>
        <w:rPr>
          <w:rFonts w:ascii="Arial" w:hAnsi="Arial"/>
          <w:b w:val="0"/>
          <w:color w:val="2D3748"/>
          <w:sz w:val="19"/>
        </w:rPr>
        <w:t>Deploy base containers for PostgreSQL 16 (with TimescaleDB extension), MinIO Object Storage, Redis, Nginx Reverse Proxy, and WebSocket signaling stub.</w:t>
      </w:r>
    </w:p>
    <w:p>
      <w:pPr>
        <w:spacing w:before="30" w:after="50"/>
        <w:ind w:left="288"/>
        <w:jc w:val="left"/>
      </w:pPr>
      <w:r>
        <w:rPr>
          <w:rFonts w:ascii="Arial" w:hAnsi="Arial"/>
          <w:b/>
          <w:color w:val="2B6CB0"/>
          <w:sz w:val="20"/>
        </w:rPr>
        <w:t xml:space="preserve">• </w:t>
      </w:r>
      <w:r>
        <w:rPr>
          <w:rFonts w:ascii="Arial" w:hAnsi="Arial"/>
          <w:b/>
          <w:color w:val="1A365D"/>
          <w:sz w:val="19"/>
        </w:rPr>
        <w:t xml:space="preserve">Step 2: DDL Schema Deployment: </w:t>
      </w:r>
      <w:r>
        <w:rPr>
          <w:rFonts w:ascii="Arial" w:hAnsi="Arial"/>
          <w:b w:val="0"/>
          <w:color w:val="2D3748"/>
          <w:sz w:val="19"/>
        </w:rPr>
        <w:t>Execute the SQL initialization script (Section 4) creating relational tables, the telemetry hypertable, indices, and the protocol opcodes dictionary.</w:t>
      </w:r>
    </w:p>
    <w:p>
      <w:pPr>
        <w:spacing w:before="30" w:after="50"/>
        <w:ind w:left="288"/>
        <w:jc w:val="left"/>
      </w:pPr>
      <w:r>
        <w:rPr>
          <w:rFonts w:ascii="Arial" w:hAnsi="Arial"/>
          <w:b/>
          <w:color w:val="2B6CB0"/>
          <w:sz w:val="20"/>
        </w:rPr>
        <w:t xml:space="preserve">• </w:t>
      </w:r>
      <w:r>
        <w:rPr>
          <w:rFonts w:ascii="Arial" w:hAnsi="Arial"/>
          <w:b/>
          <w:color w:val="1A365D"/>
          <w:sz w:val="19"/>
        </w:rPr>
        <w:t xml:space="preserve">Step 3: Binary Protocol Implementation: </w:t>
      </w:r>
      <w:r>
        <w:rPr>
          <w:rFonts w:ascii="Arial" w:hAnsi="Arial"/>
          <w:b w:val="0"/>
          <w:color w:val="2D3748"/>
          <w:sz w:val="19"/>
        </w:rPr>
        <w:t>Implement TypeScript/JavaScript serialization modules for the 52-byte ArrayBuffer struct and 20ms batch window.</w:t>
      </w:r>
    </w:p>
    <w:p>
      <w:pPr>
        <w:spacing w:before="30" w:after="50"/>
        <w:ind w:left="288"/>
        <w:jc w:val="left"/>
      </w:pPr>
      <w:r>
        <w:rPr>
          <w:rFonts w:ascii="Arial" w:hAnsi="Arial"/>
          <w:b/>
          <w:color w:val="2B6CB0"/>
          <w:sz w:val="20"/>
        </w:rPr>
        <w:t xml:space="preserve">• </w:t>
      </w:r>
      <w:r>
        <w:rPr>
          <w:rFonts w:ascii="Arial" w:hAnsi="Arial"/>
          <w:b/>
          <w:color w:val="1A365D"/>
          <w:sz w:val="19"/>
        </w:rPr>
        <w:t xml:space="preserve">Step 4: End-to-End P2P Validation: </w:t>
      </w:r>
      <w:r>
        <w:rPr>
          <w:rFonts w:ascii="Arial" w:hAnsi="Arial"/>
          <w:b w:val="0"/>
          <w:color w:val="2D3748"/>
          <w:sz w:val="19"/>
        </w:rPr>
        <w:t>Verify direct local Wi-Fi telemetry mirroring between a physical Wacom DTHA116 tablet and an evaluator PC.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