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b/>
          <w:i w:val="0"/>
          <w:color w:val="2B6CB0"/>
          <w:sz w:val="18"/>
        </w:rPr>
        <w:t>ACADEMIC &amp; SOCIAL IMPACT SPONSORSHIP REQUEST</w:t>
      </w:r>
    </w:p>
    <w:p>
      <w:pPr>
        <w:spacing w:before="0" w:after="240"/>
        <w:jc w:val="left"/>
      </w:pPr>
      <w:r>
        <w:rPr>
          <w:rFonts w:ascii="Arial" w:hAnsi="Arial"/>
          <w:b/>
          <w:i w:val="0"/>
          <w:color w:val="1A365D"/>
          <w:sz w:val="32"/>
        </w:rPr>
        <w:t>Invented Letter Task (ILT) Educational Research Initiative</w:t>
      </w:r>
    </w:p>
    <w:p>
      <w:pPr>
        <w:spacing w:before="0" w:after="160"/>
        <w:jc w:val="left"/>
      </w:pPr>
      <w:r>
        <w:rPr>
          <w:rFonts w:ascii="Arial" w:hAnsi="Arial"/>
          <w:b w:val="0"/>
          <w:i w:val="0"/>
          <w:color w:val="64748B"/>
          <w:sz w:val="20"/>
        </w:rPr>
        <w:t>October 2026</w:t>
      </w:r>
    </w:p>
    <w:p>
      <w:pPr>
        <w:spacing w:before="0" w:after="240"/>
        <w:jc w:val="left"/>
      </w:pPr>
      <w:r>
        <w:rPr>
          <w:rFonts w:ascii="Arial" w:hAnsi="Arial"/>
          <w:b w:val="0"/>
          <w:i w:val="0"/>
          <w:color w:val="2D3748"/>
          <w:sz w:val="19"/>
        </w:rPr>
        <w:t>To:</w:t>
        <w:br/>
        <w:t>Mr. Nobutaka (Nobu) Ide, Representative Director, President &amp; CEO, Wacom Co., Ltd.</w:t>
        <w:br/>
        <w:t>Global Academic Relations, Education Partnerships &amp; CSR Division</w:t>
        <w:br/>
        <w:t>Wacom Co., Ltd. (Tokyo, Japan) / Wacom Technology Corporation (Portland, OR, USA) / WACOM Europe GmbH (Düsseldorf, Germany)</w:t>
        <w:br/>
        <w:t>Via: education@wacom.com | edusales@wacom.com</w:t>
      </w:r>
    </w:p>
    <w:p>
      <w:pPr>
        <w:spacing w:before="80" w:after="200"/>
        <w:jc w:val="left"/>
      </w:pPr>
      <w:r>
        <w:rPr>
          <w:rFonts w:ascii="Arial" w:hAnsi="Arial"/>
          <w:b/>
          <w:i w:val="0"/>
          <w:color w:val="1A365D"/>
          <w:sz w:val="22"/>
        </w:rPr>
        <w:t>SUBJECT: Sponsorship &amp; Hardware Donation Request: Open-Source ILT Platform for Early Screening of Learning &amp; Literacy Disabilities in Children (Wacom DTHA116 Deployment)</w:t>
      </w:r>
    </w:p>
    <w:p>
      <w:pPr>
        <w:spacing w:before="80" w:after="120"/>
        <w:jc w:val="left"/>
      </w:pPr>
      <w:r>
        <w:rPr>
          <w:rFonts w:ascii="Arial" w:hAnsi="Arial"/>
          <w:b w:val="0"/>
          <w:i w:val="0"/>
          <w:color w:val="2D3748"/>
          <w:sz w:val="20"/>
        </w:rPr>
        <w:t>Dear Mr. Ide, Esteemed Members of the Wacom Executive Leadership, and Education Partnerships Team,</w:t>
      </w:r>
    </w:p>
    <w:p>
      <w:pPr>
        <w:spacing w:before="40" w:after="120"/>
        <w:jc w:val="left"/>
      </w:pPr>
      <w:r>
        <w:rPr>
          <w:rFonts w:ascii="Arial" w:hAnsi="Arial"/>
          <w:b w:val="0"/>
          <w:i w:val="0"/>
          <w:color w:val="2D3748"/>
          <w:sz w:val="20"/>
        </w:rPr>
        <w:t>On behalf of the academic research and engineering team developing the Invented Letter Task (ILT) platform, we are writing to respectfully request Wacom's sponsorship through the donation of 6 to 10 units of the Wacom MovinkPad 11 (Model: DTHA116) pen tablets. This hardware will directly power a pioneering open-source educational research project focused on early screening and prevention of learning and literacy disabilities (dyslexia, dysgraphia, and reading comprehension deficits) among elementary school children, particularly those from low socioeconomic (Low-SES) backgrounds.</w:t>
      </w:r>
    </w:p>
    <w:p>
      <w:pPr>
        <w:spacing w:before="240" w:after="60"/>
        <w:jc w:val="left"/>
      </w:pPr>
      <w:r>
        <w:rPr>
          <w:rFonts w:ascii="Arial" w:hAnsi="Arial"/>
          <w:b/>
          <w:i w:val="0"/>
          <w:color w:val="1A365D"/>
          <w:sz w:val="26"/>
        </w:rPr>
        <w:t>1. Scientific Foundation &amp; Educational Imperative</w:t>
      </w:r>
    </w:p>
    <w:p>
      <w:pPr>
        <w:spacing w:before="40" w:after="80"/>
        <w:jc w:val="left"/>
      </w:pPr>
      <w:r>
        <w:rPr>
          <w:rFonts w:ascii="Arial" w:hAnsi="Arial"/>
          <w:b w:val="0"/>
          <w:i w:val="0"/>
          <w:color w:val="2D3748"/>
          <w:sz w:val="20"/>
        </w:rPr>
        <w:t>The ILT project is grounded in over a decade of empirical neurocognitive research led by Dr. Hagit Hollander and Prof. Esther Adi-Japha (School of Education, Bar-Ilan University). Their published research demonstrates that children's ability to acquire and consolidate a novel graphomotor skill—termed the Procedural Learning System (PLS)—serves as a highly reliable predictor of their future literacy and academic success at the end of the school year.</w:t>
      </w:r>
    </w:p>
    <w:p>
      <w:pPr>
        <w:spacing w:before="40" w:after="120"/>
        <w:jc w:val="left"/>
      </w:pPr>
      <w:r>
        <w:rPr>
          <w:rFonts w:ascii="Arial" w:hAnsi="Arial"/>
          <w:b w:val="0"/>
          <w:i w:val="0"/>
          <w:color w:val="2D3748"/>
          <w:sz w:val="20"/>
        </w:rPr>
        <w:t>Unlike testing real alphabet letters, which is heavily confounded by prior knowledge, home environment, and language exposure, the ILT isolates pure procedural motor learning by asking children to draw a novel 'invented letter' connecting three target points in a continuous stroke. Children who struggle with procedural motor consolidation are at high risk for written language impairments. Identifying these challenges early in Grade 2 enables targeted, life-changing pedagogical remediation before academic gaps become irreversible.</w:t>
      </w:r>
    </w:p>
    <w:p>
      <w:pPr>
        <w:spacing w:before="240" w:after="60"/>
        <w:jc w:val="left"/>
      </w:pPr>
      <w:r>
        <w:rPr>
          <w:rFonts w:ascii="Arial" w:hAnsi="Arial"/>
          <w:b/>
          <w:i w:val="0"/>
          <w:color w:val="1A365D"/>
          <w:sz w:val="26"/>
        </w:rPr>
        <w:t>2. Evolution from Legacy Wacom Digitizers to the Wacom MovinkPad 11 (DTHA116)</w:t>
      </w:r>
    </w:p>
    <w:p>
      <w:pPr>
        <w:spacing w:before="40" w:after="80"/>
        <w:jc w:val="left"/>
      </w:pPr>
      <w:r>
        <w:rPr>
          <w:rFonts w:ascii="Arial" w:hAnsi="Arial"/>
          <w:b w:val="0"/>
          <w:i w:val="0"/>
          <w:color w:val="2D3748"/>
          <w:sz w:val="20"/>
        </w:rPr>
        <w:t>For over a decade, our foundational research relied on legacy Wacom opaque digitizers overlaid with printed paper sheets. While Wacom's pen technology proved clinically indispensable, the physical paper setup required manual sheet swapping between every block, suffered from mechanical paper slippage, and lacked interactive constraints. To transition this proven clinical protocol into scalable school environments, we have architected an entirely digital, open-source software platform specifically tailored for Wacom's next-generation hardware.</w:t>
      </w:r>
    </w:p>
    <w:p>
      <w:pPr>
        <w:spacing w:before="40" w:after="80"/>
        <w:jc w:val="left"/>
      </w:pPr>
      <w:r>
        <w:rPr>
          <w:rFonts w:ascii="Arial" w:hAnsi="Arial"/>
          <w:b w:val="0"/>
          <w:i w:val="0"/>
          <w:color w:val="2D3748"/>
          <w:sz w:val="20"/>
        </w:rPr>
        <w:t>After rigorous technological evaluation, our team selected the Wacom MovinkPad 11 (DTHA116) as the sole optimal device capable of fulfilling the clinical requirements of our protocol:</w:t>
      </w:r>
    </w:p>
    <w:p>
      <w:pPr>
        <w:spacing w:before="30" w:after="50"/>
        <w:ind w:left="360"/>
        <w:jc w:val="left"/>
      </w:pPr>
      <w:r>
        <w:rPr>
          <w:rFonts w:ascii="Arial" w:hAnsi="Arial"/>
          <w:b/>
          <w:color w:val="2B6CB0"/>
          <w:sz w:val="20"/>
        </w:rPr>
        <w:t xml:space="preserve">• </w:t>
      </w:r>
      <w:r>
        <w:rPr>
          <w:rFonts w:ascii="Arial" w:hAnsi="Arial"/>
          <w:b/>
          <w:color w:val="1A365D"/>
          <w:sz w:val="20"/>
        </w:rPr>
        <w:t xml:space="preserve">Battery-Free EMR Precision: </w:t>
      </w:r>
      <w:r>
        <w:rPr>
          <w:rFonts w:ascii="Arial" w:hAnsi="Arial"/>
          <w:b w:val="0"/>
          <w:color w:val="2D3748"/>
          <w:sz w:val="20"/>
        </w:rPr>
        <w:t>Wacom's patented Electro-Magnetic Resonance technology provides the exact tactile feel, zero pen charging requirement, and natural hand ergonomics essential for young children.</w:t>
      </w:r>
    </w:p>
    <w:p>
      <w:pPr>
        <w:spacing w:before="30" w:after="50"/>
        <w:ind w:left="360"/>
        <w:jc w:val="left"/>
      </w:pPr>
      <w:r>
        <w:rPr>
          <w:rFonts w:ascii="Arial" w:hAnsi="Arial"/>
          <w:b/>
          <w:color w:val="2B6CB0"/>
          <w:sz w:val="20"/>
        </w:rPr>
        <w:t xml:space="preserve">• </w:t>
      </w:r>
      <w:r>
        <w:rPr>
          <w:rFonts w:ascii="Arial" w:hAnsi="Arial"/>
          <w:b/>
          <w:color w:val="1A365D"/>
          <w:sz w:val="20"/>
        </w:rPr>
        <w:t xml:space="preserve">High-Frequency Telemetry &amp; Dynamic Pressure: </w:t>
      </w:r>
      <w:r>
        <w:rPr>
          <w:rFonts w:ascii="Arial" w:hAnsi="Arial"/>
          <w:b w:val="0"/>
          <w:color w:val="2D3748"/>
          <w:sz w:val="20"/>
        </w:rPr>
        <w:t>Sampling at 133Hz–200Hz with 4,096 levels of pressure and in-air hover detection allows our algorithms to capture micro-tremors, pen hesitation, velocity profiles, and motor jerk metrics that distinguish typical learners from children with motor/literacy deficits.</w:t>
      </w:r>
    </w:p>
    <w:p>
      <w:pPr>
        <w:spacing w:before="30" w:after="50"/>
        <w:ind w:left="360"/>
        <w:jc w:val="left"/>
      </w:pPr>
      <w:r>
        <w:rPr>
          <w:rFonts w:ascii="Arial" w:hAnsi="Arial"/>
          <w:b/>
          <w:color w:val="2B6CB0"/>
          <w:sz w:val="20"/>
        </w:rPr>
        <w:t xml:space="preserve">• </w:t>
      </w:r>
      <w:r>
        <w:rPr>
          <w:rFonts w:ascii="Arial" w:hAnsi="Arial"/>
          <w:b/>
          <w:color w:val="1A365D"/>
          <w:sz w:val="20"/>
        </w:rPr>
        <w:t xml:space="preserve">Child-Friendly Aspect Ratio &amp; Portability: </w:t>
      </w:r>
      <w:r>
        <w:rPr>
          <w:rFonts w:ascii="Arial" w:hAnsi="Arial"/>
          <w:b w:val="0"/>
          <w:color w:val="2D3748"/>
          <w:sz w:val="20"/>
        </w:rPr>
        <w:t>The 11.45-inch display with 2200x1440 resolution and a 3:2 aspect ratio mirrors standard paper workbooks, while the lightweight 588g form factor ensures ease of transport across school clinics.</w:t>
      </w:r>
    </w:p>
    <w:p>
      <w:pPr>
        <w:spacing w:before="30" w:after="50"/>
        <w:ind w:left="360"/>
        <w:jc w:val="left"/>
      </w:pPr>
      <w:r>
        <w:rPr>
          <w:rFonts w:ascii="Arial" w:hAnsi="Arial"/>
          <w:b/>
          <w:color w:val="2B6CB0"/>
          <w:sz w:val="20"/>
        </w:rPr>
        <w:t xml:space="preserve">• </w:t>
      </w:r>
      <w:r>
        <w:rPr>
          <w:rFonts w:ascii="Arial" w:hAnsi="Arial"/>
          <w:b/>
          <w:color w:val="1A365D"/>
          <w:sz w:val="20"/>
        </w:rPr>
        <w:t xml:space="preserve">Dedicated Android OS &amp; Kiosk Lockdown: </w:t>
      </w:r>
      <w:r>
        <w:rPr>
          <w:rFonts w:ascii="Arial" w:hAnsi="Arial"/>
          <w:b w:val="0"/>
          <w:color w:val="2D3748"/>
          <w:sz w:val="20"/>
        </w:rPr>
        <w:t>The standalone Android environment allows our software to execute in full Kiosk mode (Lock Task Mode), completely removing distraction risks and eliminating the need for expensive host PCs in underprivileged classrooms.</w:t>
      </w:r>
    </w:p>
    <w:p>
      <w:pPr>
        <w:spacing w:before="240" w:after="60"/>
        <w:jc w:val="left"/>
      </w:pPr>
      <w:r>
        <w:rPr>
          <w:rFonts w:ascii="Arial" w:hAnsi="Arial"/>
          <w:b/>
          <w:i w:val="0"/>
          <w:color w:val="1A365D"/>
          <w:sz w:val="26"/>
        </w:rPr>
        <w:t>3. Scope of the Sponsorship Request</w:t>
      </w:r>
    </w:p>
    <w:p>
      <w:pPr>
        <w:spacing w:before="40" w:after="80"/>
        <w:jc w:val="left"/>
      </w:pPr>
      <w:r>
        <w:rPr>
          <w:rFonts w:ascii="Arial" w:hAnsi="Arial"/>
          <w:b w:val="0"/>
          <w:i w:val="0"/>
          <w:color w:val="2D3748"/>
          <w:sz w:val="20"/>
        </w:rPr>
        <w:t>To conduct our upcoming primary school pilot (commencing in the 2026/2027 academic year across Grade 2 classrooms in diverse socioeconomic districts), we are seeking Wacom's support through:</w:t>
      </w:r>
    </w:p>
    <w:p>
      <w:pPr>
        <w:spacing w:before="30" w:after="50"/>
        <w:ind w:left="360"/>
        <w:jc w:val="left"/>
      </w:pPr>
      <w:r>
        <w:rPr>
          <w:rFonts w:ascii="Arial" w:hAnsi="Arial"/>
          <w:b/>
          <w:color w:val="2B6CB0"/>
          <w:sz w:val="20"/>
        </w:rPr>
        <w:t xml:space="preserve">• </w:t>
      </w:r>
      <w:r>
        <w:rPr>
          <w:rFonts w:ascii="Arial" w:hAnsi="Arial"/>
          <w:b/>
          <w:color w:val="1A365D"/>
          <w:sz w:val="20"/>
        </w:rPr>
        <w:t xml:space="preserve">Hardware Donation: </w:t>
      </w:r>
      <w:r>
        <w:rPr>
          <w:rFonts w:ascii="Arial" w:hAnsi="Arial"/>
          <w:b w:val="0"/>
          <w:color w:val="2D3748"/>
          <w:sz w:val="20"/>
        </w:rPr>
        <w:t>6 to 10 units of Wacom MovinkPad 11 (Model DTHA116, with included EMR styluses). This hardware will equip field diagnostic kits, enabling our evaluators to validate both 1:1 individualized clinical assessments and simultaneous 1:4 small-group classroom screenings.</w:t>
      </w:r>
    </w:p>
    <w:p>
      <w:pPr>
        <w:spacing w:before="30" w:after="50"/>
        <w:ind w:left="360"/>
        <w:jc w:val="left"/>
      </w:pPr>
      <w:r>
        <w:rPr>
          <w:rFonts w:ascii="Arial" w:hAnsi="Arial"/>
          <w:b/>
          <w:color w:val="2B6CB0"/>
          <w:sz w:val="20"/>
        </w:rPr>
        <w:t xml:space="preserve">• </w:t>
      </w:r>
      <w:r>
        <w:rPr>
          <w:rFonts w:ascii="Arial" w:hAnsi="Arial"/>
          <w:b/>
          <w:color w:val="1A365D"/>
          <w:sz w:val="20"/>
        </w:rPr>
        <w:t xml:space="preserve">Technical / Developer Engagement: </w:t>
      </w:r>
      <w:r>
        <w:rPr>
          <w:rFonts w:ascii="Arial" w:hAnsi="Arial"/>
          <w:b w:val="0"/>
          <w:color w:val="2D3748"/>
          <w:sz w:val="20"/>
        </w:rPr>
        <w:t>Access to Wacom's Android EMR developer documentation or technical guidance for optimizing high-precision low-latency Web/Native pen event streaming.</w:t>
      </w:r>
    </w:p>
    <w:p>
      <w:pPr>
        <w:spacing w:before="240" w:after="60"/>
        <w:jc w:val="left"/>
      </w:pPr>
      <w:r>
        <w:rPr>
          <w:rFonts w:ascii="Arial" w:hAnsi="Arial"/>
          <w:b/>
          <w:i w:val="0"/>
          <w:color w:val="1A365D"/>
          <w:sz w:val="26"/>
        </w:rPr>
        <w:t>4. Mutual Value &amp; Wacom's Global Visibility</w:t>
      </w:r>
    </w:p>
    <w:p>
      <w:pPr>
        <w:spacing w:before="40" w:after="80"/>
        <w:jc w:val="left"/>
      </w:pPr>
      <w:r>
        <w:rPr>
          <w:rFonts w:ascii="Arial" w:hAnsi="Arial"/>
          <w:b w:val="0"/>
          <w:i w:val="0"/>
          <w:color w:val="2D3748"/>
          <w:sz w:val="20"/>
        </w:rPr>
        <w:t>As an open-source, non-commercial initiative dedicated to child welfare and educational neuroscience, this partnership offers substantial strategic value to Wacom's brand and Corporate Social Responsibility (CSR) mission:</w:t>
      </w:r>
    </w:p>
    <w:p>
      <w:pPr>
        <w:spacing w:before="30" w:after="50"/>
        <w:ind w:left="360"/>
        <w:jc w:val="left"/>
      </w:pPr>
      <w:r>
        <w:rPr>
          <w:rFonts w:ascii="Arial" w:hAnsi="Arial"/>
          <w:b/>
          <w:color w:val="2B6CB0"/>
          <w:sz w:val="20"/>
        </w:rPr>
        <w:t xml:space="preserve">• </w:t>
      </w:r>
      <w:r>
        <w:rPr>
          <w:rFonts w:ascii="Arial" w:hAnsi="Arial"/>
          <w:b/>
          <w:color w:val="1A365D"/>
          <w:sz w:val="20"/>
        </w:rPr>
        <w:t xml:space="preserve">Showcasing Wacom Technology in Clinical Neuroscience: </w:t>
      </w:r>
      <w:r>
        <w:rPr>
          <w:rFonts w:ascii="Arial" w:hAnsi="Arial"/>
          <w:b w:val="0"/>
          <w:color w:val="2D3748"/>
          <w:sz w:val="20"/>
        </w:rPr>
        <w:t>The project provides a premier real-world case study demonstrating how Wacom digital pen technology moves beyond creative art into mission-critical healthcare, cognitive diagnostics, and child developmental assessment.</w:t>
      </w:r>
    </w:p>
    <w:p>
      <w:pPr>
        <w:spacing w:before="30" w:after="50"/>
        <w:ind w:left="360"/>
        <w:jc w:val="left"/>
      </w:pPr>
      <w:r>
        <w:rPr>
          <w:rFonts w:ascii="Arial" w:hAnsi="Arial"/>
          <w:b/>
          <w:color w:val="2B6CB0"/>
          <w:sz w:val="20"/>
        </w:rPr>
        <w:t xml:space="preserve">• </w:t>
      </w:r>
      <w:r>
        <w:rPr>
          <w:rFonts w:ascii="Arial" w:hAnsi="Arial"/>
          <w:b/>
          <w:color w:val="1A365D"/>
          <w:sz w:val="20"/>
        </w:rPr>
        <w:t xml:space="preserve">Prominent Academic &amp; Public Recognition: </w:t>
      </w:r>
      <w:r>
        <w:rPr>
          <w:rFonts w:ascii="Arial" w:hAnsi="Arial"/>
          <w:b w:val="0"/>
          <w:color w:val="2D3748"/>
          <w:sz w:val="20"/>
        </w:rPr>
        <w:t>Wacom will be officially acknowledged as the Technology Partner and Hardware Sponsor in all published peer-reviewed academic papers, clinical conference presentations, and the open-source software repository (GitHub).</w:t>
      </w:r>
    </w:p>
    <w:p>
      <w:pPr>
        <w:spacing w:before="30" w:after="50"/>
        <w:ind w:left="360"/>
        <w:jc w:val="left"/>
      </w:pPr>
      <w:r>
        <w:rPr>
          <w:rFonts w:ascii="Arial" w:hAnsi="Arial"/>
          <w:b/>
          <w:color w:val="2B6CB0"/>
          <w:sz w:val="20"/>
        </w:rPr>
        <w:t xml:space="preserve">• </w:t>
      </w:r>
      <w:r>
        <w:rPr>
          <w:rFonts w:ascii="Arial" w:hAnsi="Arial"/>
          <w:b/>
          <w:color w:val="1A365D"/>
          <w:sz w:val="20"/>
        </w:rPr>
        <w:t xml:space="preserve">Global Social Impact for Vulnerable Children: </w:t>
      </w:r>
      <w:r>
        <w:rPr>
          <w:rFonts w:ascii="Arial" w:hAnsi="Arial"/>
          <w:b w:val="0"/>
          <w:color w:val="2D3748"/>
          <w:sz w:val="20"/>
        </w:rPr>
        <w:t>Direct alignment with Wacom's corporate vision of 'kaku' (the human act of drawing and writing) as a catalyst for human empowerment, ensuring that children from underprivileged backgrounds receive early, equitable developmental support.</w:t>
      </w:r>
    </w:p>
    <w:p>
      <w:pPr>
        <w:spacing w:before="240" w:after="60"/>
        <w:jc w:val="left"/>
      </w:pPr>
      <w:r>
        <w:rPr>
          <w:rFonts w:ascii="Arial" w:hAnsi="Arial"/>
          <w:b/>
          <w:i w:val="0"/>
          <w:color w:val="1A365D"/>
          <w:sz w:val="26"/>
        </w:rPr>
        <w:t>5. Conclusion &amp; Next Steps</w:t>
      </w:r>
    </w:p>
    <w:p>
      <w:pPr>
        <w:spacing w:before="40" w:after="80"/>
        <w:jc w:val="left"/>
      </w:pPr>
      <w:r>
        <w:rPr>
          <w:rFonts w:ascii="Arial" w:hAnsi="Arial"/>
          <w:b w:val="0"/>
          <w:i w:val="0"/>
          <w:color w:val="2D3748"/>
          <w:sz w:val="20"/>
        </w:rPr>
        <w:t>We have prepared complete technological specifications and functional architectural blueprints (available for your review), demonstrating full technological readiness for immediate deployment on the DTHA116.</w:t>
      </w:r>
    </w:p>
    <w:p>
      <w:pPr>
        <w:spacing w:before="40" w:after="120"/>
        <w:jc w:val="left"/>
      </w:pPr>
      <w:r>
        <w:rPr>
          <w:rFonts w:ascii="Arial" w:hAnsi="Arial"/>
          <w:b w:val="0"/>
          <w:i w:val="0"/>
          <w:color w:val="2D3748"/>
          <w:sz w:val="20"/>
        </w:rPr>
        <w:t>We would be honored to schedule a brief 20-minute introductory meeting with your Education Partnerships or Academic Relations representatives to demonstrate our software prototype, discuss logistical details, and explore how we can formalize this collaboration.</w:t>
      </w:r>
    </w:p>
    <w:p>
      <w:pPr>
        <w:spacing w:before="80" w:after="240"/>
        <w:jc w:val="left"/>
      </w:pPr>
      <w:r>
        <w:rPr>
          <w:rFonts w:ascii="Arial" w:hAnsi="Arial"/>
          <w:b w:val="0"/>
          <w:i w:val="0"/>
          <w:color w:val="2D3748"/>
          <w:sz w:val="20"/>
        </w:rPr>
        <w:t>Thank you very much for your time, vision, and enduring leadership in digital pen technology.</w:t>
      </w:r>
    </w:p>
    <w:p>
      <w:pPr>
        <w:spacing w:before="0" w:after="80"/>
        <w:jc w:val="left"/>
      </w:pPr>
      <w:r>
        <w:rPr>
          <w:rFonts w:ascii="Arial" w:hAnsi="Arial"/>
          <w:b w:val="0"/>
          <w:i w:val="0"/>
          <w:color w:val="2D3748"/>
          <w:sz w:val="20"/>
        </w:rPr>
        <w:t>Respectfully and sincerely yours,</w:t>
      </w:r>
    </w:p>
    <w:p>
      <w:pPr>
        <w:spacing w:before="0" w:after="0"/>
        <w:jc w:val="left"/>
      </w:pPr>
      <w:r>
        <w:rPr>
          <w:rFonts w:ascii="Arial" w:hAnsi="Arial"/>
          <w:b w:val="0"/>
          <w:i w:val="0"/>
          <w:color w:val="1A365D"/>
          <w:sz w:val="19"/>
        </w:rPr>
        <w:t>Yaki Grossman</w:t>
        <w:br/>
        <w:t>Project Lead &amp; Systems Architect, ILT Open-Source Initiative</w:t>
        <w:br/>
        <w:t>In collaboration with Dr. Hagit Hollander &amp; Prof. Esther Adi-Japha</w:t>
        <w:br/>
        <w:t>School of Education, Bar-Ilan University</w:t>
        <w:br/>
        <w:t>Email: yakig1@gmail.com | Phone: +972-54-444-XXXX</w:t>
        <w:br/>
        <w:t>Project Repository: https://github.com/ilt-platform (Educational Research Open Source)</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