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Calibri" w:hAnsi="Calibri" w:cs="Calibri"/>
          <w:b/>
          <w:i w:val="0"/>
          <w:color w:val="1A365D"/>
          <w:sz w:val="34"/>
        </w:rPr>
        <w:t>ILT Research System - Software Requirements Specification &amp; Functional Design (SRS / FRS v3.3)</w:t>
      </w:r>
    </w:p>
    <w:p>
      <w:pPr>
        <w:spacing w:before="0" w:after="160"/>
        <w:jc w:val="center"/>
      </w:pPr>
      <w:r>
        <w:rPr>
          <w:rFonts w:ascii="Calibri" w:hAnsi="Calibri" w:cs="Calibri"/>
          <w:b w:val="0"/>
          <w:i/>
          <w:color w:val="4A5568"/>
          <w:sz w:val="20"/>
        </w:rPr>
        <w:t>Functional Requirements, UI Wireframes, Workflows, Analyst Portal &amp; Replay Engine, Open-Source Cohort Analytics, and Clinical Graphomotor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Document ID: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ILT-FRS-V3.3-EN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Publication Date: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October 2026 (Release 3.3 Full Edition)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Clinical Basis: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Prof. Adi-Japha, Dr. Hollander, Dr. Dorfberger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Hardware: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Wacom MovinkPad 11 (Continuous Charging OK)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Analyst Capabilities: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Individual Session Replay + Open-Source Cohort Slices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Target Cohort: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Kindergarten to All Elementary Grades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Video Integration: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Agnostic RTSP/ONVIF/USB (Admin Disable Switch)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Timer Governance: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20s System Default (Director Auth Required)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1. Introduction, Objectives, and Clinical Research Foundation</w:t>
      </w:r>
    </w:p>
    <w:p>
      <w:pPr>
        <w:spacing w:before="40" w:after="80"/>
        <w:jc w:val="left"/>
      </w:pPr>
      <w:r>
        <w:rPr>
          <w:rFonts w:ascii="Calibri" w:hAnsi="Calibri" w:cs="Calibri"/>
          <w:b w:val="0"/>
          <w:i w:val="0"/>
          <w:color w:val="2D3748"/>
          <w:sz w:val="20"/>
        </w:rPr>
        <w:t>An open-source non-commercial educational research platform for early screening and remediation of learning disabilities across kindergarten and all elementary school grades, with Low-SES focus.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Clinical Validation Pilot Cohort: </w:t>
      </w:r>
      <w:r>
        <w:rPr>
          <w:rFonts w:ascii="Calibri" w:hAnsi="Calibri" w:cs="Calibri"/>
          <w:b w:val="0"/>
          <w:i w:val="0"/>
          <w:color w:val="2D3748"/>
          <w:sz w:val="20"/>
        </w:rPr>
        <w:t>50 children on digital tablet, 50 on standard paper, and 50 legacy historical datasets.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Continuous Charging Support: </w:t>
      </w:r>
      <w:r>
        <w:rPr>
          <w:rFonts w:ascii="Calibri" w:hAnsi="Calibri" w:cs="Calibri"/>
          <w:b w:val="0"/>
          <w:i w:val="0"/>
          <w:color w:val="2D3748"/>
          <w:sz w:val="20"/>
        </w:rPr>
        <w:t>Wacom MovinkPad 11 certified for continuous operation while plugged into USB-C PD power.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2. Summary of Clinical &amp; Operational Decisions (Release 3.3)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Domain</w:t>
            </w:r>
          </w:p>
        </w:tc>
        <w:tc>
          <w:tcPr>
            <w:tcW w:type="dxa" w:w="3888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Approved Policy</w:t>
            </w:r>
          </w:p>
        </w:tc>
        <w:tc>
          <w:tcPr>
            <w:tcW w:type="dxa" w:w="302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Technical Impact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Analyst Portal, Kinematic Replay &amp; Cohort Analytics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Analyst possesses independent database access (de-identified, not present during test). Ability to replay full stroke-by-stroke kinematics at 0.25x-4x speeds synced with desk video, and perform multi-dimensional cohort slice-and-dice using open-source tools (Apache Superset, DuckDB, Jupyter).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Dedicated Analyst Portal web app, Canvas kinematic replayer, analytical database views, and Parquet/DuckDB export pipeline.</w:t>
            </w:r>
          </w:p>
        </w:tc>
      </w:tr>
      <w:tr>
        <w:tc>
          <w:tcPr>
            <w:tcW w:type="dxa" w:w="57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2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3 Distinct Clinical Metrics (Prof. Esther Adi-Japha)</w:t>
            </w:r>
          </w:p>
        </w:tc>
        <w:tc>
          <w:tcPr>
            <w:tcW w:type="dxa" w:w="388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System preserves and reports 3 independent metrics: (1) Pen Lifts, (2) Accuracy %, (3) Total Time (w/ corrections), without collapsing into a single Z-score.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Distinct database columns; Comparative Summary Dashboard tracking 3 metrics independently against 4 anchor pairs.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3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Timer Governance &amp; Director Authorization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In-Transition = 20s, Inactivity Timeout = 20s. Domain overrides require Research Director authorization code and Admin tooltip.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Session snapshots; Director authorization lock; analytical timer factoring enabled in BI queries.</w:t>
            </w:r>
          </w:p>
        </w:tc>
      </w:tr>
      <w:tr>
        <w:tc>
          <w:tcPr>
            <w:tcW w:type="dxa" w:w="57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4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Camera-Agnostic Ingestion &amp; Video-Optional</w:t>
            </w:r>
          </w:p>
        </w:tc>
        <w:tc>
          <w:tcPr>
            <w:tcW w:type="dxa" w:w="388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Agnostic RTSP/ONVIF/USB ingestion (desk/hands only). System Admin toggle for video-optional administration.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go2rtc ingestion proxy; video_recording_enabled boolean flag in schema.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Unlimited Dynamic Templates Engine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Unlimited custom templates (10-line, 14-line, 1-line, custom grids, blank) across all elementary grades.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Table dynamic_templates with JSON ruling geometry and kinetic movement rules.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3. Clinical Workflows &amp; Research Analyst Subsystem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0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workflow_lifecycl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1: Comprehensive Clinical and System Lifecycle Workflow</w:t>
      </w:r>
    </w:p>
    <w:p>
      <w:pPr>
        <w:spacing w:before="200" w:after="60"/>
        <w:jc w:val="left"/>
      </w:pPr>
      <w:r>
        <w:rPr>
          <w:rFonts w:ascii="Calibri" w:hAnsi="Calibri" w:cs="Calibri"/>
          <w:b/>
          <w:i w:val="0"/>
          <w:color w:val="2B6CB0"/>
          <w:sz w:val="24"/>
        </w:rPr>
        <w:t>3.1 Research Analyst Portal: Kinematic Session Replay &amp; Cohort Analytics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Analyst Role &amp; Data Access Protocol: </w:t>
      </w:r>
      <w:r>
        <w:rPr>
          <w:rFonts w:ascii="Calibri" w:hAnsi="Calibri" w:cs="Calibri"/>
          <w:b w:val="0"/>
          <w:i w:val="0"/>
          <w:color w:val="2D3748"/>
          <w:sz w:val="20"/>
        </w:rPr>
        <w:t>The diagnostic analyst is not present during testing sessions, but possesses role-based access to the centralized research database. All data is de-identified (protected Participant ID without PII).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Individual Kinematic Stroke-by-Stroke Session Replay: </w:t>
      </w:r>
      <w:r>
        <w:rPr>
          <w:rFonts w:ascii="Calibri" w:hAnsi="Calibri" w:cs="Calibri"/>
          <w:b w:val="0"/>
          <w:i w:val="0"/>
          <w:color w:val="2D3748"/>
          <w:sz w:val="20"/>
        </w:rPr>
        <w:t>Full kinematic playback: timeline scrubber, speed controls (0.25x, 0.5x, 1x, 2x, 4x, frame step), 133Hz canvas stroke replayer with dynamic pressure heatmaps, yellow in-air hover paths, velocity/jerk profiles, and synchronized desk video playback from MinIO (when recorded).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Multi-Dimensional Cohort Slicing &amp; Analytics Dashboard: </w:t>
      </w:r>
      <w:r>
        <w:rPr>
          <w:rFonts w:ascii="Calibri" w:hAnsi="Calibri" w:cs="Calibri"/>
          <w:b w:val="0"/>
          <w:i w:val="0"/>
          <w:color w:val="2D3748"/>
          <w:sz w:val="20"/>
        </w:rPr>
        <w:t>Native integration with open-source analytics platforms (Apache Superset, Metabase, DuckDB, Jupyter): multi-dimensional cross-filtering by Domain, School, Grade, Low-SES status, Dominant hand, Language, Session stage, and Timer factoring ratio. Learning curve trajectories, box plots, and one-click Parquet/CSV export.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4. User Interface Specifications &amp; Analyst Wireframes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2: Evaluator Control &amp; Protocol Dispatcher Console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student_kiosk_canvas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3: Student Tablet Canvas with Forward-Only Dynamic Lock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notebook_canvas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4: Lined Notebook Canvas Aligned to Original Study Ruling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evaluator_cockpit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5: Proctor Cockpit (80% Live Mirror / 20% Telemetry)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6: Longitudinal Comparative Summary Dashboard (3 Distinct Metrics)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replay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7: Analyst Portal – Kinematic Session Replay Engine Synced with Desk Video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cohort_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8: Open-Source Cohort Slice-and-Dice Analytics Dashboard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756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tervention_tet_pag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5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9: Sample Graded Intervention Training Sheet (Hebrew Letter Tet)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5. Kinematic Error Models &amp; Freehand Row 3 Accuracy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cDTW &amp; Procrustes Algorithm for Freehand Row 3: </w:t>
      </w:r>
      <w:r>
        <w:rPr>
          <w:rFonts w:ascii="Calibri" w:hAnsi="Calibri" w:cs="Calibri"/>
          <w:b w:val="0"/>
          <w:i w:val="0"/>
          <w:color w:val="2D3748"/>
          <w:sz w:val="20"/>
        </w:rPr>
        <w:t>Resamples stroke to 100 points, computes shape similarity vs. canonical model, validates topology and baseline drift: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import numpy as np</w:t>
        <w:br/>
        <w:t>from scipy.spatial import procrustes</w:t>
        <w:br/>
        <w:t>from fastdtw import fastdtw</w:t>
        <w:br/>
        <w:br/>
        <w:t>def evaluate_freehand_row3(stroke_points: np.ndarray, canonical_points: np.ndarray, canonical_aspect_ratio: float) -&gt; dict:</w:t>
        <w:br/>
        <w:t xml:space="preserve">    if len(stroke_points) &lt; 10:</w:t>
        <w:br/>
        <w:t xml:space="preserve">        return {"composite_accuracy": 0.0, "diagnostic_tag": "EMPTY_OR_NOISE", "valid": False}</w:t>
        <w:br/>
        <w:br/>
        <w:t xml:space="preserve">    diffs = np.diff(stroke_points, axis=0)</w:t>
        <w:br/>
        <w:t xml:space="preserve">    dists = np.hypot(diffs[:, 0], diffs[:, 1])</w:t>
        <w:br/>
        <w:t xml:space="preserve">    cum_dist = np.insert(np.cumsum(dists), 0, 0)</w:t>
        <w:br/>
        <w:t xml:space="preserve">    total_len = cum_dist[-1]</w:t>
        <w:br/>
        <w:t xml:space="preserve">    even_spaces = np.linspace(0, total_len, 100)</w:t>
        <w:br/>
        <w:t xml:space="preserve">    resampled_stroke = np.column_stack((</w:t>
        <w:br/>
        <w:t xml:space="preserve">        np.interp(even_spaces, cum_dist, stroke_points[:, 0]),</w:t>
        <w:br/>
        <w:t xml:space="preserve">        np.interp(even_spaces, cum_dist, stroke_points[:, 1])</w:t>
        <w:br/>
        <w:t xml:space="preserve">    ))</w:t>
        <w:br/>
        <w:br/>
        <w:t xml:space="preserve">    norm_stroke = (resampled_stroke - np.mean(resampled_stroke, axis=0)) / (np.std(resampled_stroke) + 1e-6)</w:t>
        <w:br/>
        <w:t xml:space="preserve">    norm_canonical = (canonical_points - np.mean(canonical_points, axis=0)) / (np.std(canonical_points) + 1e-6)</w:t>
        <w:br/>
        <w:br/>
        <w:t xml:space="preserve">    _, _, disparity = procrustes(norm_canonical, norm_stroke)</w:t>
        <w:br/>
        <w:t xml:space="preserve">    procrustes_score = max(0.0, min(100.0, 100.0 * (1.0 - disparity * 2.2)))</w:t>
        <w:br/>
        <w:br/>
        <w:t xml:space="preserve">    dtw_dist, _ = fastdtw(norm_stroke, norm_canonical, dist=2)</w:t>
        <w:br/>
        <w:t xml:space="preserve">    dtw_score = max(0.0, min(100.0, 100.0 * (1.0 - (dtw_dist / 100.0))))</w:t>
        <w:br/>
        <w:br/>
        <w:t xml:space="preserve">    w, h = np.ptp(stroke_points[:, 0]), np.ptp(stroke_points[:, 1])</w:t>
        <w:br/>
        <w:t xml:space="preserve">    actual_ratio = w / (h + 1e-6)</w:t>
        <w:br/>
        <w:t xml:space="preserve">    ratio_dev_pct = abs(actual_ratio - canonical_aspect_ratio) / canonical_aspect_ratio * 100.0</w:t>
        <w:br/>
        <w:br/>
        <w:t xml:space="preserve">    composite_acc = 0.55 * procrustes_score + 0.30 * dtw_score + 0.15 * max(0.0, 100.0 - ratio_dev_pct)</w:t>
        <w:br/>
        <w:t xml:space="preserve">    tag = "ACCURATE" if composite_acc &gt;= 80.0 else ("PROPORTION_DISTORTION" if ratio_dev_pct &gt; 25.0 else "SHAPE_DEFORMATION")</w:t>
        <w:br/>
        <w:br/>
        <w:t xml:space="preserve">    return {</w:t>
        <w:br/>
        <w:t xml:space="preserve">        "composite_accuracy": round(composite_acc, 2),</w:t>
        <w:br/>
        <w:t xml:space="preserve">        "procrustes_score": round(procrustes_score, 2),</w:t>
        <w:br/>
        <w:t xml:space="preserve">        "dtw_distance": round(dtw_dist, 2),</w:t>
        <w:br/>
        <w:t xml:space="preserve">        "aspect_ratio_deviation_pct": round(ratio_dev_pct, 2),</w:t>
        <w:br/>
        <w:t xml:space="preserve">        "diagnostic_tag": tag,</w:t>
        <w:br/>
        <w:t xml:space="preserve">        "valid": True</w:t>
        <w:br/>
        <w:t xml:space="preserve">    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