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Functional Requirements Specification (FRS v3.4 - English)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Functional Requirements Specification Updated Edition: Wacom DTH-A116 240Hz Hardware Alignment, 6-Digit PIN Standardization, Privacy by Default, and Warm-Up Advancement Rules (Consolidated Edition)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Identifier: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ILT-FRS-V3.4-EN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Publication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22, 2026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Previous Baseline: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FRS v3.3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Digitizer: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(DTH-A116)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Pairing PIN Length: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6 Digits (Aligned with Architecture &amp; DDD)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Video Default Policy: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Disabled (DEFAULT FALSE, Consent Required)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Warm-Up Protocol: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3 Practice Items + 1 Valid Row of 5 Houses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Timer Governance: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20s Defaults (Director Authorization Only)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Core Functional Updates in FRS v3.4 (Consolidated Gap Resolution)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Pairing PIN Length Standardization (O4, O6): </w:t>
      </w:r>
      <w:r>
        <w:rPr>
          <w:rFonts w:ascii="Calibri" w:hAnsi="Calibri" w:cs="Calibri"/>
          <w:b w:val="0"/>
          <w:i w:val="0"/>
          <w:color w:val="2D3748"/>
          <w:sz w:val="20"/>
        </w:rPr>
        <w:t>Standardized pairing code length to 6 digits across all documents.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Child Privacy &amp; Video Recording Default (P1, O6): </w:t>
      </w:r>
      <w:r>
        <w:rPr>
          <w:rFonts w:ascii="Calibri" w:hAnsi="Calibri" w:cs="Calibri"/>
          <w:b w:val="0"/>
          <w:i w:val="0"/>
          <w:color w:val="2D3748"/>
          <w:sz w:val="20"/>
        </w:rPr>
        <w:t>Video recording is disabled by default (DEFAULT FALSE) requiring explicit parental consent.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Warm-Up Advancement Rule (C6, O6): </w:t>
      </w:r>
      <w:r>
        <w:rPr>
          <w:rFonts w:ascii="Calibri" w:hAnsi="Calibri" w:cs="Calibri"/>
          <w:b w:val="0"/>
          <w:i w:val="0"/>
          <w:color w:val="2D3748"/>
          <w:sz w:val="20"/>
        </w:rPr>
        <w:t>Harmonized warm-up rule: 3 practice items for sensory familiarization + 1 valid row of 5 houses completed without timeout.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Hardware Calibration &amp; Digitizer Rate (D1, D3): </w:t>
      </w:r>
      <w:r>
        <w:rPr>
          <w:rFonts w:ascii="Calibri" w:hAnsi="Calibri" w:cs="Calibri"/>
          <w:b w:val="0"/>
          <w:i w:val="0"/>
          <w:color w:val="2D3748"/>
          <w:sz w:val="20"/>
        </w:rPr>
        <w:t>Aligned with DTH-A116 240Hz sampling rate and 5.195 px/mm geometric calibration.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flow_lifecycl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Comprehensive System Lifecycle &amp; Clinical Workflow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