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802C0" w:rsidP="00172304">
          <w:pPr>
            <w:pStyle w:val="SOUSSOUSTITREDOCUMENT"/>
            <w:rPr>
              <w:rFonts w:cs="Arial"/>
            </w:rPr>
          </w:pPr>
          <w:r>
            <w:rPr>
              <w:rStyle w:val="SOUSTITREDOCUMENTCar"/>
              <w:color w:val="7F7F7F" w:themeColor="text1" w:themeTint="80"/>
              <w:sz w:val="44"/>
              <w:szCs w:val="44"/>
            </w:rPr>
            <w:t xml:space="preserve">Workshop for </w:t>
          </w:r>
          <w:r w:rsidR="007F4DA3"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DF1ED9">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DF1ED9">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DF1ED9">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DF1ED9">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DF1ED9">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A33069" w:rsidRDefault="00A33069" w:rsidP="00A33069">
      <w:pPr>
        <w:pStyle w:val="Titre1"/>
      </w:pPr>
      <w:bookmarkStart w:id="0" w:name="_Toc495935376"/>
      <w:r>
        <w:lastRenderedPageBreak/>
        <w:t>Annexes</w:t>
      </w:r>
      <w:bookmarkEnd w:id="0"/>
    </w:p>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Sur l'utilisation de la mémpoire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lastRenderedPageBreak/>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F87B25" w:rsidRPr="006A63CF" w:rsidRDefault="00BA290F" w:rsidP="00BA290F">
      <w:pPr>
        <w:pStyle w:val="Titre2"/>
      </w:pPr>
      <w:r>
        <w:t>Mail de Christophe GONZALVEZ</w:t>
      </w:r>
    </w:p>
    <w:p w:rsidR="007F4DA3" w:rsidRPr="00BF1BF5" w:rsidRDefault="007F4DA3" w:rsidP="00275A4A">
      <w:pPr>
        <w:pStyle w:val="Titre3"/>
        <w:rPr>
          <w:lang w:eastAsia="fr-FR"/>
        </w:rPr>
      </w:pPr>
      <w:r w:rsidRPr="00BF1BF5">
        <w:rPr>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Default="007F4DA3" w:rsidP="00275A4A">
      <w:pPr>
        <w:shd w:val="clear" w:color="auto" w:fill="FFFFFF"/>
        <w:spacing w:after="0" w:line="240" w:lineRule="auto"/>
        <w:rPr>
          <w:rFonts w:eastAsia="Times New Roman" w:cs="Calibri"/>
          <w:color w:val="1F497D"/>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275A4A">
      <w:pPr>
        <w:pStyle w:val="Titre3"/>
        <w:rPr>
          <w:lang w:eastAsia="fr-FR"/>
        </w:rPr>
      </w:pPr>
      <w:r>
        <w:rPr>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7F24C0" w:rsidP="007F24C0">
      <w:pPr>
        <w:pStyle w:val="Titre2"/>
      </w:pPr>
      <w:r>
        <w:t>Sites à consulter</w:t>
      </w:r>
    </w:p>
    <w:p w:rsidR="00E419F1" w:rsidRDefault="00DF1ED9" w:rsidP="00E419F1">
      <w:pPr>
        <w:jc w:val="left"/>
      </w:pPr>
      <w:hyperlink r:id="rId13" w:history="1">
        <w:r w:rsidR="00E419F1" w:rsidRPr="00452A1A">
          <w:rPr>
            <w:rStyle w:val="Lienhypertexte"/>
          </w:rPr>
          <w:t>http://dbspecialists.com/not-licensed-for-awr-use-statspack-instead/</w:t>
        </w:r>
      </w:hyperlink>
    </w:p>
    <w:p w:rsidR="00E419F1" w:rsidRDefault="00DF1ED9" w:rsidP="00E419F1">
      <w:pPr>
        <w:jc w:val="left"/>
      </w:pPr>
      <w:hyperlink r:id="rId14" w:history="1">
        <w:r w:rsidR="00E419F1" w:rsidRPr="00452A1A">
          <w:rPr>
            <w:rStyle w:val="Lienhypertexte"/>
          </w:rPr>
          <w:t>https://perfstat.wordpress.com/2014/09/04/capturing-long-running-sql-in-statspack/</w:t>
        </w:r>
      </w:hyperlink>
    </w:p>
    <w:p w:rsidR="00E419F1" w:rsidRDefault="00DF1ED9" w:rsidP="00E419F1">
      <w:pPr>
        <w:jc w:val="left"/>
      </w:pPr>
      <w:hyperlink r:id="rId15" w:history="1">
        <w:r w:rsidR="00E419F1" w:rsidRPr="00452A1A">
          <w:rPr>
            <w:rStyle w:val="Lienhypertexte"/>
          </w:rPr>
          <w:t>https://blog.dbi-services.com/awrrpt-and-spreport-in-multitenant/</w:t>
        </w:r>
      </w:hyperlink>
    </w:p>
    <w:p w:rsidR="00E419F1" w:rsidRDefault="00DF1ED9" w:rsidP="00E419F1">
      <w:pPr>
        <w:jc w:val="left"/>
      </w:pPr>
      <w:hyperlink r:id="rId16" w:history="1">
        <w:r w:rsidR="0045123A" w:rsidRPr="00452A1A">
          <w:rPr>
            <w:rStyle w:val="Lienhypertexte"/>
          </w:rPr>
          <w:t>https://www.akadia.com/services/ora_statspack_survival_guide.html</w:t>
        </w:r>
      </w:hyperlink>
    </w:p>
    <w:p w:rsidR="0045123A" w:rsidRDefault="00DF1ED9" w:rsidP="00E419F1">
      <w:pPr>
        <w:jc w:val="left"/>
      </w:pPr>
      <w:hyperlink r:id="rId17" w:history="1">
        <w:r w:rsidR="00F21A0F" w:rsidRPr="00452A1A">
          <w:rPr>
            <w:rStyle w:val="Lienhypertexte"/>
          </w:rPr>
          <w:t>https://jonathanlewis.wordpress.com/category/oracle/statspack/</w:t>
        </w:r>
      </w:hyperlink>
    </w:p>
    <w:p w:rsidR="00F21A0F" w:rsidRDefault="00DF1ED9" w:rsidP="00E419F1">
      <w:pPr>
        <w:jc w:val="left"/>
      </w:pPr>
      <w:hyperlink r:id="rId18"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DF1ED9" w:rsidP="00E419F1">
      <w:pPr>
        <w:jc w:val="left"/>
      </w:pPr>
      <w:hyperlink r:id="rId19"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p w:rsidR="003345DD" w:rsidRDefault="003345DD" w:rsidP="00C827C6">
      <w:pPr>
        <w:pStyle w:val="Titre2"/>
      </w:pPr>
      <w:r>
        <w:t>ASH </w:t>
      </w:r>
      <w:r w:rsidR="00C827C6">
        <w:t>(àctive session History)</w:t>
      </w:r>
    </w:p>
    <w:p w:rsidR="003345DD" w:rsidRDefault="003345DD" w:rsidP="00E419F1">
      <w:pPr>
        <w:jc w:val="left"/>
      </w:pPr>
      <w:r>
        <w:t xml:space="preserve">Voir V$ACTIVE_SESSION_HISTORY </w:t>
      </w:r>
      <w:r>
        <w:sym w:font="Wingdings" w:char="F0E0"/>
      </w:r>
      <w:r>
        <w:t xml:space="preserve"> ppt*.pdf pp 21/50</w:t>
      </w:r>
    </w:p>
    <w:p w:rsidR="003345DD" w:rsidRDefault="003345DD" w:rsidP="00E419F1">
      <w:pPr>
        <w:jc w:val="left"/>
      </w:pPr>
      <w:r>
        <w:tab/>
        <w:t>Existe-t-il ce fichier sur le serveur (Simpleash.sql) ?</w:t>
      </w:r>
    </w:p>
    <w:p w:rsidR="003345DD" w:rsidRPr="003345DD" w:rsidRDefault="003345DD" w:rsidP="00ED6A1E">
      <w:pPr>
        <w:pStyle w:val="Titre3"/>
        <w:rPr>
          <w:lang w:val="en-GB"/>
        </w:rPr>
      </w:pPr>
      <w:r w:rsidRPr="003345DD">
        <w:rPr>
          <w:lang w:val="en-GB"/>
        </w:rPr>
        <w:t>ASH: Top SQL</w:t>
      </w:r>
    </w:p>
    <w:p w:rsidR="00114FE6" w:rsidRPr="00114FE6" w:rsidRDefault="00114FE6" w:rsidP="00114FE6">
      <w:pPr>
        <w:pStyle w:val="Paragraphedeliste"/>
        <w:numPr>
          <w:ilvl w:val="0"/>
          <w:numId w:val="43"/>
        </w:numPr>
        <w:rPr>
          <w:lang w:val="en-GB"/>
        </w:rPr>
      </w:pPr>
      <w:r w:rsidRPr="00114FE6">
        <w:rPr>
          <w:lang w:val="en-GB"/>
        </w:rPr>
        <w:t>Returns most active SQL in the past minute</w:t>
      </w:r>
    </w:p>
    <w:p w:rsidR="003345DD" w:rsidRPr="00114FE6" w:rsidRDefault="00114FE6" w:rsidP="003345DD">
      <w:pPr>
        <w:contextualSpacing/>
        <w:jc w:val="left"/>
        <w:rPr>
          <w:rFonts w:ascii="Courier New" w:hAnsi="Courier New"/>
          <w:sz w:val="18"/>
          <w:lang w:val="en-GB"/>
        </w:rPr>
      </w:pPr>
      <w:r>
        <w:rPr>
          <w:rFonts w:ascii="Courier New" w:hAnsi="Courier New"/>
          <w:sz w:val="18"/>
          <w:lang w:val="en-GB"/>
        </w:rPr>
        <w:t xml:space="preserve">  </w:t>
      </w:r>
      <w:r w:rsidR="003345DD" w:rsidRPr="00114FE6">
        <w:rPr>
          <w:rFonts w:ascii="Courier New" w:hAnsi="Courier New"/>
          <w:sz w:val="18"/>
          <w:lang w:val="en-GB"/>
        </w:rPr>
        <w:t>select sql_id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count(*)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round(count(*)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sum(count(*)) over (), 2)pctload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from v$active_session_history</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where sample_time &gt; sysdate -1/24/60</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and session_type &lt;&gt; 'BACKGROUND'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group by sql_id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order by count(*) desc</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
    <w:p w:rsidR="00114FE6" w:rsidRDefault="00114FE6" w:rsidP="001669F8">
      <w:pPr>
        <w:pStyle w:val="Titre3"/>
        <w:rPr>
          <w:lang w:val="en-GB"/>
        </w:rPr>
      </w:pPr>
      <w:r w:rsidRPr="00114FE6">
        <w:rPr>
          <w:lang w:val="en-GB"/>
        </w:rPr>
        <w:t>ASH: Top IO SQL</w:t>
      </w:r>
    </w:p>
    <w:p w:rsidR="00114FE6" w:rsidRDefault="00114FE6" w:rsidP="00114FE6">
      <w:pPr>
        <w:rPr>
          <w:lang w:val="en-GB"/>
        </w:rPr>
      </w:pPr>
      <w:r w:rsidRPr="00114FE6">
        <w:rPr>
          <w:lang w:val="en-GB"/>
        </w:rPr>
        <w:t>Returns SQL spending most time doing I/Os</w:t>
      </w:r>
    </w:p>
    <w:p w:rsidR="00114FE6" w:rsidRPr="00114FE6" w:rsidRDefault="00114FE6" w:rsidP="00114FE6">
      <w:pPr>
        <w:rPr>
          <w:lang w:val="en-GB"/>
        </w:rPr>
      </w:pPr>
      <w:r w:rsidRPr="00114FE6">
        <w:rPr>
          <w:lang w:val="en-GB"/>
        </w:rPr>
        <w:t>Similarly, can do Top Sessions, Top Files, Top Objects</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select ash.sql_id, count(1)</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from v$active_session_history ash</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 v$event_name evt</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where ash.sample_time &gt; sysdate –1/24/60</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and ash.session_state = 'WAITING'</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and ash.event_id = evt.event_id</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and evt.wait_class = 'User I/O'</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group by sql_id</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order by count(1) desc</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w:t>
      </w:r>
    </w:p>
    <w:p w:rsidR="00114FE6" w:rsidRDefault="00114FE6" w:rsidP="00114FE6">
      <w:pPr>
        <w:jc w:val="left"/>
        <w:rPr>
          <w:lang w:val="en-GB"/>
        </w:rPr>
      </w:pPr>
    </w:p>
    <w:p w:rsidR="009E5480" w:rsidRDefault="009E5480" w:rsidP="009E5480">
      <w:pPr>
        <w:rPr>
          <w:lang w:val="en-GB"/>
        </w:rPr>
      </w:pPr>
      <w:r>
        <w:rPr>
          <w:lang w:val="en-GB"/>
        </w:rPr>
        <w:t xml:space="preserve">Voir </w:t>
      </w:r>
      <w:r w:rsidRPr="00ED3C3A">
        <w:rPr>
          <w:lang w:val="en-GB"/>
        </w:rPr>
        <w:t>DBA_HIST_ACTIVE_SESS_HISTORY</w:t>
      </w:r>
    </w:p>
    <w:p w:rsidR="00114FE6" w:rsidRDefault="00ED3C3A" w:rsidP="00F50557">
      <w:pPr>
        <w:pStyle w:val="Titre3"/>
        <w:rPr>
          <w:lang w:val="en-GB"/>
        </w:rPr>
      </w:pPr>
      <w:r>
        <w:rPr>
          <w:lang w:val="en-GB"/>
        </w:rPr>
        <w:t>ASH : Bad SQL</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select e.event</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lastRenderedPageBreak/>
        <w:t xml:space="preserve">     , e.total_waits -nvl(b.total_waits,0) total_waits</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e.time_waited -nvl(b.time_waited,0) time_waited</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from v$active_session_history b</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v$active_session_history 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stats$snapshot sn</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Where snap_time &gt; sysdate - &amp;1 --- A fournir</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e.event not like '%timer'</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e.event not like '%message%'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e.event not like '%slave wait%'</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e.snap_id =sn.snap_id</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b.snap_id = e.snap_id-1</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b.event = e.event</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e.total_timeouts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(e.total_waits -b.total_waits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or e.time_waited -b.time_waited &gt; 100)</w:t>
      </w:r>
    </w:p>
    <w:p w:rsidR="00ED3C3A"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w:t>
      </w:r>
    </w:p>
    <w:p w:rsidR="00093581" w:rsidRDefault="00093581" w:rsidP="003345DD">
      <w:pPr>
        <w:jc w:val="left"/>
        <w:rPr>
          <w:lang w:val="en-GB"/>
        </w:rPr>
      </w:pP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select sum(a.time_waited) total_time</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from v$active_session_history a</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 v$event_name b</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where a.event# = b.event#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and sample_time between to_date ('201710201300', 'yyyymmddhh24mi')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and to_date ('201</w:t>
      </w:r>
      <w:r w:rsidR="00D7712D">
        <w:rPr>
          <w:rFonts w:ascii="Courier New" w:hAnsi="Courier New" w:cs="Courier New"/>
          <w:sz w:val="18"/>
          <w:szCs w:val="18"/>
          <w:lang w:val="en-GB"/>
        </w:rPr>
        <w:t>710202001', 'yyyymmddhh24mi')</w:t>
      </w:r>
      <w:r w:rsidRPr="00B91779">
        <w:rPr>
          <w:rFonts w:ascii="Courier New" w:hAnsi="Courier New" w:cs="Courier New"/>
          <w:sz w:val="18"/>
          <w:szCs w:val="18"/>
          <w:lang w:val="en-GB"/>
        </w:rPr>
        <w:t xml:space="preserve">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and b.wait_class = 'User I/O'</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w:t>
      </w:r>
    </w:p>
    <w:p w:rsidR="00B91779" w:rsidRDefault="00B91779" w:rsidP="00B76A95">
      <w:pPr>
        <w:contextualSpacing/>
        <w:jc w:val="left"/>
        <w:rPr>
          <w:lang w:val="en-GB"/>
        </w:rPr>
      </w:pP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select sess_id</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wait_event</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sess_time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round(100 * (sess_time / total_time),2) pct_time_waited</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from (select a.session_id sess_id</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decode(session_type, 'background', session_type, c.username)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a.program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 wait_event</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sum(a.time_waited) sess_time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from sys.v_$active_session_history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sys.v_$event_name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sys.dba_users c</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where a.event# = b.event#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a.user_id = c.user_id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sample_time between to_date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to_date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b.wait_class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group by a.session_id</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decode(session_type, 'background', session_type, c.username)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a.program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(select sum(a.time_waited) total_time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from sys.v_$active_session_history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sys.v_$event_name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where a.event# = b.event#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sample_time between to_date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to_date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and b.wait_class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order by 6 desc</w:t>
      </w:r>
    </w:p>
    <w:p w:rsid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w:t>
      </w:r>
    </w:p>
    <w:p w:rsidR="00B76A95" w:rsidRDefault="00B76A95" w:rsidP="00B76A95">
      <w:pPr>
        <w:jc w:val="left"/>
        <w:rPr>
          <w:lang w:val="en-GB"/>
        </w:rPr>
      </w:pPr>
    </w:p>
    <w:p w:rsidR="00B76A95" w:rsidRDefault="00FC2974" w:rsidP="00B91779">
      <w:pPr>
        <w:jc w:val="left"/>
        <w:rPr>
          <w:lang w:val="en-GB"/>
        </w:rPr>
      </w:pPr>
      <w:r>
        <w:rPr>
          <w:lang w:val="en-GB"/>
        </w:rPr>
        <w:t xml:space="preserve">Voir </w:t>
      </w:r>
      <w:r w:rsidRPr="00FC2974">
        <w:rPr>
          <w:lang w:val="en-GB"/>
        </w:rPr>
        <w:t>sys.v_$sys_time_model</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select case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when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'soft parse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else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end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when 'sql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time_secs - plsql_time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when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time_secs - hard_parse_time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else time_secs</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end time_secs</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when 'sql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round(100 * (time_secs - plsql_time) / db_time,2)</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when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round(100 * (time_secs - hard_parse_time)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else round(100 * time_secs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end pct_time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from (select stat_name db_stat_name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round((value / 1000000),3) time_secs</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from sys.v_$sys_time_model</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where stat_name not in('DB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cpu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,'DB CPU'</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round((value / 1000000),3) db_time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from sys.v_$sys_time_model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where stat_name = 'DB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round((value / 1000000),3) plsql_time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from sys.v_$sys_time_model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where stat_name = 'PL/SQL execution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round((value / 1000000),3) hard_parse_time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from sys.v_$sys_time_model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where stat_name = 'hard parse elapsed time'</w:t>
      </w:r>
    </w:p>
    <w:p w:rsidR="00FC2974" w:rsidRPr="007802C0" w:rsidRDefault="00FC2974" w:rsidP="00191902">
      <w:pPr>
        <w:contextualSpacing/>
        <w:jc w:val="left"/>
        <w:rPr>
          <w:rFonts w:ascii="Courier New" w:hAnsi="Courier New" w:cs="Courier New"/>
          <w:sz w:val="18"/>
          <w:szCs w:val="18"/>
        </w:rPr>
      </w:pPr>
      <w:r w:rsidRPr="00191902">
        <w:rPr>
          <w:rFonts w:ascii="Courier New" w:hAnsi="Courier New" w:cs="Courier New"/>
          <w:sz w:val="18"/>
          <w:szCs w:val="18"/>
          <w:lang w:val="en-GB"/>
        </w:rPr>
        <w:t xml:space="preserve">      </w:t>
      </w:r>
      <w:r w:rsidRPr="007802C0">
        <w:rPr>
          <w:rFonts w:ascii="Courier New" w:hAnsi="Courier New" w:cs="Courier New"/>
          <w:sz w:val="18"/>
          <w:szCs w:val="18"/>
        </w:rPr>
        <w:t>)</w:t>
      </w:r>
    </w:p>
    <w:p w:rsidR="00FC2974" w:rsidRPr="007802C0" w:rsidRDefault="00FC2974" w:rsidP="00191902">
      <w:pPr>
        <w:contextualSpacing/>
        <w:jc w:val="left"/>
        <w:rPr>
          <w:rFonts w:ascii="Courier New" w:hAnsi="Courier New" w:cs="Courier New"/>
          <w:sz w:val="18"/>
          <w:szCs w:val="18"/>
        </w:rPr>
      </w:pPr>
      <w:r w:rsidRPr="007802C0">
        <w:rPr>
          <w:rFonts w:ascii="Courier New" w:hAnsi="Courier New" w:cs="Courier New"/>
          <w:sz w:val="18"/>
          <w:szCs w:val="18"/>
        </w:rPr>
        <w:t xml:space="preserve"> order by 2 desc</w:t>
      </w:r>
    </w:p>
    <w:p w:rsidR="00FC2974" w:rsidRPr="007802C0" w:rsidRDefault="00FC2974" w:rsidP="00191902">
      <w:pPr>
        <w:contextualSpacing/>
        <w:jc w:val="left"/>
        <w:rPr>
          <w:rFonts w:ascii="Courier New" w:hAnsi="Courier New" w:cs="Courier New"/>
          <w:sz w:val="18"/>
          <w:szCs w:val="18"/>
        </w:rPr>
      </w:pPr>
      <w:r w:rsidRPr="007802C0">
        <w:rPr>
          <w:rFonts w:ascii="Courier New" w:hAnsi="Courier New" w:cs="Courier New"/>
          <w:sz w:val="18"/>
          <w:szCs w:val="18"/>
        </w:rPr>
        <w:t>;</w:t>
      </w:r>
    </w:p>
    <w:p w:rsidR="00191902" w:rsidRPr="007802C0" w:rsidRDefault="00191902" w:rsidP="00FC2974">
      <w:pPr>
        <w:jc w:val="left"/>
      </w:pPr>
    </w:p>
    <w:p w:rsidR="00114FE6" w:rsidRPr="00C947EC" w:rsidRDefault="00C947EC" w:rsidP="003345DD">
      <w:pPr>
        <w:jc w:val="left"/>
      </w:pPr>
      <w:r w:rsidRPr="00C947EC">
        <w:t xml:space="preserve">Dire quel type de process </w:t>
      </w:r>
      <w:r w:rsidR="0067037F">
        <w:t xml:space="preserve">pass </w:t>
      </w:r>
      <w:r w:rsidRPr="00C947EC">
        <w:t xml:space="preserve"> le plus de temps</w:t>
      </w:r>
      <w:r w:rsidR="0067037F">
        <w:t xml:space="preserve"> à faire attendre</w:t>
      </w:r>
      <w:r w:rsidRPr="00C947EC">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select to_char(a.end_time,'DD-MON-YYYY HH:MI:SS') end_time</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b.wait_class</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round((a.time_waited / 100),2) time_waited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from sys.v_$waitclassmetric_history a</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sys.v_$system_wait_class b</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where a.wait_class# = b.wait_class#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and b.wait_class != 'Idle'</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order by 1,2</w:t>
      </w:r>
    </w:p>
    <w:p w:rsidR="00C947EC" w:rsidRDefault="00C947EC" w:rsidP="00C947EC">
      <w:pPr>
        <w:contextualSpacing/>
        <w:jc w:val="left"/>
        <w:rPr>
          <w:lang w:val="en-GB"/>
        </w:rPr>
      </w:pPr>
      <w:r w:rsidRPr="00C947EC">
        <w:rPr>
          <w:rFonts w:ascii="Courier New" w:eastAsia="Times New Roman" w:hAnsi="Courier New" w:cs="Courier New"/>
          <w:color w:val="000000"/>
          <w:sz w:val="18"/>
          <w:szCs w:val="18"/>
          <w:lang w:val="en-GB" w:eastAsia="fr-FR"/>
        </w:rPr>
        <w:t>;</w:t>
      </w:r>
    </w:p>
    <w:p w:rsidR="00C947EC" w:rsidRPr="00C947EC" w:rsidRDefault="00C947EC" w:rsidP="003345DD">
      <w:pPr>
        <w:jc w:val="left"/>
        <w:rPr>
          <w:lang w:val="en-GB"/>
        </w:rPr>
      </w:pPr>
    </w:p>
    <w:p w:rsidR="00114FE6" w:rsidRDefault="004E4D6B" w:rsidP="003345DD">
      <w:pPr>
        <w:jc w:val="left"/>
        <w:rPr>
          <w:lang w:val="en-GB"/>
        </w:rPr>
      </w:pPr>
      <w:r>
        <w:rPr>
          <w:lang w:val="en-GB"/>
        </w:rPr>
        <w:t>--</w:t>
      </w:r>
    </w:p>
    <w:p w:rsidR="004E4D6B" w:rsidRDefault="004E4D6B" w:rsidP="00CE2D64">
      <w:pPr>
        <w:pStyle w:val="Titre2"/>
      </w:pPr>
      <w:r>
        <w:lastRenderedPageBreak/>
        <w:t>Response-Time Analysis Made Easy</w:t>
      </w:r>
    </w:p>
    <w:p w:rsidR="001260EF" w:rsidRPr="001260EF" w:rsidRDefault="001260EF" w:rsidP="001260EF">
      <w:pPr>
        <w:shd w:val="clear" w:color="auto" w:fill="FFFFFF"/>
        <w:spacing w:after="0" w:line="312" w:lineRule="atLeast"/>
        <w:jc w:val="left"/>
        <w:rPr>
          <w:rFonts w:ascii="Arial" w:eastAsia="Times New Roman" w:hAnsi="Arial" w:cs="Arial"/>
          <w:color w:val="000000"/>
          <w:sz w:val="18"/>
          <w:szCs w:val="18"/>
          <w:lang w:val="en-GB" w:eastAsia="fr-FR"/>
        </w:rPr>
      </w:pPr>
      <w:r w:rsidRPr="001260EF">
        <w:rPr>
          <w:rFonts w:ascii="Arial" w:eastAsia="Times New Roman" w:hAnsi="Arial" w:cs="Arial"/>
          <w:color w:val="000000"/>
          <w:sz w:val="18"/>
          <w:szCs w:val="18"/>
          <w:lang w:val="en-GB" w:eastAsia="fr-FR"/>
        </w:rPr>
        <w:t>Starting at the global or system level, DBAs typically want answers to these questions:</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eastAsia="fr-FR"/>
        </w:rPr>
      </w:pPr>
      <w:r w:rsidRPr="00285068">
        <w:rPr>
          <w:rFonts w:ascii="Arial" w:eastAsia="Times New Roman" w:hAnsi="Arial" w:cs="Arial"/>
          <w:color w:val="000000"/>
          <w:sz w:val="18"/>
          <w:szCs w:val="18"/>
          <w:lang w:val="en-GB" w:eastAsia="fr-FR"/>
        </w:rPr>
        <w:t xml:space="preserve">In general, how well is my database running? </w:t>
      </w:r>
      <w:r w:rsidRPr="00285068">
        <w:rPr>
          <w:rFonts w:ascii="Arial" w:eastAsia="Times New Roman" w:hAnsi="Arial" w:cs="Arial"/>
          <w:color w:val="000000"/>
          <w:sz w:val="18"/>
          <w:szCs w:val="18"/>
          <w:lang w:eastAsia="fr-FR"/>
        </w:rPr>
        <w:t>What defines efficiency?</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t>What average response time are my users experiencing?</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t>Which activities affect overall response time the most?</w:t>
      </w:r>
    </w:p>
    <w:p w:rsidR="004E4D6B" w:rsidRDefault="00DA6C35" w:rsidP="00CE2D64">
      <w:pPr>
        <w:pStyle w:val="Titre3"/>
        <w:rPr>
          <w:shd w:val="clear" w:color="auto" w:fill="FFFFFF"/>
          <w:lang w:val="en-GB"/>
        </w:rPr>
      </w:pPr>
      <w:r w:rsidRPr="00DA6C35">
        <w:rPr>
          <w:shd w:val="clear" w:color="auto" w:fill="FFFFFF"/>
          <w:lang w:val="en-GB"/>
        </w:rPr>
        <w:t>Part of the answer to how well, in general, a database is running</w:t>
      </w:r>
    </w:p>
    <w:p w:rsidR="00A07616" w:rsidRPr="00A07616" w:rsidRDefault="00A07616" w:rsidP="00A07616">
      <w:pPr>
        <w:rPr>
          <w:lang w:val="en-GB"/>
        </w:rPr>
      </w:pPr>
      <w:r>
        <w:rPr>
          <w:rFonts w:ascii="Arial" w:hAnsi="Arial" w:cs="Arial"/>
          <w:color w:val="000000"/>
          <w:sz w:val="18"/>
          <w:szCs w:val="18"/>
          <w:shd w:val="clear" w:color="auto" w:fill="FFFFFF"/>
          <w:lang w:val="en-GB"/>
        </w:rPr>
        <w:t xml:space="preserve">The query </w:t>
      </w:r>
      <w:r w:rsidRPr="00A07616">
        <w:rPr>
          <w:rFonts w:ascii="Arial" w:hAnsi="Arial" w:cs="Arial"/>
          <w:color w:val="000000"/>
          <w:sz w:val="18"/>
          <w:szCs w:val="18"/>
          <w:shd w:val="clear" w:color="auto" w:fill="FFFFFF"/>
          <w:lang w:val="en-GB"/>
        </w:rPr>
        <w:t xml:space="preserve"> </w:t>
      </w:r>
      <w:r>
        <w:rPr>
          <w:rFonts w:ascii="Arial" w:hAnsi="Arial" w:cs="Arial"/>
          <w:color w:val="000000"/>
          <w:sz w:val="18"/>
          <w:szCs w:val="18"/>
          <w:shd w:val="clear" w:color="auto" w:fill="FFFFFF"/>
          <w:lang w:val="en-GB"/>
        </w:rPr>
        <w:t xml:space="preserve">above </w:t>
      </w:r>
      <w:r w:rsidRPr="00A07616">
        <w:rPr>
          <w:rFonts w:ascii="Arial" w:hAnsi="Arial" w:cs="Arial"/>
          <w:color w:val="000000"/>
          <w:sz w:val="18"/>
          <w:szCs w:val="18"/>
          <w:shd w:val="clear" w:color="auto" w:fill="FFFFFF"/>
          <w:lang w:val="en-GB"/>
        </w:rPr>
        <w:t>help</w:t>
      </w:r>
      <w:r>
        <w:rPr>
          <w:rFonts w:ascii="Arial" w:hAnsi="Arial" w:cs="Arial"/>
          <w:color w:val="000000"/>
          <w:sz w:val="18"/>
          <w:szCs w:val="18"/>
          <w:shd w:val="clear" w:color="auto" w:fill="FFFFFF"/>
          <w:lang w:val="en-GB"/>
        </w:rPr>
        <w:t>s</w:t>
      </w:r>
      <w:r w:rsidRPr="00A07616">
        <w:rPr>
          <w:rFonts w:ascii="Arial" w:hAnsi="Arial" w:cs="Arial"/>
          <w:color w:val="000000"/>
          <w:sz w:val="18"/>
          <w:szCs w:val="18"/>
          <w:shd w:val="clear" w:color="auto" w:fill="FFFFFF"/>
          <w:lang w:val="en-GB"/>
        </w:rPr>
        <w:t xml:space="preserve"> you determine if your database is currently experiencing a high percentage of waits/bottlenecks vs. smoothly running operations. The Database CPU Time Ratio is calculated by dividing the amount of CPU expended in the database by the amount of "database time," which is defined as the time spent by the database on user-level calls (with instance background process activity being excluded). High values (90-95+ percent) are good and indicate few wait/bottleneck actions, but take this threshold only as a general rule of thumb because every system is different</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select metric_name,</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value</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from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where metric_name IN ( 'Database CPU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'Database Wait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and intsize_csec = (select max(intsize_csec)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from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w:t>
      </w:r>
    </w:p>
    <w:p w:rsidR="00DA6C35" w:rsidRDefault="00DA6C35" w:rsidP="00DA6C35">
      <w:pPr>
        <w:rPr>
          <w:lang w:val="en-GB"/>
        </w:rPr>
      </w:pPr>
    </w:p>
    <w:p w:rsidR="008F28BD" w:rsidRPr="008F28BD" w:rsidRDefault="008F28BD" w:rsidP="00DA6C35">
      <w:pPr>
        <w:rPr>
          <w:lang w:val="en-GB"/>
        </w:rPr>
      </w:pPr>
      <w:r w:rsidRPr="008F28BD">
        <w:rPr>
          <w:rFonts w:ascii="Arial" w:hAnsi="Arial" w:cs="Arial"/>
          <w:color w:val="000000"/>
          <w:sz w:val="18"/>
          <w:szCs w:val="18"/>
          <w:shd w:val="clear" w:color="auto" w:fill="FFFFFF"/>
          <w:lang w:val="en-GB"/>
        </w:rPr>
        <w:t>You can also take a quick look over the last hour to see if the database has experienced any dips in overall performance by using this query:</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select end_time</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 value</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from sys.v_$sysmetric_history</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where metric_name = 'Database CPU Time Ratio'</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order by 1</w:t>
      </w:r>
    </w:p>
    <w:p w:rsidR="00DA6C35"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w:t>
      </w:r>
    </w:p>
    <w:p w:rsidR="008F28BD" w:rsidRDefault="008F28BD" w:rsidP="008F28BD">
      <w:pPr>
        <w:rPr>
          <w:lang w:val="en-GB"/>
        </w:rPr>
      </w:pPr>
    </w:p>
    <w:p w:rsidR="007337E2" w:rsidRDefault="007337E2" w:rsidP="008F28BD">
      <w:pPr>
        <w:rPr>
          <w:rFonts w:ascii="Arial" w:hAnsi="Arial" w:cs="Arial"/>
          <w:color w:val="000000"/>
          <w:sz w:val="18"/>
          <w:szCs w:val="18"/>
          <w:shd w:val="clear" w:color="auto" w:fill="FFFFFF"/>
          <w:lang w:val="en-GB"/>
        </w:rPr>
      </w:pPr>
      <w:r w:rsidRPr="007337E2">
        <w:rPr>
          <w:rFonts w:ascii="Arial" w:hAnsi="Arial" w:cs="Arial"/>
          <w:color w:val="000000"/>
          <w:sz w:val="18"/>
          <w:szCs w:val="18"/>
          <w:shd w:val="clear" w:color="auto" w:fill="FFFFFF"/>
          <w:lang w:val="en-GB"/>
        </w:rPr>
        <w:t>And, you can get a good idea of the minimum, maximum, and average values of overall database efficiency by querying the V$SYSMETRIC_SUMMARY view with a query such as this:</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select Case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'SQL Service Response Time (secs)'</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Txn' then 'Response Time Per Txn (secs)'</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round((minval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Txn' then round((minval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minval</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mininum</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round((maxval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Txn' then round((maxval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maxval</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maximum</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metric_name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round((average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Txn' then round((average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lastRenderedPageBreak/>
        <w:t xml:space="preserve">  from sys.v_$sysmetric_summary </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where metric_name in ( 'CPU Usage Per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'CPU Usage Per Txn'</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CPU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Wait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'Executions Per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'Executions Per Txn'</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'Response Time Per Txn'</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'SQL Service Response Time'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'User Transaction Per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
    <w:p w:rsidR="007337E2" w:rsidRPr="007337E2" w:rsidRDefault="00FA2B18" w:rsidP="007337E2">
      <w:pPr>
        <w:contextualSpacing/>
        <w:rPr>
          <w:rFonts w:ascii="Courier New" w:hAnsi="Courier New" w:cs="Courier New"/>
          <w:sz w:val="18"/>
          <w:szCs w:val="18"/>
          <w:lang w:val="en-GB"/>
        </w:rPr>
      </w:pPr>
      <w:r>
        <w:rPr>
          <w:rFonts w:ascii="Courier New" w:hAnsi="Courier New" w:cs="Courier New"/>
          <w:sz w:val="18"/>
          <w:szCs w:val="18"/>
          <w:lang w:val="en-GB"/>
        </w:rPr>
        <w:t>Order by</w:t>
      </w:r>
      <w:r w:rsidR="007337E2" w:rsidRPr="007337E2">
        <w:rPr>
          <w:rFonts w:ascii="Courier New" w:hAnsi="Courier New" w:cs="Courier New"/>
          <w:sz w:val="18"/>
          <w:szCs w:val="18"/>
          <w:lang w:val="en-GB"/>
        </w:rPr>
        <w:t xml:space="preserve"> 1</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w:t>
      </w:r>
    </w:p>
    <w:p w:rsidR="008F28BD" w:rsidRDefault="008F28BD" w:rsidP="008F28BD">
      <w:pPr>
        <w:rPr>
          <w:lang w:val="en-GB"/>
        </w:rPr>
      </w:pPr>
    </w:p>
    <w:p w:rsidR="008F2E21" w:rsidRPr="008F2E21" w:rsidRDefault="008F2E21" w:rsidP="008F2E21">
      <w:pPr>
        <w:spacing w:after="0" w:line="240" w:lineRule="auto"/>
        <w:jc w:val="left"/>
        <w:rPr>
          <w:rFonts w:ascii="Times New Roman" w:eastAsia="Times New Roman" w:hAnsi="Times New Roman" w:cs="Times New Roman"/>
          <w:sz w:val="24"/>
          <w:szCs w:val="24"/>
          <w:lang w:val="en-GB" w:eastAsia="fr-FR"/>
        </w:rPr>
      </w:pPr>
      <w:r w:rsidRPr="008F2E21">
        <w:rPr>
          <w:rFonts w:ascii="Arial" w:eastAsia="Times New Roman" w:hAnsi="Arial" w:cs="Arial"/>
          <w:color w:val="000000"/>
          <w:sz w:val="18"/>
          <w:szCs w:val="18"/>
          <w:shd w:val="clear" w:color="auto" w:fill="FFFFFF"/>
          <w:lang w:val="en-GB" w:eastAsia="fr-FR"/>
        </w:rPr>
        <w:t>The query above contains more response-time metrics than simply the Database CPU and Wait Time Ratios (we'll cover those later), but you can see the benefit in being able to acquire this information. For this particular instance, the average Database CPU Time Ratio is 94, which is well within our acceptable limits.</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The next question DBAs pose at the system level involves the average level of response time that their user community is experiencing. (Prior to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this type of data was difficult to capture, but not anymore.) The query shown above that interrogates the V$SYSMETRIC_SUMMARY view tells us what we need to know. If complaints of unacceptable response times are mounting from users, the DBA can check the Response Time Per Txn and SQL Service Response Time metrics to see if a database issue exists. For example, the statistics shown above report that the maximum response time per user transaction has been only .28 second, with the average response time being a blazing .08 second. Oracle certainly wouldn't be to blame in this case.</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If, however, response times are longer than desired, the DBA will then want to know what types of user activities are responsible for making the database work so hard. Again, before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this information was more difficult to acquire, but now the answer is only a query away:</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select case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when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'soft parse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else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end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when 'sql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time_secs - plsql_time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when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time_secs - hard_parse_time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else time_secs</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end time_secs</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when 'sql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round(100 * (time_secs - plsql_time) / db_time,2)</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when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round(100 * (time_secs - hard_parse_time)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else round(100 * time_secs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end pct_time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from (select stat_name db_stat_name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round((value / 1000000),3) time_secs</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from sys.v_$sys_time_model</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where stat_name not in ( 'DB time','background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'background cpu time','DB CPU')</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round((value / 1000000),3) db_time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from sys.v_$sys_time_model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where stat_name = 'DB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round((value / 1000000),3) plsql_time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lastRenderedPageBreak/>
        <w:t xml:space="preserve">         from sys.v_$sys_time_model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where stat_name = 'PL/SQL execution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round((value / 1000000),3) hard_parse_time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from sys.v_$sys_time_model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where stat_name = 'hard parse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order by 2 desc</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w:t>
      </w:r>
    </w:p>
    <w:p w:rsidR="008F2E21" w:rsidRDefault="008F2E21" w:rsidP="008F28BD">
      <w:pPr>
        <w:rPr>
          <w:lang w:val="en-GB"/>
        </w:rPr>
      </w:pPr>
    </w:p>
    <w:p w:rsidR="008F2E21" w:rsidRDefault="0045031B" w:rsidP="008F28BD">
      <w:pPr>
        <w:rPr>
          <w:rFonts w:ascii="Arial" w:hAnsi="Arial" w:cs="Arial"/>
          <w:color w:val="000000"/>
          <w:sz w:val="18"/>
          <w:szCs w:val="18"/>
          <w:shd w:val="clear" w:color="auto" w:fill="FFFFFF"/>
          <w:lang w:val="en-GB"/>
        </w:rPr>
      </w:pPr>
      <w:r w:rsidRPr="0045031B">
        <w:rPr>
          <w:rFonts w:ascii="Arial" w:hAnsi="Arial" w:cs="Arial"/>
          <w:color w:val="000000"/>
          <w:sz w:val="18"/>
          <w:szCs w:val="18"/>
          <w:shd w:val="clear" w:color="auto" w:fill="FFFFFF"/>
          <w:lang w:val="en-GB"/>
        </w:rPr>
        <w:t>In addition to active time, a DBA will want to know the global wait times as well. Prior to Oracle Database 10</w:t>
      </w:r>
      <w:r w:rsidRPr="0045031B">
        <w:rPr>
          <w:rStyle w:val="Accentuation"/>
          <w:rFonts w:ascii="Arial" w:hAnsi="Arial"/>
          <w:color w:val="000000"/>
          <w:sz w:val="18"/>
          <w:szCs w:val="18"/>
          <w:shd w:val="clear" w:color="auto" w:fill="FFFFFF"/>
          <w:lang w:val="en-GB"/>
        </w:rPr>
        <w:t>g</w:t>
      </w:r>
      <w:r w:rsidRPr="0045031B">
        <w:rPr>
          <w:rFonts w:ascii="Arial" w:hAnsi="Arial" w:cs="Arial"/>
          <w:color w:val="000000"/>
          <w:sz w:val="18"/>
          <w:szCs w:val="18"/>
          <w:shd w:val="clear" w:color="auto" w:fill="FFFFFF"/>
          <w:lang w:val="en-GB"/>
        </w:rPr>
        <w:t>, a DBA had to view individual wait events to understand waits and bottlenecks, but now Oracle provides a summary/rollup mechanism for waits via wait classes: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select wait_class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total_waits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round(100 * (total_waits / sum_waits),2) pct_waits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round((time_waited / 100),2) time_waited_secs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round(100 * (time_waited / sum_time),2) pct_time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from (select wait_class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total_waits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time_waited</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from v$system_wait_class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where wait_class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(select sum(total_waits) sum_waits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sum(time_waited) sum_time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from v$system_wait_class</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where wait_class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order by 5 desc</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w:t>
      </w:r>
    </w:p>
    <w:p w:rsidR="0045031B" w:rsidRDefault="0045031B" w:rsidP="0045031B">
      <w:pPr>
        <w:rPr>
          <w:lang w:val="en-GB"/>
        </w:rPr>
      </w:pPr>
    </w:p>
    <w:p w:rsidR="001F5D5F" w:rsidRDefault="001F5D5F" w:rsidP="0045031B">
      <w:pPr>
        <w:rPr>
          <w:rFonts w:ascii="Arial" w:hAnsi="Arial" w:cs="Arial"/>
          <w:color w:val="000000"/>
          <w:sz w:val="18"/>
          <w:szCs w:val="18"/>
          <w:shd w:val="clear" w:color="auto" w:fill="FFFFFF"/>
          <w:lang w:val="en-GB"/>
        </w:rPr>
      </w:pPr>
      <w:r w:rsidRPr="001F5D5F">
        <w:rPr>
          <w:rFonts w:ascii="Arial" w:hAnsi="Arial" w:cs="Arial"/>
          <w:color w:val="000000"/>
          <w:sz w:val="18"/>
          <w:szCs w:val="18"/>
          <w:shd w:val="clear" w:color="auto" w:fill="FFFFFF"/>
          <w:lang w:val="en-GB"/>
        </w:rPr>
        <w:t xml:space="preserve">It's much easier to tell now that the bulk of overall wait time is due, for example, to user I/O waits than to try to tally individual wait events to get a global picture. </w:t>
      </w:r>
    </w:p>
    <w:p w:rsidR="001F5D5F" w:rsidRPr="001F5D5F" w:rsidRDefault="001F5D5F" w:rsidP="0045031B">
      <w:pPr>
        <w:rPr>
          <w:lang w:val="en-GB"/>
        </w:rPr>
      </w:pPr>
      <w:r w:rsidRPr="001F5D5F">
        <w:rPr>
          <w:rFonts w:ascii="Arial" w:hAnsi="Arial" w:cs="Arial"/>
          <w:color w:val="000000"/>
          <w:sz w:val="18"/>
          <w:szCs w:val="18"/>
          <w:shd w:val="clear" w:color="auto" w:fill="FFFFFF"/>
          <w:lang w:val="en-GB"/>
        </w:rPr>
        <w:t>As with response-time metrics, you can also look back in time over the last hour with a query like this one:</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select to_char(a.end_time,'DD-MON-YYYY HH:MI:SS') end_time</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b.wait_class</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round((a.time_waited / 100),2) time_waited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from sys.v_$waitclassmetric_history a</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sys.v_$system_wait_class b</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where a.wait_class# = b.wait_class#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and b.wait_class != 'Idle'</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order by 1,2</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w:t>
      </w:r>
    </w:p>
    <w:p w:rsidR="002E5C6A" w:rsidRDefault="002E5C6A" w:rsidP="002E5C6A">
      <w:pPr>
        <w:rPr>
          <w:rFonts w:ascii="Arial" w:hAnsi="Arial" w:cs="Arial"/>
          <w:color w:val="000000"/>
          <w:sz w:val="18"/>
          <w:szCs w:val="18"/>
          <w:shd w:val="clear" w:color="auto" w:fill="FFFFFF"/>
          <w:lang w:val="en-GB"/>
        </w:rPr>
      </w:pPr>
      <w:r w:rsidRPr="002E5C6A">
        <w:rPr>
          <w:rFonts w:ascii="Arial" w:hAnsi="Arial" w:cs="Arial"/>
          <w:color w:val="000000"/>
          <w:sz w:val="18"/>
          <w:szCs w:val="18"/>
          <w:shd w:val="clear" w:color="auto" w:fill="FFFFFF"/>
          <w:lang w:val="en-GB"/>
        </w:rPr>
        <w:t>You can, of course, just focus on a single SID with the V$SESS_TIME_MODEL view and obtain data for all statistical areas of a session. You can also view current session wait activity using the new wait classes using the following query:</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select a.sid</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b.username</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a.wait_class</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a.total_waits</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round((a.time_waited / 100),2) time_waited_secs</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from sys.v_$session_wait_class a</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sys.v_$session b</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where b.sid = a.sid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and b.username is not null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and a.wait_class != 'Idle'</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order by 5 desc</w:t>
      </w:r>
    </w:p>
    <w:p w:rsidR="002E5C6A"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lastRenderedPageBreak/>
        <w:t>;</w:t>
      </w:r>
    </w:p>
    <w:p w:rsidR="002E5C6A" w:rsidRDefault="002E5C6A" w:rsidP="002E5C6A">
      <w:pPr>
        <w:rPr>
          <w:rFonts w:ascii="Arial" w:hAnsi="Arial" w:cs="Arial"/>
          <w:color w:val="000000"/>
          <w:sz w:val="18"/>
          <w:szCs w:val="18"/>
          <w:shd w:val="clear" w:color="auto" w:fill="FFFFFF"/>
          <w:lang w:val="en-GB"/>
        </w:rPr>
      </w:pPr>
    </w:p>
    <w:p w:rsidR="002E5C6A" w:rsidRPr="002E5C6A" w:rsidRDefault="002E5C6A" w:rsidP="002E5C6A">
      <w:pPr>
        <w:spacing w:after="0" w:line="240" w:lineRule="auto"/>
        <w:jc w:val="left"/>
        <w:rPr>
          <w:rFonts w:ascii="Times New Roman" w:eastAsia="Times New Roman" w:hAnsi="Times New Roman" w:cs="Times New Roman"/>
          <w:sz w:val="24"/>
          <w:szCs w:val="24"/>
          <w:lang w:val="en-GB" w:eastAsia="fr-FR"/>
        </w:rPr>
      </w:pPr>
      <w:r w:rsidRPr="002E5C6A">
        <w:rPr>
          <w:rFonts w:ascii="Arial" w:eastAsia="Times New Roman" w:hAnsi="Arial" w:cs="Arial"/>
          <w:color w:val="000000"/>
          <w:sz w:val="18"/>
          <w:szCs w:val="18"/>
          <w:shd w:val="clear" w:color="auto" w:fill="FFFFFF"/>
          <w:lang w:val="en-GB" w:eastAsia="fr-FR"/>
        </w:rPr>
        <w:t>After this stage, you can check the standard individual wait events as you've been able to do in earlier versions of Oracle with V$SESSION_WAIT and V$SESSION_EVENT. You'll also find the new wait classes in these two modified views with Oracle Database 10</w:t>
      </w:r>
      <w:r w:rsidRPr="002E5C6A">
        <w:rPr>
          <w:rFonts w:ascii="Arial" w:eastAsia="Times New Roman" w:hAnsi="Arial" w:cs="Arial"/>
          <w:i/>
          <w:iCs/>
          <w:color w:val="000000"/>
          <w:sz w:val="18"/>
          <w:szCs w:val="18"/>
          <w:shd w:val="clear" w:color="auto" w:fill="FFFFFF"/>
          <w:lang w:val="en-GB" w:eastAsia="fr-FR"/>
        </w:rPr>
        <w:t>g</w:t>
      </w:r>
      <w:r w:rsidRPr="002E5C6A">
        <w:rPr>
          <w:rFonts w:ascii="Arial" w:eastAsia="Times New Roman" w:hAnsi="Arial" w:cs="Arial"/>
          <w:color w:val="000000"/>
          <w:sz w:val="18"/>
          <w:szCs w:val="18"/>
          <w:shd w:val="clear" w:color="auto" w:fill="FFFFFF"/>
          <w:lang w:val="en-GB" w:eastAsia="fr-FR"/>
        </w:rPr>
        <w:t>.</w:t>
      </w:r>
    </w:p>
    <w:p w:rsidR="002E5C6A" w:rsidRPr="002E5C6A" w:rsidRDefault="002E5C6A" w:rsidP="002E5C6A">
      <w:pPr>
        <w:shd w:val="clear" w:color="auto" w:fill="FFFFFF"/>
        <w:spacing w:after="0" w:line="312" w:lineRule="atLeast"/>
        <w:jc w:val="left"/>
        <w:rPr>
          <w:rFonts w:ascii="Arial" w:eastAsia="Times New Roman" w:hAnsi="Arial" w:cs="Arial"/>
          <w:color w:val="000000"/>
          <w:sz w:val="18"/>
          <w:szCs w:val="18"/>
          <w:lang w:val="en-GB" w:eastAsia="fr-FR"/>
        </w:rPr>
      </w:pPr>
      <w:r w:rsidRPr="002E5C6A">
        <w:rPr>
          <w:rFonts w:ascii="Arial" w:eastAsia="Times New Roman" w:hAnsi="Arial" w:cs="Arial"/>
          <w:color w:val="000000"/>
          <w:sz w:val="18"/>
          <w:szCs w:val="18"/>
          <w:lang w:val="en-GB" w:eastAsia="fr-FR"/>
        </w:rPr>
        <w:t>If you need to look back in time to discover what sessions were logged on and consuming the most resources, you can use the following query. In the example below, we're looking at activity from midnight to 5 a.m. on November 21, 2004, that involved user I/O waits:</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select sess_id</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wait_event</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sess_time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round(100 * (sess_time / total_time),2) pct_time_waited</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from (select a.session_id sess_id</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decode(session_type, 'background', session_type, c.username)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a.program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 wait_event</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sum(a.time_waited) sess_time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from sys.v_$active_session_history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sys.v_$event_name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sys.dba_users c</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where a.event# = b.event#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and a.user_id = c.user_id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and sample_time </w:t>
      </w:r>
      <w:r w:rsidR="002F3BBF">
        <w:rPr>
          <w:rFonts w:ascii="Courier New" w:hAnsi="Courier New" w:cs="Courier New"/>
          <w:color w:val="000000"/>
          <w:sz w:val="18"/>
          <w:szCs w:val="18"/>
          <w:shd w:val="clear" w:color="auto" w:fill="FFFFFF"/>
          <w:lang w:val="en-GB"/>
        </w:rPr>
        <w:t>between to_date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Pr="002E5C6A">
        <w:rPr>
          <w:rFonts w:ascii="Courier New" w:hAnsi="Courier New" w:cs="Courier New"/>
          <w:color w:val="000000"/>
          <w:sz w:val="18"/>
          <w:szCs w:val="18"/>
          <w:shd w:val="clear" w:color="auto" w:fill="FFFFFF"/>
          <w:lang w:val="en-GB"/>
        </w:rPr>
        <w:t xml:space="preserve">  </w:t>
      </w:r>
    </w:p>
    <w:p w:rsidR="002E5C6A" w:rsidRPr="002E5C6A" w:rsidRDefault="002F3BBF" w:rsidP="002E5C6A">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and </w:t>
      </w:r>
      <w:r>
        <w:rPr>
          <w:rFonts w:ascii="Courier New" w:hAnsi="Courier New" w:cs="Courier New"/>
          <w:color w:val="000000"/>
          <w:sz w:val="18"/>
          <w:szCs w:val="18"/>
          <w:shd w:val="clear" w:color="auto" w:fill="FFFFFF"/>
          <w:lang w:val="en-GB"/>
        </w:rPr>
        <w:t>to_date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and b.wait_class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group by a.session_id</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decode(session_type, 'background', session_type, c.username)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a.program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(select sum(a.time_waited) total_time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from sys.v_$active_session_history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sys.v_$event_name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where a.event# = b.event# </w:t>
      </w:r>
    </w:p>
    <w:p w:rsidR="002F3BBF" w:rsidRPr="002E5C6A" w:rsidRDefault="002E5C6A" w:rsidP="002F3BBF">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and sample_time </w:t>
      </w:r>
      <w:r w:rsidR="002F3BBF">
        <w:rPr>
          <w:rFonts w:ascii="Courier New" w:hAnsi="Courier New" w:cs="Courier New"/>
          <w:color w:val="000000"/>
          <w:sz w:val="18"/>
          <w:szCs w:val="18"/>
          <w:shd w:val="clear" w:color="auto" w:fill="FFFFFF"/>
          <w:lang w:val="en-GB"/>
        </w:rPr>
        <w:t>between to_date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002F3BBF" w:rsidRPr="002E5C6A">
        <w:rPr>
          <w:rFonts w:ascii="Courier New" w:hAnsi="Courier New" w:cs="Courier New"/>
          <w:color w:val="000000"/>
          <w:sz w:val="18"/>
          <w:szCs w:val="18"/>
          <w:shd w:val="clear" w:color="auto" w:fill="FFFFFF"/>
          <w:lang w:val="en-GB"/>
        </w:rPr>
        <w:t xml:space="preserve">  </w:t>
      </w:r>
    </w:p>
    <w:p w:rsidR="002E5C6A" w:rsidRPr="002E5C6A" w:rsidRDefault="002F3BBF" w:rsidP="002F3BBF">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 xml:space="preserve">           and </w:t>
      </w:r>
      <w:r>
        <w:rPr>
          <w:rFonts w:ascii="Courier New" w:hAnsi="Courier New" w:cs="Courier New"/>
          <w:color w:val="000000"/>
          <w:sz w:val="18"/>
          <w:szCs w:val="18"/>
          <w:shd w:val="clear" w:color="auto" w:fill="FFFFFF"/>
          <w:lang w:val="en-GB"/>
        </w:rPr>
        <w:t>to_date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and b.wait_class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order by 6 desc</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w:t>
      </w:r>
    </w:p>
    <w:p w:rsidR="002E5C6A" w:rsidRDefault="002E5C6A" w:rsidP="002E5C6A">
      <w:pPr>
        <w:rPr>
          <w:rFonts w:ascii="Arial" w:hAnsi="Arial" w:cs="Arial"/>
          <w:color w:val="000000"/>
          <w:sz w:val="18"/>
          <w:szCs w:val="18"/>
          <w:shd w:val="clear" w:color="auto" w:fill="FFFFFF"/>
          <w:lang w:val="en-GB"/>
        </w:rPr>
      </w:pPr>
    </w:p>
    <w:p w:rsidR="001E4C56" w:rsidRPr="001E4C56" w:rsidRDefault="001E4C56" w:rsidP="001E4C56">
      <w:pPr>
        <w:spacing w:after="0" w:line="240" w:lineRule="auto"/>
        <w:jc w:val="left"/>
        <w:rPr>
          <w:rFonts w:ascii="Times New Roman" w:eastAsia="Times New Roman" w:hAnsi="Times New Roman" w:cs="Times New Roman"/>
          <w:sz w:val="24"/>
          <w:szCs w:val="24"/>
          <w:lang w:val="en-GB" w:eastAsia="fr-FR"/>
        </w:rPr>
      </w:pPr>
      <w:r w:rsidRPr="001E4C56">
        <w:rPr>
          <w:rFonts w:ascii="Arial" w:eastAsia="Times New Roman" w:hAnsi="Arial" w:cs="Arial"/>
          <w:color w:val="000000"/>
          <w:sz w:val="18"/>
          <w:szCs w:val="18"/>
          <w:shd w:val="clear" w:color="auto" w:fill="FFFFFF"/>
          <w:lang w:val="en-GB" w:eastAsia="fr-FR"/>
        </w:rPr>
        <w:t>The Oracle Database 10</w:t>
      </w:r>
      <w:r w:rsidRPr="001E4C56">
        <w:rPr>
          <w:rFonts w:ascii="Arial" w:eastAsia="Times New Roman" w:hAnsi="Arial" w:cs="Arial"/>
          <w:i/>
          <w:iCs/>
          <w:color w:val="000000"/>
          <w:sz w:val="18"/>
          <w:szCs w:val="18"/>
          <w:shd w:val="clear" w:color="auto" w:fill="FFFFFF"/>
          <w:lang w:val="en-GB" w:eastAsia="fr-FR"/>
        </w:rPr>
        <w:t>g</w:t>
      </w:r>
      <w:r w:rsidRPr="001E4C56">
        <w:rPr>
          <w:rFonts w:ascii="Arial" w:eastAsia="Times New Roman" w:hAnsi="Arial" w:cs="Arial"/>
          <w:color w:val="000000"/>
          <w:sz w:val="18"/>
          <w:szCs w:val="18"/>
          <w:shd w:val="clear" w:color="auto" w:fill="FFFFFF"/>
          <w:lang w:val="en-GB" w:eastAsia="fr-FR"/>
        </w:rPr>
        <w:t> V$ACTIVE_SESSION_HISTORY view comes into play here to provide an insightful look back in time at session experiences for a given time period. This view gives you a lot of excellent information without the need for laborious tracing functions. We'll see more use of it in the next section, which deals with analyzing the response times of SQL statements.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SQL Response-Time Analysis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Examining the response time of SQL statements became easier in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and with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DBAs have many tools at their disposal to help them track inefficient database code.</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Historically the applicable V$ view here has been V$SQLAREA. Starting with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Oracle added the ELAPSED_TIME and CPU_TIME columns, which have been a huge help in determining the actual end user experience of a SQL statement execution (at least, when dividing them by the EXECUTIONS column, which produces the average amount of time per execution).</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In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six new wait-related and timing columns have been added to V$SQLAREA:</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APPLICATION_WAIT_TIME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lastRenderedPageBreak/>
        <w:t>CONCURRENCY_WAIT_TIME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CLUSTER_WAIT_TIME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USER_IO_WAIT_TIME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PLSQL_EXEC_TIME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JAVA_EXEC_TIME</w:t>
      </w:r>
    </w:p>
    <w:p w:rsidR="001E4C56" w:rsidRDefault="001E4C56" w:rsidP="001E4C56">
      <w:pPr>
        <w:rPr>
          <w:rFonts w:ascii="Arial" w:eastAsia="Times New Roman" w:hAnsi="Arial" w:cs="Arial"/>
          <w:color w:val="000000"/>
          <w:sz w:val="18"/>
          <w:szCs w:val="18"/>
          <w:shd w:val="clear" w:color="auto" w:fill="FFFFFF"/>
          <w:lang w:val="en-GB" w:eastAsia="fr-FR"/>
        </w:rPr>
      </w:pPr>
      <w:r w:rsidRPr="001E4C56">
        <w:rPr>
          <w:rFonts w:ascii="Arial" w:eastAsia="Times New Roman" w:hAnsi="Arial" w:cs="Arial"/>
          <w:color w:val="000000"/>
          <w:sz w:val="18"/>
          <w:szCs w:val="18"/>
          <w:shd w:val="clear" w:color="auto" w:fill="FFFFFF"/>
          <w:lang w:val="en-GB" w:eastAsia="fr-FR"/>
        </w:rPr>
        <w:t>The new columns are helpful in determining, for example, the amount of time that a procedure spends in PL/SQL code vs. standard SQL execution, and if a SQL statement has experienced any particular user I/O waits. For example, a query you could use to find the top five SQL statements with the highest user I/O waits would be:</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select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from (select sql_text</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sql_id</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elapsed_time</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cpu_time</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user_io_wait_time</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from sys.v_$sqlarea</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order by 5 desc</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where rownum &lt; 6;</w:t>
      </w:r>
    </w:p>
    <w:p w:rsidR="001E4C56" w:rsidRDefault="001E4C56" w:rsidP="002E5C6A">
      <w:pPr>
        <w:rPr>
          <w:rFonts w:ascii="Arial" w:hAnsi="Arial" w:cs="Arial"/>
          <w:color w:val="000000"/>
          <w:sz w:val="18"/>
          <w:szCs w:val="18"/>
          <w:shd w:val="clear" w:color="auto" w:fill="FFFFFF"/>
          <w:lang w:val="en-GB"/>
        </w:rPr>
      </w:pPr>
    </w:p>
    <w:p w:rsidR="0098299B" w:rsidRPr="0098299B" w:rsidRDefault="0098299B" w:rsidP="0098299B">
      <w:pPr>
        <w:spacing w:after="0" w:line="240" w:lineRule="auto"/>
        <w:jc w:val="left"/>
        <w:rPr>
          <w:rFonts w:ascii="Times New Roman" w:eastAsia="Times New Roman" w:hAnsi="Times New Roman" w:cs="Times New Roman"/>
          <w:sz w:val="24"/>
          <w:szCs w:val="24"/>
          <w:lang w:val="en-GB" w:eastAsia="fr-FR"/>
        </w:rPr>
      </w:pPr>
      <w:r w:rsidRPr="0098299B">
        <w:rPr>
          <w:rFonts w:ascii="Arial" w:eastAsia="Times New Roman" w:hAnsi="Arial" w:cs="Arial"/>
          <w:color w:val="000000"/>
          <w:sz w:val="18"/>
          <w:szCs w:val="18"/>
          <w:shd w:val="clear" w:color="auto" w:fill="FFFFFF"/>
          <w:lang w:val="en-GB" w:eastAsia="fr-FR"/>
        </w:rPr>
        <w:t>Of course, getting the SQL statements with the highest elapsed time or wait time is good, but you need more detail to get to the heart of the matter</w:t>
      </w:r>
      <w:r w:rsidRPr="0098299B">
        <w:rPr>
          <w:rFonts w:ascii="Arial" w:eastAsia="Times New Roman" w:hAnsi="Arial" w:cs="Arial"/>
          <w:color w:val="000000"/>
          <w:sz w:val="18"/>
          <w:szCs w:val="18"/>
          <w:shd w:val="clear" w:color="auto" w:fill="FFFFFF"/>
          <w:lang w:eastAsia="fr-FR"/>
        </w:rPr>
        <w:t></w:t>
      </w:r>
      <w:r w:rsidRPr="0098299B">
        <w:rPr>
          <w:rFonts w:ascii="Arial" w:eastAsia="Times New Roman" w:hAnsi="Arial" w:cs="Arial"/>
          <w:color w:val="000000"/>
          <w:sz w:val="18"/>
          <w:szCs w:val="18"/>
          <w:shd w:val="clear" w:color="auto" w:fill="FFFFFF"/>
          <w:lang w:val="en-GB" w:eastAsia="fr-FR"/>
        </w:rPr>
        <w:t>which is where the V$ACTIVE_SESSION_HISTORY view again comes into play. With this view, you can find out what actual wait events delayed the SQL statement along with the actual files, objects, and object blocks that caused the waits (where applicable).</w:t>
      </w:r>
    </w:p>
    <w:p w:rsidR="0098299B" w:rsidRPr="0098299B" w:rsidRDefault="0098299B" w:rsidP="0098299B">
      <w:pPr>
        <w:shd w:val="clear" w:color="auto" w:fill="FFFFFF"/>
        <w:spacing w:after="0" w:line="312" w:lineRule="atLeast"/>
        <w:jc w:val="left"/>
        <w:rPr>
          <w:rFonts w:ascii="Arial" w:eastAsia="Times New Roman" w:hAnsi="Arial" w:cs="Arial"/>
          <w:color w:val="000000"/>
          <w:sz w:val="18"/>
          <w:szCs w:val="18"/>
          <w:lang w:val="en-GB" w:eastAsia="fr-FR"/>
        </w:rPr>
      </w:pPr>
      <w:r w:rsidRPr="0098299B">
        <w:rPr>
          <w:rFonts w:ascii="Arial" w:eastAsia="Times New Roman" w:hAnsi="Arial" w:cs="Arial"/>
          <w:color w:val="000000"/>
          <w:sz w:val="18"/>
          <w:szCs w:val="18"/>
          <w:lang w:val="en-GB" w:eastAsia="fr-FR"/>
        </w:rPr>
        <w:t>For example, let's say you've found a particular SQL statement that appears to be extremely deficient in terms of user I/O wait time. You can issue the following query to get the individual wait events associated with the query along with the corresponding wait times, files, and objects that were the source of those waits:</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select event,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time_waited,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owner,</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object_name,</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current_file#,</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current_block# </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from sys.v_$active_session_history a,</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sys.dba_objects b </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where sql_id = '6gvch1xu9ca3g'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a.current_obj# = b.object_id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time_waited &lt;&gt; 0</w:t>
      </w:r>
    </w:p>
    <w:p w:rsidR="002E5C6A"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w:t>
      </w:r>
    </w:p>
    <w:p w:rsidR="0098299B" w:rsidRDefault="0098299B" w:rsidP="0098299B">
      <w:pPr>
        <w:rPr>
          <w:rFonts w:ascii="Arial" w:hAnsi="Arial" w:cs="Arial"/>
          <w:color w:val="000000"/>
          <w:sz w:val="18"/>
          <w:szCs w:val="18"/>
          <w:shd w:val="clear" w:color="auto" w:fill="FFFFFF"/>
          <w:lang w:val="en-GB"/>
        </w:rPr>
      </w:pPr>
    </w:p>
    <w:p w:rsidR="009A090D" w:rsidRDefault="009A090D" w:rsidP="009A090D">
      <w:pPr>
        <w:pStyle w:val="Titre2"/>
        <w:rPr>
          <w:lang w:val="en-GB"/>
        </w:rPr>
      </w:pPr>
      <w:r>
        <w:rPr>
          <w:lang w:val="en-GB"/>
        </w:rPr>
        <w:t xml:space="preserve">Analysing Statspack – </w:t>
      </w:r>
    </w:p>
    <w:p w:rsidR="002E5C6A" w:rsidRDefault="009A090D" w:rsidP="002E5C6A">
      <w:pPr>
        <w:rPr>
          <w:lang w:val="en-GB"/>
        </w:rPr>
      </w:pPr>
      <w:r>
        <w:rPr>
          <w:lang w:val="en-GB"/>
        </w:rPr>
        <w:t xml:space="preserve">Notes on </w:t>
      </w:r>
      <w:hyperlink r:id="rId20" w:history="1">
        <w:r w:rsidRPr="001B3DE7">
          <w:rPr>
            <w:rStyle w:val="Lienhypertexte"/>
            <w:lang w:val="en-GB"/>
          </w:rPr>
          <w:t>https://jonathanlewis.wordpress.com/2008/02/18/analysing-statspack/</w:t>
        </w:r>
      </w:hyperlink>
    </w:p>
    <w:p w:rsidR="009A090D" w:rsidRDefault="0066065B" w:rsidP="0066065B">
      <w:pPr>
        <w:pStyle w:val="Titre3"/>
        <w:rPr>
          <w:lang w:val="en-GB"/>
        </w:rPr>
      </w:pPr>
      <w:r>
        <w:rPr>
          <w:lang w:val="en-GB"/>
        </w:rPr>
        <w:t>How do you interpret Statspack data ?</w:t>
      </w:r>
    </w:p>
    <w:p w:rsidR="00E6035F" w:rsidRPr="00E6035F" w:rsidRDefault="00E6035F" w:rsidP="00E6035F">
      <w:pPr>
        <w:rPr>
          <w:lang w:val="en-GB"/>
        </w:rPr>
      </w:pPr>
      <w:r>
        <w:rPr>
          <w:lang w:val="en-GB"/>
        </w:rPr>
        <w:t>Why do you want to interpret Sta</w:t>
      </w:r>
      <w:bookmarkStart w:id="1" w:name="_GoBack"/>
      <w:bookmarkEnd w:id="1"/>
      <w:r>
        <w:rPr>
          <w:lang w:val="en-GB"/>
        </w:rPr>
        <w:t>tspack data ?</w:t>
      </w:r>
    </w:p>
    <w:p w:rsidR="0066065B" w:rsidRPr="0066065B" w:rsidRDefault="0066065B" w:rsidP="0066065B">
      <w:pPr>
        <w:rPr>
          <w:lang w:val="en-GB"/>
        </w:rPr>
      </w:pPr>
    </w:p>
    <w:sectPr w:rsidR="0066065B" w:rsidRPr="0066065B"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ED9" w:rsidRDefault="00DF1ED9" w:rsidP="00F805FC">
      <w:r>
        <w:separator/>
      </w:r>
    </w:p>
  </w:endnote>
  <w:endnote w:type="continuationSeparator" w:id="0">
    <w:p w:rsidR="00DF1ED9" w:rsidRDefault="00DF1ED9"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6035F">
                                  <w:rPr>
                                    <w:b/>
                                    <w:noProof/>
                                    <w:color w:val="CB1F20" w:themeColor="text2"/>
                                  </w:rPr>
                                  <w:t>14</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DF1ED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6035F">
                            <w:rPr>
                              <w:b/>
                              <w:noProof/>
                              <w:color w:val="CB1F20" w:themeColor="text2"/>
                            </w:rPr>
                            <w:t>14</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DF1ED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ED9" w:rsidRDefault="00DF1ED9" w:rsidP="00F805FC">
      <w:r>
        <w:separator/>
      </w:r>
    </w:p>
  </w:footnote>
  <w:footnote w:type="continuationSeparator" w:id="0">
    <w:p w:rsidR="00DF1ED9" w:rsidRDefault="00DF1ED9"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E6035F">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E6035F">
      <w:rPr>
        <w:rFonts w:ascii="Arial" w:hAnsi="Arial"/>
        <w:noProof/>
        <w:color w:val="7F7F7F" w:themeColor="text1" w:themeTint="80"/>
        <w:sz w:val="14"/>
      </w:rPr>
      <w:t>Analysing Statspack –</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2">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24"/>
  </w:num>
  <w:num w:numId="4">
    <w:abstractNumId w:val="38"/>
  </w:num>
  <w:num w:numId="5">
    <w:abstractNumId w:val="26"/>
  </w:num>
  <w:num w:numId="6">
    <w:abstractNumId w:val="12"/>
  </w:num>
  <w:num w:numId="7">
    <w:abstractNumId w:val="13"/>
  </w:num>
  <w:num w:numId="8">
    <w:abstractNumId w:val="30"/>
  </w:num>
  <w:num w:numId="9">
    <w:abstractNumId w:val="28"/>
  </w:num>
  <w:num w:numId="10">
    <w:abstractNumId w:val="39"/>
  </w:num>
  <w:num w:numId="11">
    <w:abstractNumId w:val="17"/>
  </w:num>
  <w:num w:numId="12">
    <w:abstractNumId w:val="20"/>
  </w:num>
  <w:num w:numId="13">
    <w:abstractNumId w:val="23"/>
  </w:num>
  <w:num w:numId="14">
    <w:abstractNumId w:val="21"/>
  </w:num>
  <w:num w:numId="15">
    <w:abstractNumId w:val="35"/>
  </w:num>
  <w:num w:numId="16">
    <w:abstractNumId w:val="36"/>
  </w:num>
  <w:num w:numId="17">
    <w:abstractNumId w:val="18"/>
  </w:num>
  <w:num w:numId="18">
    <w:abstractNumId w:val="16"/>
  </w:num>
  <w:num w:numId="19">
    <w:abstractNumId w:val="29"/>
  </w:num>
  <w:num w:numId="20">
    <w:abstractNumId w:val="25"/>
  </w:num>
  <w:num w:numId="21">
    <w:abstractNumId w:val="19"/>
  </w:num>
  <w:num w:numId="22">
    <w:abstractNumId w:val="15"/>
  </w:num>
  <w:num w:numId="23">
    <w:abstractNumId w:val="34"/>
  </w:num>
  <w:num w:numId="24">
    <w:abstractNumId w:val="10"/>
  </w:num>
  <w:num w:numId="25">
    <w:abstractNumId w:val="33"/>
  </w:num>
  <w:num w:numId="26">
    <w:abstractNumId w:val="41"/>
  </w:num>
  <w:num w:numId="27">
    <w:abstractNumId w:val="22"/>
  </w:num>
  <w:num w:numId="28">
    <w:abstractNumId w:val="11"/>
  </w:num>
  <w:num w:numId="29">
    <w:abstractNumId w:val="26"/>
  </w:num>
  <w:num w:numId="30">
    <w:abstractNumId w:val="23"/>
  </w:num>
  <w:num w:numId="31">
    <w:abstractNumId w:val="40"/>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2"/>
  </w:num>
  <w:num w:numId="44">
    <w:abstractNumId w:val="14"/>
  </w:num>
  <w:num w:numId="45">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DC"/>
    <w:rsid w:val="00135FB9"/>
    <w:rsid w:val="00144457"/>
    <w:rsid w:val="00146472"/>
    <w:rsid w:val="0015364D"/>
    <w:rsid w:val="00153ABB"/>
    <w:rsid w:val="00155A80"/>
    <w:rsid w:val="00163595"/>
    <w:rsid w:val="001669F8"/>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124F"/>
    <w:rsid w:val="001F5D5F"/>
    <w:rsid w:val="002023D4"/>
    <w:rsid w:val="002046F9"/>
    <w:rsid w:val="00205CE6"/>
    <w:rsid w:val="00230B38"/>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5A4A"/>
    <w:rsid w:val="0027673D"/>
    <w:rsid w:val="00281EB9"/>
    <w:rsid w:val="00283566"/>
    <w:rsid w:val="00285068"/>
    <w:rsid w:val="002A0C4B"/>
    <w:rsid w:val="002A5381"/>
    <w:rsid w:val="002B295B"/>
    <w:rsid w:val="002C2248"/>
    <w:rsid w:val="002C27B4"/>
    <w:rsid w:val="002C3E81"/>
    <w:rsid w:val="002C561E"/>
    <w:rsid w:val="002C5FBB"/>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4D6B"/>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7F5"/>
    <w:rsid w:val="00654448"/>
    <w:rsid w:val="006563DD"/>
    <w:rsid w:val="0066065B"/>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802C0"/>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24C0"/>
    <w:rsid w:val="007F4DA3"/>
    <w:rsid w:val="007F6E0D"/>
    <w:rsid w:val="00803A9D"/>
    <w:rsid w:val="00810C49"/>
    <w:rsid w:val="00820E08"/>
    <w:rsid w:val="008275E1"/>
    <w:rsid w:val="00827867"/>
    <w:rsid w:val="00830993"/>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498"/>
    <w:rsid w:val="00935A69"/>
    <w:rsid w:val="00935ADC"/>
    <w:rsid w:val="0094059B"/>
    <w:rsid w:val="00950AFE"/>
    <w:rsid w:val="00951136"/>
    <w:rsid w:val="0095128E"/>
    <w:rsid w:val="009542AF"/>
    <w:rsid w:val="0095728D"/>
    <w:rsid w:val="0098299B"/>
    <w:rsid w:val="0098748E"/>
    <w:rsid w:val="0099580C"/>
    <w:rsid w:val="00995D65"/>
    <w:rsid w:val="009A090D"/>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05E50"/>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290F"/>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7C6"/>
    <w:rsid w:val="00C82FDC"/>
    <w:rsid w:val="00C84EEC"/>
    <w:rsid w:val="00C8550E"/>
    <w:rsid w:val="00C947EC"/>
    <w:rsid w:val="00CB16C5"/>
    <w:rsid w:val="00CB296B"/>
    <w:rsid w:val="00CB2EA1"/>
    <w:rsid w:val="00CB45D7"/>
    <w:rsid w:val="00CC0ADC"/>
    <w:rsid w:val="00CC0CE3"/>
    <w:rsid w:val="00CC1605"/>
    <w:rsid w:val="00CC245D"/>
    <w:rsid w:val="00CC6195"/>
    <w:rsid w:val="00CC621C"/>
    <w:rsid w:val="00CC7446"/>
    <w:rsid w:val="00CD1711"/>
    <w:rsid w:val="00CD4847"/>
    <w:rsid w:val="00CD7058"/>
    <w:rsid w:val="00CE2D64"/>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1ED9"/>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035F"/>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D6A1E"/>
    <w:rsid w:val="00EE072A"/>
    <w:rsid w:val="00EE1F21"/>
    <w:rsid w:val="00EE616A"/>
    <w:rsid w:val="00EE7B8E"/>
    <w:rsid w:val="00EF0E92"/>
    <w:rsid w:val="00EF68C8"/>
    <w:rsid w:val="00EF69EA"/>
    <w:rsid w:val="00EF7585"/>
    <w:rsid w:val="00F10286"/>
    <w:rsid w:val="00F21A0F"/>
    <w:rsid w:val="00F26326"/>
    <w:rsid w:val="00F264CA"/>
    <w:rsid w:val="00F3113C"/>
    <w:rsid w:val="00F340CE"/>
    <w:rsid w:val="00F34C57"/>
    <w:rsid w:val="00F412CE"/>
    <w:rsid w:val="00F500AE"/>
    <w:rsid w:val="00F50557"/>
    <w:rsid w:val="00F54316"/>
    <w:rsid w:val="00F60A57"/>
    <w:rsid w:val="00F71216"/>
    <w:rsid w:val="00F713F1"/>
    <w:rsid w:val="00F71663"/>
    <w:rsid w:val="00F746DB"/>
    <w:rsid w:val="00F76642"/>
    <w:rsid w:val="00F805FC"/>
    <w:rsid w:val="00F80690"/>
    <w:rsid w:val="00F87B25"/>
    <w:rsid w:val="00F952EA"/>
    <w:rsid w:val="00FA2B18"/>
    <w:rsid w:val="00FA3F16"/>
    <w:rsid w:val="00FB33CE"/>
    <w:rsid w:val="00FB5A18"/>
    <w:rsid w:val="00FC2974"/>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bspecialists.com/not-licensed-for-awr-use-statspack-instead/" TargetMode="External"/><Relationship Id="rId18" Type="http://schemas.openxmlformats.org/officeDocument/2006/relationships/hyperlink" Target="http://www.remote-dba.net/t_op_sql_high_use.ht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jonathanlewis.wordpress.com/category/oracle/statspack/" TargetMode="External"/><Relationship Id="rId2" Type="http://schemas.openxmlformats.org/officeDocument/2006/relationships/customXml" Target="../customXml/item2.xml"/><Relationship Id="rId16" Type="http://schemas.openxmlformats.org/officeDocument/2006/relationships/hyperlink" Target="https://www.akadia.com/services/ora_statspack_survival_guide.html" TargetMode="External"/><Relationship Id="rId20" Type="http://schemas.openxmlformats.org/officeDocument/2006/relationships/hyperlink" Target="https://jonathanlewis.wordpress.com/2008/02/18/analysing-statspa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blog.dbi-services.com/awrrpt-and-spreport-in-multitenant/"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orafrance.developpez.com/dbahel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erfstat.wordpress.com/2014/09/04/capturing-long-running-sql-in-statspac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5C42D2"/>
    <w:rsid w:val="00A42D04"/>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B6BFE-EF93-4204-9726-505C65D9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17</TotalTime>
  <Pages>14</Pages>
  <Words>4058</Words>
  <Characters>22319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Workshop for Rapport d’audit</dc:subject>
  <dc:creator>jacques.e@live.fr</dc:creator>
  <cp:keywords>V 1.0</cp:keywords>
  <cp:lastModifiedBy>Jacques</cp:lastModifiedBy>
  <cp:revision>18</cp:revision>
  <cp:lastPrinted>2016-12-15T15:41:00Z</cp:lastPrinted>
  <dcterms:created xsi:type="dcterms:W3CDTF">2017-10-24T09:04:00Z</dcterms:created>
  <dcterms:modified xsi:type="dcterms:W3CDTF">2017-10-24T09:20:00Z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