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Content>
                <w:r w:rsidR="000456B2">
                  <w:t xml:space="preserve">V </w:t>
                </w:r>
                <w:r w:rsidR="00FC7746">
                  <w:t>0</w:t>
                </w:r>
                <w:r w:rsidR="000456B2">
                  <w:t>.</w:t>
                </w:r>
                <w:r w:rsidR="00FC7746">
                  <w:t>21</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9" w:type="pct"/>
          </w:tcPr>
          <w:p w:rsidR="000661C1" w:rsidRPr="00F805FC" w:rsidRDefault="000661C1" w:rsidP="0047664F">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Content>
            <w:tc>
              <w:tcPr>
                <w:tcW w:w="514" w:type="pct"/>
              </w:tcPr>
              <w:p w:rsidR="000661C1" w:rsidRPr="00F805FC" w:rsidRDefault="00FC7746" w:rsidP="0047664F">
                <w:r>
                  <w:t>V 0.21</w:t>
                </w:r>
              </w:p>
            </w:tc>
          </w:sdtContent>
        </w:sdt>
        <w:tc>
          <w:tcPr>
            <w:tcW w:w="809" w:type="pct"/>
          </w:tcPr>
          <w:p w:rsidR="000661C1" w:rsidRPr="00F805FC" w:rsidRDefault="007F4DA3" w:rsidP="0047664F">
            <w:r>
              <w:t>JEA</w:t>
            </w:r>
          </w:p>
        </w:tc>
        <w:tc>
          <w:tcPr>
            <w:tcW w:w="652" w:type="pct"/>
          </w:tcPr>
          <w:p w:rsidR="000661C1" w:rsidRPr="00F805FC" w:rsidRDefault="00633C8D" w:rsidP="0047664F">
            <w:r>
              <w:t>16/10</w:t>
            </w:r>
            <w:r w:rsidR="004C0DA2">
              <w:t>/</w:t>
            </w:r>
            <w:r w:rsidR="00B87CEA">
              <w:t>20</w:t>
            </w:r>
            <w:r w:rsidR="004C0DA2">
              <w:t>17</w:t>
            </w:r>
          </w:p>
        </w:tc>
        <w:tc>
          <w:tcPr>
            <w:tcW w:w="894" w:type="pct"/>
          </w:tcPr>
          <w:p w:rsidR="000661C1" w:rsidRPr="00F805FC" w:rsidRDefault="000661C1" w:rsidP="0047664F"/>
        </w:tc>
        <w:tc>
          <w:tcPr>
            <w:tcW w:w="619" w:type="pct"/>
          </w:tcPr>
          <w:p w:rsidR="000661C1" w:rsidRPr="00F805FC" w:rsidRDefault="000661C1" w:rsidP="0047664F"/>
        </w:tc>
        <w:tc>
          <w:tcPr>
            <w:tcW w:w="854" w:type="pct"/>
          </w:tcPr>
          <w:p w:rsidR="000661C1" w:rsidRPr="00F805FC" w:rsidRDefault="000661C1" w:rsidP="0047664F"/>
        </w:tc>
        <w:tc>
          <w:tcPr>
            <w:tcW w:w="659" w:type="pct"/>
          </w:tcPr>
          <w:p w:rsidR="000661C1" w:rsidRPr="00F805FC" w:rsidRDefault="000661C1" w:rsidP="0047664F"/>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DE6FF5">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DE6FF5">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DE6FF5">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DE6FF5">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DE6FF5">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9F65E4" w:rsidRDefault="009F65E4" w:rsidP="009F65E4">
      <w:pPr>
        <w:pStyle w:val="Titre3"/>
      </w:pPr>
      <w:r>
        <w:t>La base STORPROD</w:t>
      </w:r>
    </w:p>
    <w:p w:rsidR="009F65E4" w:rsidRDefault="009F65E4" w:rsidP="009F65E4">
      <w:pPr>
        <w:pStyle w:val="Titre4"/>
      </w:pPr>
      <w:r>
        <w:t>Description logique</w:t>
      </w:r>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r w:rsidR="00AF67D1">
        <w:t>tablespaces</w:t>
      </w:r>
    </w:p>
    <w:tbl>
      <w:tblPr>
        <w:tblW w:w="8569"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391"/>
        <w:gridCol w:w="676"/>
        <w:gridCol w:w="927"/>
        <w:gridCol w:w="1256"/>
      </w:tblGrid>
      <w:tr w:rsidR="003D7F64" w:rsidRPr="00BA3FE1" w:rsidTr="003D7F64">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391"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31"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31" w:type="dxa"/>
            <w:shd w:val="pct5" w:color="auto" w:fill="auto"/>
          </w:tcPr>
          <w:p w:rsidR="003D7F64" w:rsidRDefault="003D7F64">
            <w:pPr>
              <w:rPr>
                <w:color w:val="000000"/>
                <w:sz w:val="22"/>
              </w:rPr>
            </w:pPr>
            <w:r>
              <w:rPr>
                <w:color w:val="000000"/>
                <w:sz w:val="22"/>
              </w:rPr>
              <w:t>MIN EXTENTS</w:t>
            </w:r>
          </w:p>
        </w:tc>
        <w:tc>
          <w:tcPr>
            <w:tcW w:w="931" w:type="dxa"/>
            <w:shd w:val="pct5" w:color="auto" w:fill="auto"/>
          </w:tcPr>
          <w:p w:rsidR="003D7F64" w:rsidRDefault="003D7F64" w:rsidP="003D7F64">
            <w:pPr>
              <w:rPr>
                <w:color w:val="000000"/>
                <w:sz w:val="22"/>
              </w:rPr>
            </w:pPr>
            <w:r>
              <w:rPr>
                <w:color w:val="000000"/>
                <w:sz w:val="22"/>
              </w:rPr>
              <w:t>MAX EXTENTS</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1048576</w:t>
            </w:r>
          </w:p>
        </w:tc>
        <w:tc>
          <w:tcPr>
            <w:tcW w:w="931" w:type="dxa"/>
          </w:tcPr>
          <w:p w:rsidR="003D7F64" w:rsidRDefault="003D7F64">
            <w:pPr>
              <w:rPr>
                <w:color w:val="000000"/>
                <w:sz w:val="22"/>
              </w:rPr>
            </w:pP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bl>
    <w:p w:rsidR="00AF67D1" w:rsidRDefault="00EA3343" w:rsidP="00AF67D1">
      <w:r>
        <w:t>Les tables et index du schéma storeland sont respectivement répartis sur les tablespaces STORELAND_DATA et STORELAND_IDX.</w:t>
      </w:r>
    </w:p>
    <w:p w:rsidR="00320719" w:rsidRDefault="00320719" w:rsidP="00320719">
      <w:pPr>
        <w:pStyle w:val="Titre5"/>
      </w:pPr>
      <w:r>
        <w:t>Les database files du schéma Storeland</w:t>
      </w:r>
    </w:p>
    <w:tbl>
      <w:tblPr>
        <w:tblW w:w="4600"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80"/>
        <w:gridCol w:w="2520"/>
      </w:tblGrid>
      <w:tr w:rsidR="00320719" w:rsidTr="00320719">
        <w:trPr>
          <w:trHeight w:val="315"/>
          <w:tblHeader/>
        </w:trPr>
        <w:tc>
          <w:tcPr>
            <w:tcW w:w="2080" w:type="dxa"/>
            <w:tcBorders>
              <w:top w:val="nil"/>
              <w:bottom w:val="single" w:sz="4" w:space="0" w:color="auto"/>
            </w:tcBorders>
            <w:shd w:val="pct5" w:color="auto" w:fill="auto"/>
            <w:noWrap/>
            <w:hideMark/>
          </w:tcPr>
          <w:p w:rsidR="00320719" w:rsidRDefault="00320719">
            <w:pPr>
              <w:jc w:val="right"/>
              <w:rPr>
                <w:color w:val="000000"/>
                <w:sz w:val="22"/>
              </w:rPr>
            </w:pPr>
            <w:r>
              <w:rPr>
                <w:color w:val="000000"/>
                <w:sz w:val="22"/>
              </w:rPr>
              <w:t>Taille (octets)</w:t>
            </w:r>
          </w:p>
        </w:tc>
        <w:tc>
          <w:tcPr>
            <w:tcW w:w="2520" w:type="dxa"/>
            <w:tcBorders>
              <w:top w:val="nil"/>
              <w:bottom w:val="single" w:sz="4" w:space="0" w:color="auto"/>
            </w:tcBorders>
            <w:shd w:val="pct5" w:color="auto" w:fill="auto"/>
            <w:noWrap/>
            <w:hideMark/>
          </w:tcPr>
          <w:p w:rsidR="00320719" w:rsidRDefault="00320719">
            <w:pPr>
              <w:rPr>
                <w:color w:val="000000"/>
                <w:sz w:val="22"/>
              </w:rPr>
            </w:pPr>
            <w:r>
              <w:rPr>
                <w:color w:val="000000"/>
                <w:sz w:val="22"/>
              </w:rPr>
              <w:t>Fichier</w:t>
            </w:r>
          </w:p>
        </w:tc>
      </w:tr>
      <w:tr w:rsidR="00320719" w:rsidRPr="00320719" w:rsidTr="00320719">
        <w:trPr>
          <w:trHeight w:val="289"/>
        </w:trPr>
        <w:tc>
          <w:tcPr>
            <w:tcW w:w="2080" w:type="dxa"/>
            <w:tcBorders>
              <w:top w:val="single" w:sz="4" w:space="0" w:color="auto"/>
            </w:tcBorders>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tcBorders>
              <w:top w:val="single" w:sz="4" w:space="0" w:color="auto"/>
            </w:tcBorders>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8"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r>
        <w:t>Augmenter la RAM</w:t>
      </w:r>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372441" w:rsidRDefault="00372441" w:rsidP="004950EE">
      <w:pPr>
        <w:pStyle w:val="Titre2"/>
      </w:pPr>
      <w:r>
        <w:t>Tables fragmentées</w:t>
      </w:r>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bookmarkStart w:id="5" w:name="_GoBack"/>
      <w:bookmarkEnd w:id="5"/>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42,85</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89,96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51,02</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44,63</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31,09</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76,55</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23,66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LOG_TRAITEMENTS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42,16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35,26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lastRenderedPageBreak/>
              <w:t>LBM_CLIENT_TOP</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20,23</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372441" w:rsidRPr="00372441" w:rsidRDefault="00372441" w:rsidP="00372441"/>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7247C4" w:rsidRDefault="00F73E54" w:rsidP="00126620">
      <w:pPr>
        <w:pStyle w:val="Titre3"/>
      </w:pPr>
      <w:r w:rsidRPr="00372441">
        <w:t xml:space="preserve">Package </w:t>
      </w:r>
      <w:r w:rsidR="00126620" w:rsidRPr="00372441">
        <w:t>STORELAND.</w:t>
      </w:r>
      <w:r w:rsidRPr="00372441">
        <w:t>PK_LB</w:t>
      </w:r>
      <w:r w:rsidRPr="00126620">
        <w:rPr>
          <w:lang w:val="en-GB"/>
        </w:rPr>
        <w:t>M_VENTES_GU</w:t>
      </w:r>
    </w:p>
    <w:p w:rsidR="00AE3C22" w:rsidRDefault="00F73E54" w:rsidP="00126620">
      <w:pPr>
        <w:pStyle w:val="Titre4"/>
        <w:rPr>
          <w:lang w:val="en-GB"/>
        </w:rPr>
      </w:pPr>
      <w:r w:rsidRPr="00FC7746">
        <w:rPr>
          <w:lang w:val="en-US"/>
        </w:rPr>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FC7746">
        <w:t xml:space="preserve"> lock</w:t>
      </w:r>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7247C4" w:rsidRDefault="00A53981" w:rsidP="00A53981">
      <w:pPr>
        <w:pStyle w:val="Paragraphedeliste"/>
        <w:numPr>
          <w:ilvl w:val="0"/>
          <w:numId w:val="47"/>
        </w:numPr>
        <w:rPr>
          <w:lang w:val="fr-WINDIES"/>
        </w:rPr>
      </w:pPr>
      <w:r w:rsidRPr="00A53981">
        <w:rPr>
          <w:lang w:val="en-US"/>
        </w:rPr>
        <w:t>PRC_LBM_TypeAM</w:t>
      </w:r>
    </w:p>
    <w:p w:rsidR="00A5557E"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mettre a jour LBM_MESSAGE_ID si id_batch est</w:t>
      </w:r>
      <w:r w:rsidRPr="00FC7746">
        <w:rPr>
          <w:rFonts w:ascii="Lucida Console" w:hAnsi="Lucida Console"/>
          <w:sz w:val="16"/>
          <w:szCs w:val="16"/>
        </w:rPr>
        <w:t xml:space="preserve"> null</w:t>
      </w:r>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Remplacement</w:t>
      </w:r>
      <w:r>
        <w:rPr>
          <w:rFonts w:ascii="Lucida Console" w:hAnsi="Lucida Console"/>
          <w:sz w:val="16"/>
          <w:szCs w:val="16"/>
          <w:lang w:val="en-US"/>
        </w:rPr>
        <w:t xml:space="preserve"> de la</w:t>
      </w:r>
      <w:r w:rsidRPr="00FC7746">
        <w:rPr>
          <w:rFonts w:ascii="Lucida Console" w:hAnsi="Lucida Console"/>
          <w:sz w:val="16"/>
          <w:szCs w:val="16"/>
          <w:lang w:val="en-US"/>
        </w:rPr>
        <w:t xml:space="preserve"> ligne</w:t>
      </w: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t>Une solution alternative consiste à créer un index comportant des fonctions (function-based index) :</w:t>
      </w:r>
    </w:p>
    <w:p w:rsidR="004A56FD" w:rsidRDefault="004A56FD" w:rsidP="004A56FD">
      <w:pPr>
        <w:pStyle w:val="Paragraphedeliste"/>
        <w:numPr>
          <w:ilvl w:val="0"/>
          <w:numId w:val="48"/>
        </w:numPr>
      </w:pPr>
      <w:r>
        <w:t>Créer l’index</w:t>
      </w:r>
    </w:p>
    <w:p w:rsidR="0064239F" w:rsidRP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64239F" w:rsidRP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(To_Number(stecaisse), Trunc (datehtrans)) ;</w:t>
      </w:r>
    </w:p>
    <w:p w:rsidR="004A56FD" w:rsidRDefault="004A56FD" w:rsidP="004A56FD">
      <w:pPr>
        <w:pStyle w:val="Paragraphedeliste"/>
        <w:numPr>
          <w:ilvl w:val="0"/>
          <w:numId w:val="48"/>
        </w:numPr>
      </w:pPr>
      <w:r>
        <w:t>Calculer les statistiques de la table ou au moins du nouvel index</w:t>
      </w:r>
    </w:p>
    <w:p w:rsid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DBMS_STATS.gather_table_stats </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64239F" w:rsidRP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64239F" w:rsidRDefault="004A56FD" w:rsidP="0064239F">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ownname =&gt; 'STORELAND'</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 indname =&gt; 'LBM_VENTE_POSTE_FB_STEC_DATEH'</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 force =&gt; TRUE</w:t>
      </w:r>
    </w:p>
    <w:p w:rsidR="004A56FD" w:rsidRP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w:t>
      </w:r>
    </w:p>
    <w:p w:rsidR="0047664F" w:rsidRPr="004A56FD" w:rsidRDefault="0047664F" w:rsidP="005116D9">
      <w:pPr>
        <w:rPr>
          <w:lang w:val="en-US"/>
        </w:rPr>
      </w:pP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Vérifications de la sort_area_size</w:t>
      </w:r>
      <w:r w:rsidR="007642F3">
        <w:t xml:space="preserve"> ou (si elle est utilisée de la </w:t>
      </w:r>
      <w:r w:rsidR="007642F3" w:rsidRPr="007642F3">
        <w:t>pga_aggregate_target)</w:t>
      </w:r>
      <w:r w:rsidRPr="006A63CF">
        <w:t xml:space="preserve"> </w:t>
      </w:r>
    </w:p>
    <w:p w:rsidR="0099580C" w:rsidRDefault="00C84EEC" w:rsidP="00EA6529">
      <w:pPr>
        <w:rPr>
          <w:iCs/>
        </w:rPr>
      </w:pPr>
      <w:r>
        <w:t>NB</w:t>
      </w:r>
      <w:r w:rsidR="00CD4847">
        <w:t xml:space="preserve">1.. </w:t>
      </w:r>
      <w:r w:rsidR="0099580C">
        <w:t xml:space="preserve">Attention vérifier si </w:t>
      </w:r>
      <w:r w:rsidR="0099580C" w:rsidRPr="00EA6529">
        <w:rPr>
          <w:i/>
          <w:iCs/>
        </w:rPr>
        <w:t>workarea_size_policy =auto</w:t>
      </w:r>
      <w:r w:rsidR="0099580C" w:rsidRPr="00EA6529">
        <w:rPr>
          <w:iCs/>
        </w:rPr>
        <w:t>=&gt; dans ce cas, ce paramétrage n’est plus utilisé.</w:t>
      </w:r>
    </w:p>
    <w:p w:rsidR="00CD4847" w:rsidRPr="0099580C" w:rsidRDefault="00CD4847" w:rsidP="00EA6529">
      <w:r w:rsidRPr="00CD4847">
        <w:t xml:space="preserve">NB2. Dans init.ora, </w:t>
      </w:r>
      <w:r w:rsidRPr="00BF5878">
        <w:rPr>
          <w:b/>
        </w:rPr>
        <w:t>sort_area_size=1048576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Sur l'utilisation de la mémpoire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sorts_disk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sorts_disk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DE6FF5" w:rsidP="00E419F1">
      <w:pPr>
        <w:jc w:val="left"/>
      </w:pPr>
      <w:hyperlink r:id="rId19" w:history="1">
        <w:r w:rsidR="00E419F1" w:rsidRPr="00452A1A">
          <w:rPr>
            <w:rStyle w:val="Lienhypertexte"/>
          </w:rPr>
          <w:t>http://dbspecialists.com/not-licensed-for-awr-use-statspack-instead/</w:t>
        </w:r>
      </w:hyperlink>
    </w:p>
    <w:p w:rsidR="00E419F1" w:rsidRDefault="00DE6FF5" w:rsidP="00E419F1">
      <w:pPr>
        <w:jc w:val="left"/>
      </w:pPr>
      <w:hyperlink r:id="rId20" w:history="1">
        <w:r w:rsidR="00E419F1" w:rsidRPr="00452A1A">
          <w:rPr>
            <w:rStyle w:val="Lienhypertexte"/>
          </w:rPr>
          <w:t>https://perfstat.wordpress.com/2014/09/04/capturing-long-running-sql-in-statspack/</w:t>
        </w:r>
      </w:hyperlink>
    </w:p>
    <w:p w:rsidR="00E419F1" w:rsidRDefault="00DE6FF5" w:rsidP="00E419F1">
      <w:pPr>
        <w:jc w:val="left"/>
      </w:pPr>
      <w:hyperlink r:id="rId21" w:history="1">
        <w:r w:rsidR="00E419F1" w:rsidRPr="00452A1A">
          <w:rPr>
            <w:rStyle w:val="Lienhypertexte"/>
          </w:rPr>
          <w:t>https://blog.dbi-services.com/awrrpt-and-spreport-in-multitenant/</w:t>
        </w:r>
      </w:hyperlink>
    </w:p>
    <w:p w:rsidR="00E419F1" w:rsidRDefault="00DE6FF5" w:rsidP="00E419F1">
      <w:pPr>
        <w:jc w:val="left"/>
      </w:pPr>
      <w:hyperlink r:id="rId22" w:history="1">
        <w:r w:rsidR="0045123A" w:rsidRPr="00452A1A">
          <w:rPr>
            <w:rStyle w:val="Lienhypertexte"/>
          </w:rPr>
          <w:t>https://www.akadia.com/services/ora_statspack_survival_guide.html</w:t>
        </w:r>
      </w:hyperlink>
    </w:p>
    <w:p w:rsidR="0045123A" w:rsidRDefault="00DE6FF5" w:rsidP="00E419F1">
      <w:pPr>
        <w:jc w:val="left"/>
      </w:pPr>
      <w:hyperlink r:id="rId23" w:history="1">
        <w:r w:rsidR="00F21A0F" w:rsidRPr="00452A1A">
          <w:rPr>
            <w:rStyle w:val="Lienhypertexte"/>
          </w:rPr>
          <w:t>https://jonathanlewis.wordpress.com/category/oracle/statspack/</w:t>
        </w:r>
      </w:hyperlink>
    </w:p>
    <w:p w:rsidR="00F21A0F" w:rsidRDefault="00DE6FF5" w:rsidP="00E419F1">
      <w:pPr>
        <w:jc w:val="left"/>
      </w:pPr>
      <w:hyperlink r:id="rId24"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DE6FF5" w:rsidP="00E419F1">
      <w:pPr>
        <w:jc w:val="left"/>
      </w:pPr>
      <w:hyperlink r:id="rId25"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even" r:id="rId26"/>
      <w:headerReference w:type="default" r:id="rId27"/>
      <w:headerReference w:type="first" r:id="rId2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3F8" w:rsidRDefault="005503F8" w:rsidP="00F805FC">
      <w:r>
        <w:separator/>
      </w:r>
    </w:p>
  </w:endnote>
  <w:endnote w:type="continuationSeparator" w:id="0">
    <w:p w:rsidR="005503F8" w:rsidRDefault="005503F8"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DE6FF5" w:rsidRPr="007D138E" w:rsidRDefault="00DE6FF5"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DE6FF5" w:rsidRPr="00677607" w:rsidRDefault="00DE6FF5"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E03738">
                                  <w:rPr>
                                    <w:b/>
                                    <w:noProof/>
                                    <w:color w:val="CB1F20" w:themeColor="text2"/>
                                  </w:rPr>
                                  <w:t>9</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DE6FF5" w:rsidRPr="009F11FB" w:rsidRDefault="00DE6FF5"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Content>
                                    <w:r>
                                      <w:rPr>
                                        <w:b/>
                                        <w:sz w:val="16"/>
                                        <w:szCs w:val="20"/>
                                      </w:rPr>
                                      <w:t>Audit de la base Oracle MARCELLO</w:t>
                                    </w:r>
                                  </w:sdtContent>
                                </w:sdt>
                                <w:r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DE6FF5" w:rsidRPr="00677607" w:rsidRDefault="00DE6FF5"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E03738">
                            <w:rPr>
                              <w:b/>
                              <w:noProof/>
                              <w:color w:val="CB1F20" w:themeColor="text2"/>
                            </w:rPr>
                            <w:t>9</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DE6FF5" w:rsidRPr="009F11FB" w:rsidRDefault="00DE6FF5"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Content>
                              <w:r>
                                <w:rPr>
                                  <w:b/>
                                  <w:sz w:val="16"/>
                                  <w:szCs w:val="20"/>
                                </w:rPr>
                                <w:t>Audit de la base Oracle MARCELLO</w:t>
                              </w:r>
                            </w:sdtContent>
                          </w:sdt>
                          <w:r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DE6FF5" w:rsidRDefault="00DE6FF5"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3F8" w:rsidRDefault="005503F8" w:rsidP="00F805FC">
      <w:r>
        <w:separator/>
      </w:r>
    </w:p>
  </w:footnote>
  <w:footnote w:type="continuationSeparator" w:id="0">
    <w:p w:rsidR="005503F8" w:rsidRDefault="005503F8"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Pr="004B286C" w:rsidRDefault="00DE6FF5"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E03738">
      <w:rPr>
        <w:rFonts w:ascii="Arial" w:hAnsi="Arial"/>
        <w:noProof/>
        <w:sz w:val="18"/>
      </w:rPr>
      <w:t>Les opportunités d’amélioration</w:t>
    </w:r>
    <w:r w:rsidRPr="004B286C">
      <w:rPr>
        <w:rFonts w:ascii="Arial" w:hAnsi="Arial"/>
        <w:noProof/>
        <w:sz w:val="18"/>
      </w:rPr>
      <w:fldChar w:fldCharType="end"/>
    </w:r>
  </w:p>
  <w:p w:rsidR="00DE6FF5" w:rsidRPr="004B286C" w:rsidRDefault="00DE6FF5"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E03738">
      <w:rPr>
        <w:rFonts w:ascii="Arial" w:hAnsi="Arial"/>
        <w:noProof/>
        <w:color w:val="7F7F7F" w:themeColor="text1" w:themeTint="80"/>
        <w:sz w:val="14"/>
      </w:rPr>
      <w:t>Mettre en place un plan de migration vers une version en cours de support</w:t>
    </w:r>
    <w:r w:rsidRPr="004B286C">
      <w:rPr>
        <w:rFonts w:ascii="Arial" w:hAnsi="Arial"/>
        <w:color w:val="7F7F7F" w:themeColor="text1" w:themeTint="80"/>
        <w:sz w:val="14"/>
      </w:rPr>
      <w:fldChar w:fldCharType="end"/>
    </w:r>
  </w:p>
  <w:p w:rsidR="00DE6FF5" w:rsidRDefault="00DE6FF5">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4">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0"/>
  </w:num>
  <w:num w:numId="5">
    <w:abstractNumId w:val="26"/>
  </w:num>
  <w:num w:numId="6">
    <w:abstractNumId w:val="12"/>
  </w:num>
  <w:num w:numId="7">
    <w:abstractNumId w:val="13"/>
  </w:num>
  <w:num w:numId="8">
    <w:abstractNumId w:val="32"/>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7"/>
  </w:num>
  <w:num w:numId="16">
    <w:abstractNumId w:val="38"/>
  </w:num>
  <w:num w:numId="17">
    <w:abstractNumId w:val="18"/>
  </w:num>
  <w:num w:numId="18">
    <w:abstractNumId w:val="16"/>
  </w:num>
  <w:num w:numId="19">
    <w:abstractNumId w:val="31"/>
  </w:num>
  <w:num w:numId="20">
    <w:abstractNumId w:val="25"/>
  </w:num>
  <w:num w:numId="21">
    <w:abstractNumId w:val="19"/>
  </w:num>
  <w:num w:numId="22">
    <w:abstractNumId w:val="15"/>
  </w:num>
  <w:num w:numId="23">
    <w:abstractNumId w:val="36"/>
  </w:num>
  <w:num w:numId="24">
    <w:abstractNumId w:val="10"/>
  </w:num>
  <w:num w:numId="25">
    <w:abstractNumId w:val="35"/>
  </w:num>
  <w:num w:numId="26">
    <w:abstractNumId w:val="44"/>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4"/>
  </w:num>
  <w:num w:numId="44">
    <w:abstractNumId w:val="14"/>
  </w:num>
  <w:num w:numId="45">
    <w:abstractNumId w:val="39"/>
  </w:num>
  <w:num w:numId="46">
    <w:abstractNumId w:val="30"/>
  </w:num>
  <w:num w:numId="47">
    <w:abstractNumId w:val="29"/>
  </w:num>
  <w:num w:numId="48">
    <w:abstractNumId w:val="4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00DC"/>
    <w:rsid w:val="00021479"/>
    <w:rsid w:val="00023AC3"/>
    <w:rsid w:val="000251E9"/>
    <w:rsid w:val="00030F6B"/>
    <w:rsid w:val="00032FBE"/>
    <w:rsid w:val="00033C84"/>
    <w:rsid w:val="00034AF2"/>
    <w:rsid w:val="000416A5"/>
    <w:rsid w:val="000456B2"/>
    <w:rsid w:val="000542EE"/>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0769"/>
    <w:rsid w:val="00106258"/>
    <w:rsid w:val="00112C47"/>
    <w:rsid w:val="00114FE6"/>
    <w:rsid w:val="00120B30"/>
    <w:rsid w:val="00122BD8"/>
    <w:rsid w:val="001235D3"/>
    <w:rsid w:val="001260EF"/>
    <w:rsid w:val="00126620"/>
    <w:rsid w:val="001266DC"/>
    <w:rsid w:val="0012709A"/>
    <w:rsid w:val="00135FB9"/>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13D18"/>
    <w:rsid w:val="00221BEB"/>
    <w:rsid w:val="00230B38"/>
    <w:rsid w:val="00231074"/>
    <w:rsid w:val="00234A94"/>
    <w:rsid w:val="00235773"/>
    <w:rsid w:val="00235FC4"/>
    <w:rsid w:val="002421C8"/>
    <w:rsid w:val="002440D8"/>
    <w:rsid w:val="002502DB"/>
    <w:rsid w:val="00250884"/>
    <w:rsid w:val="00251F85"/>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61461"/>
    <w:rsid w:val="003629E9"/>
    <w:rsid w:val="00371F18"/>
    <w:rsid w:val="00372441"/>
    <w:rsid w:val="00376BBC"/>
    <w:rsid w:val="0038203A"/>
    <w:rsid w:val="0038340A"/>
    <w:rsid w:val="00390E54"/>
    <w:rsid w:val="00392FF3"/>
    <w:rsid w:val="00396E4D"/>
    <w:rsid w:val="003A569C"/>
    <w:rsid w:val="003B21ED"/>
    <w:rsid w:val="003B24A5"/>
    <w:rsid w:val="003B25C5"/>
    <w:rsid w:val="003B3EA3"/>
    <w:rsid w:val="003D039E"/>
    <w:rsid w:val="003D5992"/>
    <w:rsid w:val="003D7F64"/>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64F"/>
    <w:rsid w:val="00476ED3"/>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43C94"/>
    <w:rsid w:val="0054494E"/>
    <w:rsid w:val="005503F8"/>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247C4"/>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707D6"/>
    <w:rsid w:val="009807C4"/>
    <w:rsid w:val="0098299B"/>
    <w:rsid w:val="0098748E"/>
    <w:rsid w:val="00990024"/>
    <w:rsid w:val="0099580C"/>
    <w:rsid w:val="00995D65"/>
    <w:rsid w:val="009A0E09"/>
    <w:rsid w:val="009A25E4"/>
    <w:rsid w:val="009C1437"/>
    <w:rsid w:val="009C6634"/>
    <w:rsid w:val="009D5E81"/>
    <w:rsid w:val="009E29A0"/>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52CB2"/>
    <w:rsid w:val="00A53981"/>
    <w:rsid w:val="00A5557E"/>
    <w:rsid w:val="00A57CDD"/>
    <w:rsid w:val="00A64C48"/>
    <w:rsid w:val="00A6795B"/>
    <w:rsid w:val="00A7603D"/>
    <w:rsid w:val="00A835EB"/>
    <w:rsid w:val="00A84EF2"/>
    <w:rsid w:val="00A86CAF"/>
    <w:rsid w:val="00A910AB"/>
    <w:rsid w:val="00A95F1C"/>
    <w:rsid w:val="00A964A6"/>
    <w:rsid w:val="00AA5B5B"/>
    <w:rsid w:val="00AA5C25"/>
    <w:rsid w:val="00AB05E7"/>
    <w:rsid w:val="00AC3C11"/>
    <w:rsid w:val="00AC4245"/>
    <w:rsid w:val="00AC4F69"/>
    <w:rsid w:val="00AD2E24"/>
    <w:rsid w:val="00AD68A2"/>
    <w:rsid w:val="00AD71AE"/>
    <w:rsid w:val="00AD7680"/>
    <w:rsid w:val="00AE3C22"/>
    <w:rsid w:val="00AE51BA"/>
    <w:rsid w:val="00AF3A9E"/>
    <w:rsid w:val="00AF54DD"/>
    <w:rsid w:val="00AF67D1"/>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0709E"/>
    <w:rsid w:val="00D12C28"/>
    <w:rsid w:val="00D15923"/>
    <w:rsid w:val="00D22921"/>
    <w:rsid w:val="00D32215"/>
    <w:rsid w:val="00D40C12"/>
    <w:rsid w:val="00D419BD"/>
    <w:rsid w:val="00D42C7E"/>
    <w:rsid w:val="00D460F7"/>
    <w:rsid w:val="00D51B64"/>
    <w:rsid w:val="00D5230B"/>
    <w:rsid w:val="00D5562C"/>
    <w:rsid w:val="00D56B8B"/>
    <w:rsid w:val="00D70AB6"/>
    <w:rsid w:val="00D76AC1"/>
    <w:rsid w:val="00D7712D"/>
    <w:rsid w:val="00D77A7D"/>
    <w:rsid w:val="00D80E9E"/>
    <w:rsid w:val="00D87693"/>
    <w:rsid w:val="00D95747"/>
    <w:rsid w:val="00D97F08"/>
    <w:rsid w:val="00DA2CA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6FF5"/>
    <w:rsid w:val="00DE7896"/>
    <w:rsid w:val="00DF3224"/>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343"/>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10286"/>
    <w:rsid w:val="00F21A0F"/>
    <w:rsid w:val="00F26326"/>
    <w:rsid w:val="00F264CA"/>
    <w:rsid w:val="00F27B05"/>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blog.dbi-services.com/awrrpt-and-spreport-in-multitenan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orafrance.developpez.com/dbahel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rfstat.wordpress.com/2014/09/04/capturing-long-running-sql-in-statspa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remote-dba.net/t_op_sql_high_use.ht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jonathanlewis.wordpress.com/category/oracle/statspack/" TargetMode="External"/><Relationship Id="rId28"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dbspecialists.com/not-licensed-for-awr-use-statspack-instea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kadia.com/services/ora_statspack_survival_guide.html" TargetMode="External"/><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757BC"/>
    <w:rsid w:val="00B97EC7"/>
    <w:rsid w:val="00BF3F18"/>
    <w:rsid w:val="00C83F12"/>
    <w:rsid w:val="00D137D9"/>
    <w:rsid w:val="00E0633B"/>
    <w:rsid w:val="00E51AE8"/>
    <w:rsid w:val="00E57690"/>
    <w:rsid w:val="00EA656C"/>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8FE2D-F304-43DC-B2BA-A9310459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2789</TotalTime>
  <Pages>19</Pages>
  <Words>4195</Words>
  <Characters>23076</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0.21</cp:keywords>
  <cp:lastModifiedBy>jacques.e@live.fr</cp:lastModifiedBy>
  <cp:revision>171</cp:revision>
  <cp:lastPrinted>2016-12-15T15:41:00Z</cp:lastPrinted>
  <dcterms:created xsi:type="dcterms:W3CDTF">2017-10-16T14:26:00Z</dcterms:created>
  <dcterms:modified xsi:type="dcterms:W3CDTF">2017-11-08T17:54:00Z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