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Gestion</w:t>
      </w:r>
      <w:r>
        <w:t xml:space="preserve"> </w:t>
      </w:r>
      <w:r>
        <w:t xml:space="preserve">de</w:t>
      </w:r>
      <w:r>
        <w:t xml:space="preserve"> </w:t>
      </w:r>
      <w:r>
        <w:t xml:space="preserve">Portefeuille</w:t>
      </w:r>
    </w:p>
    <w:p>
      <w:pPr>
        <w:pStyle w:val="Subtitle"/>
      </w:pPr>
      <w:r>
        <w:t xml:space="preserve">TP-1:</w:t>
      </w:r>
      <w:r>
        <w:t xml:space="preserve"> </w:t>
      </w:r>
      <w:r>
        <w:t xml:space="preserve">Analyse</w:t>
      </w:r>
      <w:r>
        <w:t xml:space="preserve"> </w:t>
      </w:r>
      <w:r>
        <w:t xml:space="preserve">du</w:t>
      </w:r>
      <w:r>
        <w:t xml:space="preserve"> </w:t>
      </w:r>
      <w:r>
        <w:t xml:space="preserve">CAC40</w:t>
      </w:r>
    </w:p>
    <w:p>
      <w:pPr>
        <w:pStyle w:val="Date"/>
      </w:pPr>
      <w:r>
        <w:t xml:space="preserve">Février-Mars</w:t>
      </w:r>
      <w:r>
        <w:t xml:space="preserve"> </w:t>
      </w:r>
      <w:r>
        <w:t xml:space="preserve">2021</w:t>
      </w:r>
    </w:p>
    <w:bookmarkStart w:id="22" w:name="les-données"/>
    <w:p>
      <w:pPr>
        <w:pStyle w:val="Heading2"/>
      </w:pPr>
      <w:r>
        <w:t xml:space="preserve">Les données</w:t>
      </w:r>
    </w:p>
    <w:p>
      <w:pPr>
        <w:pStyle w:val="FirstParagraph"/>
      </w:pPr>
      <w:r>
        <w:t xml:space="preserve">On charge les séries de rendements pour l’indice et les composants de l’indice.</w:t>
      </w:r>
    </w:p>
    <w:p>
      <w:pPr>
        <w:pStyle w:val="SourceCode"/>
      </w:pPr>
      <w:r>
        <w:rPr>
          <w:rStyle w:val="NormalTok"/>
        </w:rPr>
        <w:t xml:space="preserve">  ts.all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get.all.ts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tickers=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dt.start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'01Jul2007'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combine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bad data for Valeo</w:t>
      </w:r>
      <w:r>
        <w:br/>
      </w:r>
      <w:r>
        <w:rPr>
          <w:rStyle w:val="NormalTok"/>
        </w:rPr>
        <w:t xml:space="preserve">  ts.all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ts.all[,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good data window</w:t>
      </w:r>
      <w:r>
        <w:br/>
      </w:r>
      <w:r>
        <w:rPr>
          <w:rStyle w:val="NormalTok"/>
        </w:rPr>
        <w:t xml:space="preserve">  ts.all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(ts.all,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'01Jul2007'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'01Jan2009'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with cac40 index</w:t>
      </w:r>
      <w:r>
        <w:br/>
      </w:r>
      <w:r>
        <w:rPr>
          <w:rStyle w:val="NormalTok"/>
        </w:rPr>
        <w:t xml:space="preserve">  cac.index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'fchi'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'CAC40'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cac.ret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returns</w:t>
      </w:r>
      <w:r>
        <w:rPr>
          <w:rStyle w:val="NormalTok"/>
        </w:rPr>
        <w:t xml:space="preserve">(cac.index)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(cac.ret)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'CAC40'</w:t>
      </w:r>
      <w:r>
        <w:br/>
      </w:r>
      <w:r>
        <w:rPr>
          <w:rStyle w:val="NormalTok"/>
        </w:rPr>
        <w:t xml:space="preserve">  ts.all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(ts.all, cac.ret))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(ts.all[,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'Rendement quotidien'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1_files/figure-docx/plot-cac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Puis on filtre les points suspects: rendements supérieur à 8 s.d.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flag bad data points: &gt; * \sigma</w:t>
      </w:r>
      <w:r>
        <w:br/>
      </w:r>
      <w:r>
        <w:rPr>
          <w:rStyle w:val="NormalTok"/>
        </w:rPr>
        <w:t xml:space="preserve">  good.limit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(ts.all,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ts.bad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ts.all</w:t>
      </w:r>
      <w:r>
        <w:rPr>
          <w:rStyle w:val="SpecialCharTok"/>
        </w:rPr>
        <w:t xml:space="preserve">*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(ts.bad))) {</w:t>
      </w:r>
      <w:r>
        <w:br/>
      </w:r>
      <w:r>
        <w:rPr>
          <w:rStyle w:val="NormalTok"/>
        </w:rPr>
        <w:t xml:space="preserve">    ts.bad[,j]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(ts.all[,j])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good.limit[j]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good.index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(ts.bad,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,any)</w:t>
      </w:r>
      <w:r>
        <w:br/>
      </w:r>
      <w:r>
        <w:rPr>
          <w:rStyle w:val="NormalTok"/>
        </w:rPr>
        <w:t xml:space="preserve">  ts.all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ts.all[good.index,]</w:t>
      </w:r>
    </w:p>
    <w:p>
      <w:pPr>
        <w:pStyle w:val="FirstParagraph"/>
      </w:pPr>
      <w:r>
        <w:t xml:space="preserve">Finalement, on calcule les rendements hebdomadaires: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aggregate returns by week</w:t>
      </w:r>
      <w:r>
        <w:br/>
      </w:r>
      <w:r>
        <w:rPr>
          <w:rStyle w:val="NormalTok"/>
        </w:rPr>
        <w:t xml:space="preserve">  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timeSequence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(ts.all),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(ts.all),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ts.all.weekly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(ts.all, by, sum)</w:t>
      </w:r>
      <w:r>
        <w:br/>
      </w:r>
      <w:r>
        <w:br/>
      </w:r>
      <w:r>
        <w:rPr>
          <w:rStyle w:val="NormalTok"/>
        </w:rPr>
        <w:t xml:space="preserve">  ts.stocks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ts.all.weekly[,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ts.index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ts.all.weekly[,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(ts.index,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'Rendement hebdomadaire de l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indice CAC40'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1_files/figure-docx/plot-cac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calcul-de-correlation"/>
    <w:p>
      <w:pPr>
        <w:pStyle w:val="Heading2"/>
      </w:pPr>
      <w:r>
        <w:t xml:space="preserve">Calcul de correlation</w:t>
      </w:r>
    </w:p>
    <w:p>
      <w:pPr>
        <w:numPr>
          <w:ilvl w:val="0"/>
          <w:numId w:val="1001"/>
        </w:numPr>
      </w:pPr>
      <w:r>
        <w:t xml:space="preserve">Calculer la matrice de corrélation des actions de l'indice.</w:t>
      </w:r>
    </w:p>
    <w:p>
      <w:pPr>
        <w:numPr>
          <w:ilvl w:val="0"/>
          <w:numId w:val="1001"/>
        </w:numPr>
      </w:pPr>
      <w:r>
        <w:t xml:space="preserve">Rechercher des actions fortement corrélées et d’autres qui semblent indépendantes.</w:t>
      </w:r>
      <w:r>
        <w:t xml:space="preserve"> </w:t>
      </w:r>
      <w:r>
        <w:t xml:space="preserve">Justifier ces observations en considérant la nature des entreprises.</w:t>
      </w:r>
    </w:p>
    <w:p>
      <w:pPr>
        <w:numPr>
          <w:ilvl w:val="0"/>
          <w:numId w:val="1001"/>
        </w:numPr>
      </w:pPr>
      <w:r>
        <w:t xml:space="preserve">Choisir 3 titres, et reproduire la figure 3.5, page 35 du manuel de B. Pfaff.</w:t>
      </w:r>
      <w:r>
        <w:t xml:space="preserve"> </w:t>
      </w:r>
      <w:r>
        <w:t xml:space="preserve">Commenter les résultats obtenus.</w:t>
      </w:r>
    </w:p>
    <w:bookmarkEnd w:id="23"/>
    <w:bookmarkStart w:id="24" w:name="analyse-en-composantes-principales"/>
    <w:p>
      <w:pPr>
        <w:pStyle w:val="Heading2"/>
      </w:pPr>
      <w:r>
        <w:t xml:space="preserve">Analyse en composantes principales</w:t>
      </w:r>
    </w:p>
    <w:p>
      <w:pPr>
        <w:numPr>
          <w:ilvl w:val="0"/>
          <w:numId w:val="1002"/>
        </w:numPr>
        <w:pStyle w:val="Compact"/>
      </w:pPr>
      <w:r>
        <w:t xml:space="preserve">Effectuer une ACP de la matrice de covariance des rendements hebdomadaires</w:t>
      </w:r>
    </w:p>
    <w:p>
      <w:pPr>
        <w:numPr>
          <w:ilvl w:val="0"/>
          <w:numId w:val="1002"/>
        </w:numPr>
        <w:pStyle w:val="Compact"/>
      </w:pPr>
      <w:r>
        <w:t xml:space="preserve">Observer les projections des variables sur les deux premiers vecteurs propres, et tenter de fournir une interprétation économique de ces facteurs.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Portefeuille</dc:title>
  <dc:creator/>
  <cp:keywords/>
  <dcterms:created xsi:type="dcterms:W3CDTF">2021-02-10T12:51:13Z</dcterms:created>
  <dcterms:modified xsi:type="dcterms:W3CDTF">2021-02-10T12:51:13Z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Février-Mars 2021</vt:lpwstr>
  </property>
  <property fmtid="{D5CDD505-2E9C-101B-9397-08002B2CF9AE}" pid="3" name="geometry">
    <vt:lpwstr>margin=1in</vt:lpwstr>
  </property>
  <property fmtid="{D5CDD505-2E9C-101B-9397-08002B2CF9AE}" pid="4" name="header-includes">
    <vt:lpwstr/>
  </property>
  <property fmtid="{D5CDD505-2E9C-101B-9397-08002B2CF9AE}" pid="5" name="output">
    <vt:lpwstr/>
  </property>
  <property fmtid="{D5CDD505-2E9C-101B-9397-08002B2CF9AE}" pid="6" name="subtitle">
    <vt:lpwstr>TP-1: Analyse du CAC40</vt:lpwstr>
  </property>
</Properties>
</file>