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שיעורי הגר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א עוזר שליט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א</w:t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cs="Guttman Mantova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באגדתא</w:t>
      </w:r>
      <w:r>
        <w:rPr>
          <w:rFonts w:cs="Guttman Mantova" w:hint="cs"/>
          <w:sz w:val="72"/>
          <w:szCs w:val="72"/>
          <w:rtl w:val="true"/>
        </w:rPr>
        <w:t>:</w:t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cs="Guttman Mantova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ascii=".FrankRuehl" w:hAnsi=".FrankRuehl" w:cs="Guttman Mantova" w:hint="cs"/>
          <w:sz w:val="96"/>
          <w:szCs w:val="96"/>
        </w:rPr>
      </w:pPr>
      <w:r>
        <w:rPr>
          <w:rFonts w:ascii=".FrankRuehl" w:hAnsi=".FrankRuehl" w:hint="cs" w:cs="Guttman Mantova"/>
          <w:sz w:val="96"/>
          <w:szCs w:val="96"/>
          <w:rtl w:val="true"/>
        </w:rPr>
        <w:t>עניני חנוכה</w:t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cs="Guttman Mantova" w:hint="cs" w:ascii=".FrankRuehl" w:hAnsi=".FrankRuehl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cs="Guttman Mantova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cs="Guttman Mantova" w:hint="cs"/>
          <w:sz w:val="72"/>
          <w:szCs w:val="72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נמסר בליל שבת חנוכה תשס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ח</w:t>
      </w:r>
    </w:p>
    <w:p>
      <w:pPr>
        <w:pStyle w:val="Normal"/>
        <w:ind w:end="0"/>
        <w:jc w:val="start"/>
        <w:rPr>
          <w:rFonts w:cs="David" w:hint="cs"/>
          <w:sz w:val="36"/>
          <w:szCs w:val="36"/>
        </w:rPr>
      </w:pPr>
      <w:r>
        <w:rPr>
          <w:rFonts w:cs="David" w:hint="cs"/>
          <w:sz w:val="36"/>
          <w:szCs w:val="36"/>
          <w:rtl w:val="true"/>
        </w:rPr>
      </w:r>
    </w:p>
    <w:p>
      <w:pPr>
        <w:pStyle w:val="Normal"/>
        <w:ind w:end="0"/>
        <w:jc w:val="start"/>
        <w:rPr>
          <w:rFonts w:cs="Guttman Mantova" w:hint="cs"/>
        </w:rPr>
      </w:pPr>
      <w:r>
        <w:rPr>
          <w:rFonts w:cs="Guttman Mantova" w:hint="cs"/>
          <w:sz w:val="36"/>
          <w:szCs w:val="36"/>
          <w:rtl w:val="true"/>
        </w:rPr>
      </w:r>
    </w:p>
    <w:p>
      <w:pPr>
        <w:pStyle w:val="Normal"/>
        <w:ind w:end="0"/>
        <w:jc w:val="start"/>
        <w:rPr>
          <w:rFonts w:cs="Guttman Mantova" w:hint="cs"/>
        </w:rPr>
      </w:pPr>
      <w:r>
        <w:rPr>
          <w:rFonts w:cs="Guttman Mantova" w:hint="cs"/>
          <w:rtl w:val="true"/>
        </w:rPr>
      </w:r>
    </w:p>
    <w:p>
      <w:pPr>
        <w:pStyle w:val="Normal"/>
        <w:ind w:end="0"/>
        <w:jc w:val="start"/>
        <w:rPr>
          <w:rFonts w:cs="Guttman Mantova" w:hint="cs"/>
        </w:rPr>
      </w:pPr>
      <w:r>
        <w:rPr>
          <w:rFonts w:cs="Guttman Mantova" w:hint="cs"/>
          <w:rtl w:val="true"/>
        </w:rPr>
      </w:r>
    </w:p>
    <w:p>
      <w:pPr>
        <w:pStyle w:val="Normal"/>
        <w:ind w:end="0"/>
        <w:jc w:val="start"/>
        <w:rPr>
          <w:rFonts w:cs="Guttman Mantova" w:hint="cs"/>
        </w:rPr>
      </w:pPr>
      <w:r>
        <w:rPr>
          <w:rFonts w:cs="Guttman Mantova" w:hint="cs"/>
          <w:rtl w:val="true"/>
        </w:rPr>
      </w:r>
    </w:p>
    <w:p>
      <w:pPr>
        <w:pStyle w:val="Normal"/>
        <w:ind w:end="0"/>
        <w:jc w:val="start"/>
        <w:rPr>
          <w:rFonts w:cs="Guttman Mantova"/>
        </w:rPr>
      </w:pPr>
      <w:r>
        <w:rPr>
          <w:rFonts w:cs="Guttman Mantova" w:hint="cs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 w:hint="cs"/>
          <w:sz w:val="26"/>
          <w:szCs w:val="26"/>
        </w:rPr>
      </w:pPr>
      <w:r>
        <w:rPr>
          <w:rFonts w:cs="Guttman Mantova" w:hint="cs"/>
          <w:sz w:val="26"/>
          <w:szCs w:val="26"/>
          <w:rtl w:val="true"/>
        </w:rPr>
      </w:r>
    </w:p>
    <w:p>
      <w:pPr>
        <w:pStyle w:val="Heading1"/>
        <w:ind w:hanging="0" w:start="0" w:end="0"/>
        <w:jc w:val="both"/>
        <w:rPr>
          <w:rFonts w:cs="Guttman Mantova"/>
          <w:sz w:val="26"/>
          <w:szCs w:val="26"/>
        </w:rPr>
      </w:pPr>
      <w:r>
        <w:rPr>
          <w:rFonts w:cs="Guttman Mantova"/>
          <w:sz w:val="26"/>
          <w:szCs w:val="26"/>
          <w:rtl w:val="true"/>
        </w:rPr>
        <w:t>בס</w:t>
      </w:r>
      <w:r>
        <w:rPr>
          <w:rFonts w:cs="Guttman Mantova"/>
          <w:sz w:val="26"/>
          <w:szCs w:val="26"/>
          <w:rtl w:val="true"/>
        </w:rPr>
        <w:t>"</w:t>
      </w:r>
      <w:r>
        <w:rPr>
          <w:rFonts w:cs="Guttman Mantova"/>
          <w:sz w:val="26"/>
          <w:szCs w:val="26"/>
          <w:rtl w:val="true"/>
        </w:rPr>
        <w:t>ד</w:t>
      </w:r>
      <w:r>
        <w:rPr>
          <w:rFonts w:cs="Guttman Mantova"/>
          <w:sz w:val="26"/>
          <w:szCs w:val="26"/>
          <w:rtl w:val="true"/>
        </w:rPr>
        <w:t xml:space="preserve">. </w:t>
      </w:r>
      <w:r>
        <w:rPr>
          <w:rFonts w:cs="Guttman Mantova"/>
          <w:sz w:val="26"/>
          <w:szCs w:val="26"/>
          <w:rtl w:val="true"/>
        </w:rPr>
        <w:t>לקט דברים משיעור הגר</w:t>
      </w:r>
      <w:r>
        <w:rPr>
          <w:rFonts w:cs="Guttman Mantova"/>
          <w:sz w:val="26"/>
          <w:szCs w:val="26"/>
          <w:rtl w:val="true"/>
        </w:rPr>
        <w:t>"</w:t>
      </w:r>
      <w:r>
        <w:rPr>
          <w:rFonts w:cs="Guttman Mantova"/>
          <w:sz w:val="26"/>
          <w:szCs w:val="26"/>
          <w:rtl w:val="true"/>
        </w:rPr>
        <w:t>א עוזר שליט</w:t>
      </w:r>
      <w:r>
        <w:rPr>
          <w:rFonts w:cs="Guttman Mantova"/>
          <w:sz w:val="26"/>
          <w:szCs w:val="26"/>
          <w:rtl w:val="true"/>
        </w:rPr>
        <w:t>"</w:t>
      </w:r>
      <w:r>
        <w:rPr>
          <w:rFonts w:cs="Guttman Mantova"/>
          <w:sz w:val="26"/>
          <w:szCs w:val="26"/>
          <w:rtl w:val="true"/>
        </w:rPr>
        <w:t>א</w:t>
      </w:r>
      <w:r>
        <w:rPr>
          <w:rFonts w:cs="Guttman Mantova"/>
          <w:sz w:val="26"/>
          <w:szCs w:val="26"/>
          <w:rtl w:val="true"/>
        </w:rPr>
        <w:t xml:space="preserve">, </w:t>
      </w:r>
      <w:r>
        <w:rPr>
          <w:rFonts w:cs="Guttman Mantova"/>
          <w:sz w:val="26"/>
          <w:szCs w:val="26"/>
          <w:rtl w:val="true"/>
        </w:rPr>
        <w:t>ליל שבת חנוכה תשס</w:t>
      </w:r>
      <w:r>
        <w:rPr>
          <w:rFonts w:cs="Guttman Mantova"/>
          <w:sz w:val="26"/>
          <w:szCs w:val="26"/>
          <w:rtl w:val="true"/>
        </w:rPr>
        <w:t>"</w:t>
      </w:r>
      <w:r>
        <w:rPr>
          <w:rFonts w:cs="Guttman Mantova"/>
          <w:sz w:val="26"/>
          <w:szCs w:val="26"/>
          <w:rtl w:val="true"/>
        </w:rPr>
        <w:t>ח</w:t>
      </w:r>
      <w:r>
        <w:rPr>
          <w:rStyle w:val="FootnoteCharacters"/>
          <w:rStyle w:val="FootnoteReference"/>
          <w:rFonts w:cs="Guttman Mantova"/>
          <w:sz w:val="26"/>
          <w:szCs w:val="26"/>
          <w:rtl w:val="true"/>
        </w:rPr>
        <w:footnoteReference w:id="2"/>
      </w:r>
    </w:p>
    <w:p>
      <w:pPr>
        <w:pStyle w:val="Heading1"/>
        <w:ind w:hanging="0" w:start="0" w:end="0"/>
        <w:jc w:val="both"/>
        <w:rPr>
          <w:rFonts w:cs="Guttman Mantova"/>
          <w:sz w:val="26"/>
          <w:szCs w:val="26"/>
        </w:rPr>
      </w:pPr>
      <w:r>
        <w:rPr>
          <w:rFonts w:cs="Guttman Mantova"/>
          <w:sz w:val="26"/>
          <w:szCs w:val="26"/>
          <w:rtl w:val="true"/>
        </w:rPr>
      </w:r>
    </w:p>
    <w:p>
      <w:pPr>
        <w:pStyle w:val="Normal"/>
        <w:ind w:end="0"/>
        <w:jc w:val="start"/>
        <w:rPr>
          <w:rFonts w:cs="Guttman Mantova"/>
        </w:rPr>
      </w:pPr>
      <w:r>
        <w:rPr>
          <w:rFonts w:cs="Guttman Mantova"/>
          <w:sz w:val="26"/>
          <w:szCs w:val="26"/>
          <w:rtl w:val="true"/>
        </w:rPr>
      </w:r>
    </w:p>
    <w:p>
      <w:pPr>
        <w:pStyle w:val="Normal"/>
        <w:ind w:end="0"/>
        <w:jc w:val="center"/>
        <w:rPr>
          <w:rFonts w:cs="Guttman Mantova"/>
        </w:rPr>
      </w:pPr>
      <w:r>
        <w:rPr>
          <w:rFonts w:cs="Guttman Mantova"/>
          <w:rtl w:val="true"/>
        </w:rPr>
        <w:t>עניני חנוכה</w:t>
      </w:r>
    </w:p>
    <w:p>
      <w:pPr>
        <w:pStyle w:val="Normal"/>
        <w:ind w:end="0"/>
        <w:jc w:val="start"/>
        <w:rPr>
          <w:rFonts w:cs="Guttman Mantova"/>
        </w:rPr>
      </w:pPr>
      <w:r>
        <w:rPr>
          <w:rFonts w:cs="Guttman Mantova"/>
          <w:rtl w:val="true"/>
        </w:rPr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לשנה אחרת קבעום ועשאום ימים טובים בהלל והודאה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 xml:space="preserve">לשון זו של קביעה ועשיה מצאנו במעשה של דוד ושלשת הגבורים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המובא בב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ק ס</w:t>
      </w:r>
      <w:r>
        <w:rPr>
          <w:rFonts w:cs="Guttman Mantova"/>
          <w:rtl w:val="true"/>
        </w:rPr>
        <w:t>-</w:t>
      </w:r>
      <w:r>
        <w:rPr>
          <w:rFonts w:cs="Guttman Mantova"/>
          <w:rtl w:val="true"/>
        </w:rPr>
        <w:t>סא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שמסרו נפשם על דברי תורה ולא אבה דוד לשתותם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כלומר לא רצה שתקבע הלכה משמם אלא </w:t>
      </w:r>
      <w:r>
        <w:rPr>
          <w:rFonts w:cs="Guttman Mantova"/>
          <w:b/>
          <w:b/>
          <w:bCs/>
          <w:rtl w:val="true"/>
        </w:rPr>
        <w:t>עשאה</w:t>
      </w:r>
      <w:r>
        <w:rPr>
          <w:rFonts w:cs="Guttman Mantova"/>
          <w:rtl w:val="true"/>
        </w:rPr>
        <w:t xml:space="preserve"> מסכתא </w:t>
      </w:r>
      <w:r>
        <w:rPr>
          <w:rFonts w:cs="Guttman Mantova"/>
          <w:b/>
          <w:b/>
          <w:bCs/>
          <w:rtl w:val="true"/>
        </w:rPr>
        <w:t>וקבעה</w:t>
      </w:r>
      <w:r>
        <w:rPr>
          <w:rFonts w:cs="Guttman Mantova"/>
          <w:rtl w:val="true"/>
        </w:rPr>
        <w:t xml:space="preserve"> הלכה לדורות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רו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ר פ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ה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שאמר</w:t>
      </w:r>
      <w:r>
        <w:rPr>
          <w:rFonts w:cs="Guttman Mantova"/>
          <w:rtl w:val="true"/>
        </w:rPr>
        <w:t xml:space="preserve">: </w:t>
      </w:r>
      <w:r>
        <w:rPr>
          <w:rFonts w:cs="Guttman Mantova"/>
          <w:rtl w:val="true"/>
        </w:rPr>
        <w:t>כך מקובלני מבית דינו של שמואל הרמתי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כל המוסר עצמו למות על דברי תורה אין אומרים דבר הלכה משמו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ק סא</w:t>
      </w:r>
      <w:r>
        <w:rPr>
          <w:rFonts w:cs="Guttman Mantova"/>
          <w:rtl w:val="true"/>
        </w:rPr>
        <w:t xml:space="preserve">.). </w:t>
      </w:r>
      <w:r>
        <w:rPr>
          <w:rFonts w:cs="Guttman Mantova"/>
          <w:rtl w:val="true"/>
        </w:rPr>
        <w:t>לכאורה הדבר נראה כעונש על שמסר נפשו למות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וכן פירשו מהרש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א ומהר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ל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ופירשו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מדה כנגד מדה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כל אחד בדרכו</w:t>
      </w:r>
      <w:r>
        <w:rPr>
          <w:rFonts w:cs="Guttman Mantova"/>
          <w:rtl w:val="true"/>
        </w:rPr>
        <w:t xml:space="preserve">). </w:t>
      </w:r>
      <w:r>
        <w:rPr>
          <w:rFonts w:cs="Guttman Mantova"/>
          <w:rtl w:val="true"/>
        </w:rPr>
        <w:t>אולם מובא בשם חדושי הרי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ם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בספר שפתי צדיק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והרבי ר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בונם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בדרושי אמרי אמת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שזהו למעליותא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שמוסר נפשו על דברי תורה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בטל הצד האישי שלו ונעשית תורתו כתורה סתם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תורה כללית המסורה לכלל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ושוב אינה כתורה של היחיד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וכן נראה מלשון המדרש שם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שנעשית ההלכה שמסרו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מסכת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כשאר מסכתות של תורה</w:t>
      </w:r>
      <w:r>
        <w:rPr>
          <w:rFonts w:cs="Guttman Mantova"/>
          <w:rtl w:val="true"/>
        </w:rPr>
        <w:t>.</w:t>
      </w:r>
    </w:p>
    <w:p>
      <w:pPr>
        <w:pStyle w:val="BodyText"/>
        <w:spacing w:lineRule="auto" w:line="240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וזו משמעות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עשיה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קביעה</w:t>
      </w:r>
      <w:r>
        <w:rPr>
          <w:rFonts w:cs="Guttman Mantova"/>
          <w:rtl w:val="true"/>
        </w:rPr>
        <w:t xml:space="preserve">': </w:t>
      </w:r>
      <w:r>
        <w:rPr>
          <w:rFonts w:cs="Guttman Mantova"/>
          <w:rtl w:val="true"/>
        </w:rPr>
        <w:t>הדבר נעשה חלק מהתורה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ומפני כן נקבע לדורות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שמתוך שנעשה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תורה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הרי הוא קיים לעולמי עד </w:t>
      </w:r>
      <w:r>
        <w:rPr>
          <w:rFonts w:cs="Guttman Mantova"/>
          <w:rtl w:val="true"/>
        </w:rPr>
        <w:t>[</w:t>
      </w:r>
      <w:r>
        <w:rPr>
          <w:rFonts w:cs="Guttman Mantova"/>
          <w:rtl w:val="true"/>
        </w:rPr>
        <w:t xml:space="preserve">דתורה כתיב בה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אמת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והאמת אינה כוזבת ופוסקת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וכמאמר הגרא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ו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צדקתך צדק לעולם</w:t>
      </w:r>
      <w:r>
        <w:rPr>
          <w:rFonts w:cs="Guttman Mantova"/>
          <w:rtl w:val="true"/>
        </w:rPr>
        <w:t xml:space="preserve">' - </w:t>
      </w:r>
      <w:r>
        <w:rPr>
          <w:rFonts w:cs="Guttman Mantova"/>
          <w:rtl w:val="true"/>
        </w:rPr>
        <w:t>מקביל ל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תורתך אמת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כי האמת תכון לעד</w:t>
      </w:r>
      <w:r>
        <w:rPr>
          <w:rFonts w:cs="Guttman Mantova"/>
          <w:rtl w:val="true"/>
        </w:rPr>
        <w:t>].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ומצינו במדרש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תנחומא בשלח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דברים המורים להפך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שהואיל ומשה מסר עצמו על התורה לכך נקראת על שמו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וכן לענין החשמונאים שמסרו נפשם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אמרו במדרש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המובא ברמב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ן ריש בהעלתך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שזכו שהחנוכה נקראת על שמם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 xml:space="preserve">אך יש להבחין בין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מוסרים משמו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ל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נקראת על שמו</w:t>
      </w:r>
      <w:r>
        <w:rPr>
          <w:rFonts w:cs="Guttman Mantova"/>
          <w:rtl w:val="true"/>
        </w:rPr>
        <w:t>'. '</w:t>
      </w:r>
      <w:r>
        <w:rPr>
          <w:rFonts w:cs="Guttman Mantova"/>
          <w:rtl w:val="true"/>
        </w:rPr>
        <w:t>משמו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היינו דעה יחידאית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וכאמרם ז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ל שלכך מזכירים דעת היחיד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כדי לבטל דבריו מהלכה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לומר שאין כן דעת הרבים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 xml:space="preserve">ואילו קריאה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על שמו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משמעותה שתורת 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מתיחסת על שמו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 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מסירות הנפש לתורה בטל הוא ממציאותו הנפרדת ונעשה אחד עם התורה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והרי דבריו הם הם הדברים שנאמרו למשה מסיני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ונבאר יותר מהותה של התאחדות זו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וכיצד היא באה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ידוע מהגר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א ועוד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שהתורה שבכתב היא בחינת ראיה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ככתב הנגלה לעין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ואילו התושבע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פ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 xml:space="preserve">ביחוד חלק ההלכה שבה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היא בחינת שמיעה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והנה על אף המעלה הגדולה של הראיה על השמיעה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שעל ידה מושג הדבר כמות שהוא בראיית המכלול השלם על כל מרכיביו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אעפי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היא מוגבלת מבחינת הקיפה יותר מן השמיעה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שאין אדם רואה אלא את מה שלפניו ולא את העומד מאחרי דבר החוצץ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ואילו טווח השמיעה מקיף יותר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גם למה שנמצא מאחורי החוצץ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וזה הענין המבואר במהר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ל שלכך בתורה שבכתב אין מפורש העולם הבא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רק בדרך רמז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ברמזים רבים כדאיתא בגמרא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שהרי על העוה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ב כתוב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עין לא ראתה אלקים זולתך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וכל הנביאים לא נתנבאו אלא לימות המשיח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אשר על כן הוא מחוץ לטווח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ראיה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ולכך אין לו מקום בתורה שבכתב שדבריה באים ב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ראייה</w:t>
      </w:r>
      <w:r>
        <w:rPr>
          <w:rFonts w:cs="Guttman Mantova"/>
          <w:rtl w:val="true"/>
        </w:rPr>
        <w:t>'.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ועוד מעלה טובה יש לשמיעה על הראיה</w:t>
      </w:r>
      <w:r>
        <w:rPr>
          <w:rFonts w:cs="Guttman Mantova"/>
          <w:rtl w:val="true"/>
        </w:rPr>
        <w:t xml:space="preserve">; </w:t>
      </w:r>
      <w:r>
        <w:rPr>
          <w:rFonts w:cs="Guttman Mantova"/>
          <w:rtl w:val="true"/>
        </w:rPr>
        <w:t>כשאדם רוצה לתפוס דבר שאינו רואהו בעיניו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הריהו נצרך למשמשו ולבחנו בדקדוק רב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וכן לשאת ולתת עם זולתו לידע את אשר לפניו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ונמצא עי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הוא מדקדק יותר בפרטי הדבר ושם אליהם לב יותר מאשר אילו היה רואהו בראייה אחת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 מפני חסרון ראייתו הוא נצרך לבודד ולנתח בנפרד כל פרט קטן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כדי לזהות מתוך כך את התמונה הכוללת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שהרי בראייה אחת ניתן להשיג גוונים רבים וצורות משתנים כאחת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אבל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אזן מלים תבחן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ותרי קלי לא משתמעי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וצריך להפריד בין הקולות המרובים כדי להשיגם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ומתוך כך הוא משיג לאשורו כל פרט ופרט ועי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מתגלית לו החכמה האצורה בכל פרט בפני עצמו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וביחסו אל שאר המרכיבים האחרים וכו</w:t>
      </w:r>
      <w:r>
        <w:rPr>
          <w:rFonts w:cs="Guttman Mantova"/>
          <w:rtl w:val="true"/>
        </w:rPr>
        <w:t>' [</w:t>
      </w:r>
      <w:r>
        <w:rPr>
          <w:rFonts w:cs="Guttman Mantova"/>
          <w:rtl w:val="true"/>
        </w:rPr>
        <w:t>כמשל הגרי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ל בלוך בשעורי דעת אודות המגשש באפילה למצוא הדלת</w:t>
      </w:r>
      <w:r>
        <w:rPr>
          <w:rFonts w:cs="Guttman Mantova"/>
          <w:rtl w:val="true"/>
        </w:rPr>
        <w:t xml:space="preserve">], </w:t>
      </w:r>
      <w:r>
        <w:rPr>
          <w:rFonts w:cs="Guttman Mantova"/>
          <w:rtl w:val="true"/>
        </w:rPr>
        <w:t>לעומת הרואה באופן חד פעמי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שבאופן טבעי אין לו את כל הדקדוק בפרטים הקטנים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[</w:t>
      </w:r>
      <w:r>
        <w:rPr>
          <w:rFonts w:cs="Guttman Mantova"/>
          <w:rtl w:val="true"/>
        </w:rPr>
        <w:t>ומבחינה זו חלק האגדתא בתורה שייך יותר לבחינת ראייה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וכלשון הזוה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ק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תא חזי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לעומת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תא שמע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וכפי שכתב החזו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א באגרת שבעניני אגדה אין להוציא לימודים ממאמר אחד אלא מהמכלול כולו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שביחוד בחלק זה של התורה נאמר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ד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ת עניים במקום אחד ועשירים במק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א</w:t>
      </w:r>
      <w:r>
        <w:rPr>
          <w:rFonts w:cs="Guttman Mantova"/>
          <w:rtl w:val="true"/>
        </w:rPr>
        <w:t>'].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ומלבד גילוי דקדוק הפרטים שבתורה הבא 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בחינת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שמיעה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דוקא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יש בזה ענין גדול נוסף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הרי התורה הקדושה היא למעלה מתפיסת כל שכל אנושי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גבוה מעל גבוה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ואין ערוך לה בשום חכמה אחרת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ומצד היותה אינסופית יש בה ריבוי צדדים ואפשרויות בלא קץ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וכמו שאמרו שיש בה מ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ט פנים לטהר ומ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ט לטמא </w:t>
      </w:r>
      <w:r>
        <w:rPr>
          <w:rFonts w:cs="Guttman Mantova"/>
          <w:rtl w:val="true"/>
        </w:rPr>
        <w:t>[</w:t>
      </w:r>
      <w:r>
        <w:rPr>
          <w:rFonts w:cs="Guttman Mantova"/>
          <w:rtl w:val="true"/>
        </w:rPr>
        <w:t>ו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מ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ט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היינו רק שורשים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אשר גם מהם מסתעפים פנים לכאן ולכאן עד לאין שיעור</w:t>
      </w:r>
      <w:r>
        <w:rPr>
          <w:rFonts w:cs="Guttman Mantova"/>
          <w:rtl w:val="true"/>
        </w:rPr>
        <w:t xml:space="preserve">], </w:t>
      </w:r>
      <w:r>
        <w:rPr>
          <w:rFonts w:cs="Guttman Mantova"/>
          <w:rtl w:val="true"/>
        </w:rPr>
        <w:t>וזר לא יבין זאת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כיצד אפשר לשאת הפכים בדבר אחד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הלא אחד מהם אמת ואחד שקר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אך הואיל והתורה אלקית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ייתכנו בה צדדים רבים אשר אלו ואלו דברי אלקים חיים ושניהם אמת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כמוש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הריטב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א בעירובין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יג</w:t>
      </w:r>
      <w:r>
        <w:rPr>
          <w:rFonts w:cs="Guttman Mantova"/>
          <w:rtl w:val="true"/>
        </w:rPr>
        <w:t>).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וכמו שכתב הרמב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ן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בהקדמתו לספר המלחמות שמצדיק בו דברי הרי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ף מהשגות בעל המאור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שאין מופתים חותכים בעסק התורה שבעל</w:t>
      </w:r>
      <w:r>
        <w:rPr>
          <w:rFonts w:cs="Guttman Mantova"/>
          <w:rtl w:val="true"/>
        </w:rPr>
        <w:t>-</w:t>
      </w:r>
      <w:r>
        <w:rPr>
          <w:rFonts w:cs="Guttman Mantova"/>
          <w:rtl w:val="true"/>
        </w:rPr>
        <w:t>פה כשם שיש בחכמות החשבון והתכונה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אלא מתוך שיקול הראיות הנוטות מכריע החכם בסופו של דבר על ידי שיקול הדעת באבנתא דלבא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ודבר זה איננו חסרון אלא מעלה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 אין התורה עוסקת בגילויים החיצוניים של המציאות אלא בפנימיותם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ומפני כן יש בה ריבוי פנים לכאן ולכאן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ואדרבה דוקא מתוך כך בא לידי ביטוי גילוי הצדדים השונים שבתורה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משא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כ בחכמות המבוססות על </w:t>
      </w:r>
      <w:r>
        <w:rPr>
          <w:rFonts w:cs="Guttman Mantova"/>
          <w:b/>
          <w:bCs/>
          <w:rtl w:val="true"/>
        </w:rPr>
        <w:t>'</w:t>
      </w:r>
      <w:r>
        <w:rPr>
          <w:rFonts w:cs="Guttman Mantova"/>
          <w:b/>
          <w:b/>
          <w:bCs/>
          <w:rtl w:val="true"/>
        </w:rPr>
        <w:t>ראייה</w:t>
      </w:r>
      <w:r>
        <w:rPr>
          <w:rFonts w:cs="Guttman Mantova"/>
          <w:b/>
          <w:bCs/>
          <w:rtl w:val="true"/>
        </w:rPr>
        <w:t>'</w:t>
      </w:r>
      <w:r>
        <w:rPr>
          <w:rFonts w:cs="Guttman Mantova"/>
          <w:rtl w:val="true"/>
        </w:rPr>
        <w:t xml:space="preserve"> </w:t>
      </w:r>
      <w:r>
        <w:rPr>
          <w:rFonts w:cs="Guttman Mantova"/>
          <w:rtl w:val="true"/>
        </w:rPr>
        <w:t xml:space="preserve">בעלמא בלא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שמיעה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פנימית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 xml:space="preserve">יש בהן אפשרות של </w:t>
      </w:r>
      <w:r>
        <w:rPr>
          <w:rFonts w:cs="Guttman Mantova"/>
          <w:b/>
          <w:b/>
          <w:bCs/>
          <w:rtl w:val="true"/>
        </w:rPr>
        <w:t>ראיה</w:t>
      </w:r>
      <w:r>
        <w:rPr>
          <w:rFonts w:cs="Guttman Mantova"/>
          <w:rtl w:val="true"/>
        </w:rPr>
        <w:t xml:space="preserve"> חותכת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ודבר זה מתגלה מפני שהתושבע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פ נישאת בלבות החכמים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ובהם היא חקוקה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וכדברי הבית</w:t>
      </w:r>
      <w:r>
        <w:rPr>
          <w:rFonts w:cs="Guttman Mantova"/>
          <w:rtl w:val="true"/>
        </w:rPr>
        <w:t>-</w:t>
      </w:r>
      <w:r>
        <w:rPr>
          <w:rFonts w:cs="Guttman Mantova"/>
          <w:rtl w:val="true"/>
        </w:rPr>
        <w:t>הלוי שלבם הם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גויל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דיו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עליו חקוקה התושבע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פ</w:t>
      </w:r>
      <w:r>
        <w:rPr>
          <w:rFonts w:cs="Guttman Mantova"/>
          <w:rtl w:val="true"/>
        </w:rPr>
        <w:t>, '</w:t>
      </w:r>
      <w:r>
        <w:rPr>
          <w:rFonts w:cs="Guttman Mantova"/>
          <w:rtl w:val="true"/>
        </w:rPr>
        <w:t>עם תורתי בלבם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>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העסק בתורה וההתעצמות עימה מתוך חתירה אחר האמת בלב טהור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ומתוך יגיעה במסירות נפש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עי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נעשה איחוד אמיתי של גוף החכם עם התורה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ואזי הכרעתו מתוך הבנת לבו ושיקול דעתו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היא היא תורת ה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>שהרי אין התורה מתפרשת 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גורמים חיצוניים אלא 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התורה עצמה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כענין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יבוא הכתוב השלישי ויכריע ביניהם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וכמוש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המהר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ל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במכות</w:t>
      </w:r>
      <w:r>
        <w:rPr>
          <w:rFonts w:cs="Guttman Mantova"/>
          <w:rtl w:val="true"/>
        </w:rPr>
        <w:t xml:space="preserve">). </w:t>
      </w:r>
      <w:r>
        <w:rPr>
          <w:rFonts w:cs="Guttman Mantova"/>
          <w:rtl w:val="true"/>
        </w:rPr>
        <w:t>וע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הכרעת לבו של החכם היא היא התורה שמפרשת את עצמה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נמצא אפוא כי דוקא מתוך כך שהוכהתה הראייה והוצרך החכם דקדוק עצום של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שמיעה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נעשה הוא עצמו כתורה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ודבריו הם דברי תורת 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שהרי היא נקראת על שמו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ובכך נקבעים הדברים לדורות כשאר תורה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גם כעת הזאת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כאשר לומדים תורה מספרי רבותינו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הספרים אינם אלא מגלים לנו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לוח לבו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של החכם אבל מפיו של החכם אנו לומדים ולא מן הספר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 עדיין נשארת היא תורה שבעל פה הכתובה על לוח לבם של החכמים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ולא על הספר</w:t>
      </w:r>
      <w:r>
        <w:rPr>
          <w:rStyle w:val="FootnoteCharacters"/>
          <w:rStyle w:val="FootnoteReference"/>
          <w:rFonts w:cs="Guttman Mantova"/>
          <w:rtl w:val="true"/>
        </w:rPr>
        <w:footnoteReference w:id="3"/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ואכן עד לשמעון הצדיק אין אנו יודעים דברים בשם חכמי הדורות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ואף שמותם לא נמסרו לנו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כי התורה אצל החכמים היתה בבחינת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ראיה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בחינת תורה שבכתב ונבואה המתגלית בחזון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שמעון הצדיק שהיה משיירי כנסת הגדולה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בו החל הביטוי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הוא היה אומר</w:t>
      </w:r>
      <w:r>
        <w:rPr>
          <w:rFonts w:cs="Guttman Mantova"/>
          <w:rtl w:val="true"/>
        </w:rPr>
        <w:t>' (</w:t>
      </w:r>
      <w:r>
        <w:rPr>
          <w:rFonts w:cs="Guttman Mantova"/>
          <w:rtl w:val="true"/>
        </w:rPr>
        <w:t>במסכת אבות</w:t>
      </w:r>
      <w:r>
        <w:rPr>
          <w:rFonts w:cs="Guttman Mantova"/>
          <w:rtl w:val="true"/>
        </w:rPr>
        <w:t xml:space="preserve">). </w:t>
      </w:r>
      <w:r>
        <w:rPr>
          <w:rFonts w:cs="Guttman Mantova"/>
          <w:rtl w:val="true"/>
        </w:rPr>
        <w:t>הוא היווה את תקופת המעבר בין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ראיה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ל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שמיעה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המייחסת את התורה על שם החכמים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וממנו והלאה החלה תקופת הזוגות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שאז התחילה המחלוקת הראשונה בתורה שבעל פה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ואעפ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י שעל פניו הוא ענין שלילי של הסתר פנים ושכחה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וכדברי הרמב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ם ז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ל בהקדמתו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מאת 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היתה זאת לגלות זיוה והדרה של תורה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כמובא בפרקי היכלות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דוקא 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החשכה</w:t>
      </w:r>
      <w:r>
        <w:rPr>
          <w:rFonts w:cs="Guttman Mantova"/>
          <w:rtl w:val="true"/>
        </w:rPr>
        <w:t>-</w:t>
      </w:r>
      <w:r>
        <w:rPr>
          <w:rFonts w:cs="Guttman Mantova"/>
          <w:rtl w:val="true"/>
        </w:rPr>
        <w:t>שכחה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משמוש ובחינה מדוקדקת של כל פרט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י ריבוי הצדדים לפי דעות החכמים השונות וניצוחם זה עם זה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 xml:space="preserve">דבר הנעשה רק במצב של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העם ההולכים בחושך</w:t>
      </w:r>
      <w:r>
        <w:rPr>
          <w:rFonts w:cs="Guttman Mantova"/>
          <w:rtl w:val="true"/>
        </w:rPr>
        <w:t>'.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וזה ענינה של מלכות יון המכונה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חשך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היינו הסתר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ראייה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כי עיקר ענין היוונים בפיתוח ובהחכמה במציאות החיצונית של העולם</w:t>
      </w:r>
      <w:r>
        <w:rPr>
          <w:rFonts w:cs="Guttman Mantova"/>
          <w:rtl w:val="true"/>
        </w:rPr>
        <w:t>-</w:t>
      </w:r>
      <w:r>
        <w:rPr>
          <w:rFonts w:cs="Guttman Mantova"/>
          <w:rtl w:val="true"/>
        </w:rPr>
        <w:t>האדם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ללא שום זיקה לפנימיות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וכדברי הרמב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ן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אחרי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בגנות אריסטו שאין לו אלא מה שעיניו רואות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וכנגדם העמיד 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בישראל את שמעון הצדיק וחשמונאי ובניו ומתתיה כהן גדול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כדברי הגמרא במגילה יא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 xml:space="preserve">על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לא געלתים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בימי יון</w:t>
      </w:r>
      <w:r>
        <w:rPr>
          <w:rFonts w:cs="Guttman Mantova"/>
          <w:rtl w:val="true"/>
        </w:rPr>
        <w:t xml:space="preserve">). </w:t>
      </w:r>
      <w:r>
        <w:rPr>
          <w:rFonts w:cs="Guttman Mantova"/>
          <w:rtl w:val="true"/>
        </w:rPr>
        <w:t xml:space="preserve">הגם ששמעון הצדיק ומתתיהו חיו בתקופות שונות ומהו זה שכללום בגמרא בחדא מחתא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אלא ששניהם היוו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לעומת זה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שכנגד מלכות יון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חיבור האדם הגשמי עם התורה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דוקא מתוך הסתרת האור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וזהו הרמז בכך שנס חנוכה לא ניתן להיכתב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ואף בתושבע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פ רבי לא כתבה בפירוט אלא בדרך אגב </w:t>
      </w:r>
      <w:r>
        <w:rPr>
          <w:rFonts w:cs="Guttman Mantova"/>
          <w:rtl w:val="true"/>
        </w:rPr>
        <w:t>[</w:t>
      </w:r>
      <w:r>
        <w:rPr>
          <w:rFonts w:cs="Guttman Mantova"/>
          <w:rtl w:val="true"/>
        </w:rPr>
        <w:t>וכבר ניתנו טעמים על כך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כידוע מהחת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ס בחדושיו לגטין עח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מלבד טעמו בדרושים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שלא פירשה המשנה דברים המעשיים ונהוגים אצל הכל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כמו תפלין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וכבר הקדימו הרמב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ם בפיה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מ במנחות בענין תפלין וציצת</w:t>
      </w:r>
      <w:r>
        <w:rPr>
          <w:rFonts w:cs="Guttman Mantova"/>
          <w:rtl w:val="true"/>
        </w:rPr>
        <w:t xml:space="preserve">)] - </w:t>
      </w:r>
      <w:r>
        <w:rPr>
          <w:rFonts w:cs="Guttman Mantova"/>
          <w:rtl w:val="true"/>
        </w:rPr>
        <w:t>כי עיקר ענינה הוא בחינת תושבע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פ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עפ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שפת אמת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המקשרת ומאחדת את הגוף עם התורה האלקית</w:t>
      </w:r>
      <w:r>
        <w:rPr>
          <w:rFonts w:cs="Guttman Mantova"/>
          <w:rtl w:val="true"/>
        </w:rPr>
        <w:t xml:space="preserve">. 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וכן לשון יונית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לשון חיצונית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כידוע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מהגרי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ז ריש מסכת נזיר ועוד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שלשונות העכו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ם אינם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לשון בעצם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אלא לשון הסכמית </w:t>
      </w:r>
      <w:r>
        <w:rPr>
          <w:rFonts w:cs="Guttman Mantova"/>
          <w:rtl w:val="true"/>
        </w:rPr>
        <w:t>[</w:t>
      </w:r>
      <w:r>
        <w:rPr>
          <w:rFonts w:cs="Guttman Mantova"/>
          <w:rtl w:val="true"/>
        </w:rPr>
        <w:t>ויש לזה גם ביטוי להלכה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לענין קריאת שמע בלשונות זרות כשאין מבין את משמעותן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כידוע</w:t>
      </w:r>
      <w:r>
        <w:rPr>
          <w:rFonts w:cs="Guttman Mantova"/>
          <w:rtl w:val="true"/>
        </w:rPr>
        <w:t xml:space="preserve">], </w:t>
      </w:r>
      <w:r>
        <w:rPr>
          <w:rFonts w:cs="Guttman Mantova"/>
          <w:rtl w:val="true"/>
        </w:rPr>
        <w:t>ופירוש הדבר הוא שלשונות הנכרים אינן משקפות את נקודת הקדושה הפנימית שיש בכל דבר אלא מתיחסות לחיצוניות הדברים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שלא כלשון הקודש שנקראת כן מפני שהיא משקפת את נקודת הקודש הפנימית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כדברי השלה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ק</w:t>
      </w:r>
      <w:r>
        <w:rPr>
          <w:rFonts w:cs="Guttman Mantova"/>
          <w:rtl w:val="true"/>
        </w:rPr>
        <w:t xml:space="preserve">). </w:t>
      </w:r>
      <w:r>
        <w:rPr>
          <w:rFonts w:cs="Guttman Mantova"/>
          <w:rtl w:val="true"/>
        </w:rPr>
        <w:t>וע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כ כשתרגמו הזקנים את התורה ליונית בהוראת תלמי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היה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חושך בא לעולם שלשה ימים</w:t>
      </w:r>
      <w:r>
        <w:rPr>
          <w:rFonts w:cs="Guttman Mantova"/>
          <w:rtl w:val="true"/>
        </w:rPr>
        <w:t>' (</w:t>
      </w:r>
      <w:r>
        <w:rPr>
          <w:rFonts w:cs="Guttman Mantova"/>
          <w:rtl w:val="true"/>
        </w:rPr>
        <w:t>עפ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מגלת תענית</w:t>
      </w:r>
      <w:r>
        <w:rPr>
          <w:rFonts w:cs="Guttman Mantova"/>
          <w:rtl w:val="true"/>
        </w:rPr>
        <w:t xml:space="preserve">). </w:t>
      </w:r>
      <w:r>
        <w:rPr>
          <w:rFonts w:cs="Guttman Mantova"/>
          <w:rtl w:val="true"/>
        </w:rPr>
        <w:t>ובכל זאת הלא מצינו שהתירו לכתוב ספרים ביונית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 xml:space="preserve">וישנם כמה וכמה מלים ומושגים יוניים שנכנסו למשנה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כי אמנם בתורה שבכתב שהיא בבחינת ראייה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הרי בתרגומה ללשון יונית כבה אורה וזיוה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אבל בתורה שבעל פה יכולה יפיפיותו של יפת להיגלות באהלי שם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כלומר בחינת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חוץ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שהיתה ביד היונים עד כה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יכולה להשתכלל ולהיתקן יותר משהיתה קודם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והענין רמוז בחזון דניאל בענין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הוד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הדר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>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הוד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הוא יופי פנימי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הדר</w:t>
      </w:r>
      <w:r>
        <w:rPr>
          <w:rFonts w:cs="Guttman Mantova"/>
          <w:rtl w:val="true"/>
        </w:rPr>
        <w:t xml:space="preserve">' - </w:t>
      </w:r>
      <w:r>
        <w:rPr>
          <w:rFonts w:cs="Guttman Mantova"/>
          <w:rtl w:val="true"/>
        </w:rPr>
        <w:t>חיצוני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וכשנתגלה לדניאל במראה ששר יון בא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אמר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פרק י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b/>
          <w:bCs/>
          <w:rtl w:val="true"/>
        </w:rPr>
        <w:t>'</w:t>
      </w:r>
      <w:r>
        <w:rPr>
          <w:rFonts w:cs="Guttman Mantova"/>
          <w:b/>
          <w:b/>
          <w:bCs/>
          <w:rtl w:val="true"/>
        </w:rPr>
        <w:t>והודי</w:t>
      </w:r>
      <w:r>
        <w:rPr>
          <w:rFonts w:cs="Guttman Mantova"/>
          <w:rtl w:val="true"/>
        </w:rPr>
        <w:t xml:space="preserve"> נהפך עלי למשחית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 xml:space="preserve">ולאחר מכן נאמר שם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 xml:space="preserve">ועמד על כנו מעביר נוגש </w:t>
      </w:r>
      <w:r>
        <w:rPr>
          <w:rFonts w:cs="Guttman Mantova"/>
          <w:b/>
          <w:b/>
          <w:bCs/>
          <w:rtl w:val="true"/>
        </w:rPr>
        <w:t>הדר</w:t>
      </w:r>
      <w:r>
        <w:rPr>
          <w:rFonts w:cs="Guttman Mantova"/>
          <w:rtl w:val="true"/>
        </w:rPr>
        <w:t xml:space="preserve"> מלכות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>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מלחמת בית חשמונאי הכהנים שהם שייכים למדת ה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הוד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ולתורה שבעל פה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כפי שמאריך הר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צ הכהן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זכו שגם ההדר יתוקן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בכך שישקף את ההוד הפנימי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ומאז יכולה גם לשון יונית להיכנס בחלקה לתורה שבעל פה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וזהו ענין המהדרין והמהדרין מן המהדרין שמצינו בחנוכה דוקא</w:t>
      </w:r>
      <w:r>
        <w:rPr>
          <w:rStyle w:val="FootnoteCharacters"/>
          <w:rStyle w:val="FootnoteReference"/>
          <w:rFonts w:cs="Guttman Mantova"/>
          <w:rtl w:val="true"/>
        </w:rPr>
        <w:footnoteReference w:id="4"/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ויש לקשר הענין לפרשת השבוע</w:t>
      </w:r>
      <w:r>
        <w:rPr>
          <w:rFonts w:cs="Guttman Mantova"/>
          <w:rtl w:val="true"/>
        </w:rPr>
        <w:t xml:space="preserve">; </w:t>
      </w:r>
      <w:r>
        <w:rPr>
          <w:rFonts w:cs="Guttman Mantova"/>
          <w:rtl w:val="true"/>
        </w:rPr>
        <w:t>אמרו רבותינו ז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ל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בסווטה לו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שיוסף לא היה יכול ללמוד שבעים לשון עד שנוספה אות 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בשמו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האות הרומזת על עולם הזה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ואז יכול היה לבוא לפני פרעה ולהעשות לשליט במצרים</w:t>
      </w:r>
      <w:r>
        <w:rPr>
          <w:rFonts w:cs="Guttman Mantova"/>
          <w:rtl w:val="true"/>
        </w:rPr>
        <w:t>, '</w:t>
      </w:r>
      <w:r>
        <w:rPr>
          <w:rFonts w:cs="Guttman Mantova"/>
          <w:rtl w:val="true"/>
        </w:rPr>
        <w:t>עדות ביהוסף שמו בצאתו על ארץ מצרים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שפת לא ידעתי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אשמע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 xml:space="preserve">כי יוסף הצדיק בעיקרו אין לו קנין ואחיזה בלשון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חיצונית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שאין לה זיקה עם הקדושה הפנימית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לעומת פרעה הרשע שלא יכול היה ללמוד כלל לשה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ק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מאחר והוא ראש למרכבה הטמאה ואין לו אחיזה בקדושה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ואלו הם דברי יוסף לאחיו</w:t>
      </w:r>
      <w:r>
        <w:rPr>
          <w:rFonts w:cs="Guttman Mantova"/>
          <w:rtl w:val="true"/>
        </w:rPr>
        <w:t>: '</w:t>
      </w:r>
      <w:r>
        <w:rPr>
          <w:rFonts w:cs="Guttman Mantova"/>
          <w:rtl w:val="true"/>
        </w:rPr>
        <w:t>והנה עיניכם ראות ועיני אחי בנימין כי פי המדבר אליכם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ופרש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שדיבר עמהם בלשון הקדש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והקשה הרמב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ן מה ראיה מזה כי הוא יוסף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והלא הרבה באים מהכא להתם שיודעים לשון כנען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אלא יוסף הראה להם שעם היותו משנה למלך מצרים מכיר הוא בלשון זו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וזה לאות כי באמת אינו שייך למצרים אלא אחיהם הוא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שאילולא היה מצרי בדרגה בכירה זו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לא היה מסוגל להכיר בלשה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ק כאמור</w:t>
      </w:r>
      <w:r>
        <w:rPr>
          <w:rFonts w:cs="Guttman Mantova"/>
          <w:rtl w:val="true"/>
        </w:rPr>
        <w:t>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וכשזכה יוסף לשלוט בשבעים לשון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>זכה ל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הדר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שגם החיצוניות ניתקנה כנ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ל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ככתוב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בכור שורו הדר לו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>וכמו שדרשו זאת על יהושע הבא מזרעו של יוסף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כי משה רבינו הוא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הוד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וכשנתן מהודו על יהושע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היה אורו של משה משתקף בתלמיד</w:t>
      </w:r>
      <w:r>
        <w:rPr>
          <w:rFonts w:cs="Guttman Mantova"/>
          <w:rtl w:val="true"/>
        </w:rPr>
        <w:t>, '</w:t>
      </w:r>
      <w:r>
        <w:rPr>
          <w:rFonts w:cs="Guttman Mantova"/>
          <w:rtl w:val="true"/>
        </w:rPr>
        <w:t>פני לבנה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המשקפת את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פני החמה</w:t>
      </w:r>
      <w:r>
        <w:rPr>
          <w:rFonts w:cs="Guttman Mantova"/>
          <w:rtl w:val="true"/>
        </w:rPr>
        <w:t>'.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 xml:space="preserve"> </w:t>
      </w:r>
    </w:p>
    <w:p>
      <w:pPr>
        <w:pStyle w:val="Normal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  <w:t>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מסירות נפשם של החשמונאים להילחם ביונים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וטהרתם את המקדש שהוא הודם של ישראל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עפ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י ברכות נח</w:t>
      </w:r>
      <w:r>
        <w:rPr>
          <w:rFonts w:cs="Guttman Mantova"/>
          <w:rtl w:val="true"/>
        </w:rPr>
        <w:t xml:space="preserve">. </w:t>
      </w:r>
      <w:r>
        <w:rPr>
          <w:rFonts w:cs="Guttman Mantova"/>
          <w:rtl w:val="true"/>
        </w:rPr>
        <w:t>וע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ש מהרש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א שהוא הודם והדרם של ישראל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זכו שאור החנוכה הנקראת על שמם ייעשה לחלק מן התורה וייקבע בכך לדורות עולם</w:t>
      </w:r>
      <w:r>
        <w:rPr>
          <w:rFonts w:cs="Guttman Mantova"/>
          <w:rtl w:val="true"/>
        </w:rPr>
        <w:t>, '</w:t>
      </w:r>
      <w:r>
        <w:rPr>
          <w:rFonts w:cs="Guttman Mantova"/>
          <w:rtl w:val="true"/>
        </w:rPr>
        <w:t>קבעום ועשאום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 xml:space="preserve">וזהו מה שנאמר לאהרן הכהן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שמידתו מדת ההוד כנ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ל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שלך גדולה משלהם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שחנוכה זו קיימת לעולם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כמובא ברמב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ן ריש בהעלותך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שזכה זרעו לבחינת התאחדות עם התורה והארת התורה את החושך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בחינת תורה שבעל פה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שהמנורה שבמקדש היא סימלה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שאור התורה נדבק בכלי ונעשה הכלי בעצמו נר מאיר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וכמאמרם ז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ל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הזהיר בנר זוכה לבנים תלמידי חכמים</w:t>
      </w:r>
      <w:r>
        <w:rPr>
          <w:rFonts w:cs="Guttman Mantova"/>
          <w:rtl w:val="true"/>
        </w:rPr>
        <w:t>' [</w:t>
      </w:r>
      <w:r>
        <w:rPr>
          <w:rFonts w:cs="Guttman Mantova"/>
          <w:rtl w:val="true"/>
        </w:rPr>
        <w:t xml:space="preserve">לעומת ארון העדות </w:t>
      </w:r>
      <w:r>
        <w:rPr>
          <w:rFonts w:cs="Guttman Mantova"/>
          <w:rtl w:val="true"/>
        </w:rPr>
        <w:t>('</w:t>
      </w:r>
      <w:r>
        <w:rPr>
          <w:rFonts w:cs="Guttman Mantova"/>
          <w:rtl w:val="true"/>
        </w:rPr>
        <w:t>ארון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 xml:space="preserve">לשון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אור</w:t>
      </w:r>
      <w:r>
        <w:rPr>
          <w:rFonts w:cs="Guttman Mantova"/>
          <w:rtl w:val="true"/>
        </w:rPr>
        <w:t xml:space="preserve">' </w:t>
      </w:r>
      <w:r>
        <w:rPr>
          <w:rFonts w:cs="Guttman Mantova"/>
          <w:rtl w:val="true"/>
        </w:rPr>
        <w:t>כדברי מהר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ל</w:t>
      </w:r>
      <w:r>
        <w:rPr>
          <w:rFonts w:cs="Guttman Mantova"/>
          <w:rtl w:val="true"/>
        </w:rPr>
        <w:t xml:space="preserve">), </w:t>
      </w:r>
      <w:r>
        <w:rPr>
          <w:rFonts w:cs="Guttman Mantova"/>
          <w:rtl w:val="true"/>
        </w:rPr>
        <w:t>מקום הנחת תורה שבכתב שהיה בבית ראשון ולא בשני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שאינו מקרין מאורו החוצה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 xml:space="preserve">וכדברי אלעזר בן פועירה לינאי המלך כאשר שאלו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ותורה מה תהא עליה</w:t>
      </w:r>
      <w:r>
        <w:rPr>
          <w:rFonts w:cs="Guttman Mantova"/>
          <w:rtl w:val="true"/>
        </w:rPr>
        <w:t xml:space="preserve">' - </w:t>
      </w:r>
      <w:r>
        <w:rPr>
          <w:rFonts w:cs="Guttman Mantova"/>
          <w:rtl w:val="true"/>
        </w:rPr>
        <w:t xml:space="preserve">אם אהרוג את חכמי ישראל </w:t>
      </w:r>
      <w:r>
        <w:rPr>
          <w:rFonts w:cs="Guttman Mantova"/>
          <w:rtl w:val="true"/>
        </w:rPr>
        <w:t>- '</w:t>
      </w:r>
      <w:r>
        <w:rPr>
          <w:rFonts w:cs="Guttman Mantova"/>
          <w:rtl w:val="true"/>
        </w:rPr>
        <w:t>הרי כרוכה ומונחת בקרן זוית כל הרוצה ללמוד יבוא וילמוד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>שהתורה שבכתב אינה צריכה גוף חכם חי המבארה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שלא כתושבע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>פ שהיא נצרכת לעולם את החכם החי</w:t>
      </w:r>
      <w:r>
        <w:rPr>
          <w:rFonts w:cs="Guttman Mantova"/>
          <w:rtl w:val="true"/>
        </w:rPr>
        <w:t xml:space="preserve">, </w:t>
      </w:r>
      <w:r>
        <w:rPr>
          <w:rFonts w:cs="Guttman Mantova"/>
          <w:rtl w:val="true"/>
        </w:rPr>
        <w:t>שהרי היא והוא חד הם</w:t>
      </w:r>
      <w:r>
        <w:rPr>
          <w:rStyle w:val="FootnoteCharacters"/>
          <w:rStyle w:val="FootnoteReference"/>
          <w:rFonts w:cs="Guttman Mantova"/>
          <w:rtl w:val="true"/>
        </w:rPr>
        <w:footnoteReference w:id="5"/>
      </w:r>
      <w:r>
        <w:rPr>
          <w:rFonts w:cs="Guttman Mantova"/>
          <w:rtl w:val="true"/>
        </w:rPr>
        <w:t xml:space="preserve">]. </w:t>
      </w:r>
      <w:r>
        <w:rPr>
          <w:rFonts w:cs="Guttman Mantova"/>
          <w:rtl w:val="true"/>
        </w:rPr>
        <w:t xml:space="preserve">וכן התורה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 xml:space="preserve">כמו המקדש </w:t>
      </w:r>
      <w:r>
        <w:rPr>
          <w:rFonts w:cs="Guttman Mantova"/>
          <w:rtl w:val="true"/>
        </w:rPr>
        <w:t xml:space="preserve">- </w:t>
      </w:r>
      <w:r>
        <w:rPr>
          <w:rFonts w:cs="Guttman Mantova"/>
          <w:rtl w:val="true"/>
        </w:rPr>
        <w:t xml:space="preserve">נקראת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הוד</w:t>
      </w:r>
      <w:r>
        <w:rPr>
          <w:rFonts w:cs="Guttman Mantova"/>
          <w:rtl w:val="true"/>
        </w:rPr>
        <w:t xml:space="preserve">', </w:t>
      </w:r>
      <w:r>
        <w:rPr>
          <w:rFonts w:cs="Guttman Mantova"/>
          <w:rtl w:val="true"/>
        </w:rPr>
        <w:t xml:space="preserve">כמו שאמרו בשבת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פט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>עה</w:t>
      </w:r>
      <w:r>
        <w:rPr>
          <w:rFonts w:cs="Guttman Mantova"/>
          <w:rtl w:val="true"/>
        </w:rPr>
        <w:t>"</w:t>
      </w:r>
      <w:r>
        <w:rPr>
          <w:rFonts w:cs="Guttman Mantova"/>
          <w:rtl w:val="true"/>
        </w:rPr>
        <w:t xml:space="preserve">פ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תנה הודך על השמים</w:t>
      </w:r>
      <w:r>
        <w:rPr>
          <w:rFonts w:cs="Guttman Mantova"/>
          <w:rtl w:val="true"/>
        </w:rPr>
        <w:t xml:space="preserve">'. </w:t>
      </w:r>
      <w:r>
        <w:rPr>
          <w:rFonts w:cs="Guttman Mantova"/>
          <w:rtl w:val="true"/>
        </w:rPr>
        <w:t xml:space="preserve">ועל עמלי תורה דרשו </w:t>
      </w:r>
      <w:r>
        <w:rPr>
          <w:rFonts w:cs="Guttman Mantova"/>
          <w:rtl w:val="true"/>
        </w:rPr>
        <w:t>(</w:t>
      </w:r>
      <w:r>
        <w:rPr>
          <w:rFonts w:cs="Guttman Mantova"/>
          <w:rtl w:val="true"/>
        </w:rPr>
        <w:t>במדרש תהלים קד</w:t>
      </w:r>
      <w:r>
        <w:rPr>
          <w:rFonts w:cs="Guttman Mantova"/>
          <w:rtl w:val="true"/>
        </w:rPr>
        <w:t xml:space="preserve">) </w:t>
      </w:r>
      <w:r>
        <w:rPr>
          <w:rFonts w:cs="Guttman Mantova"/>
          <w:rtl w:val="true"/>
        </w:rPr>
        <w:t xml:space="preserve">הכתוב </w:t>
      </w:r>
      <w:r>
        <w:rPr>
          <w:rFonts w:cs="Guttman Mantova"/>
          <w:rtl w:val="true"/>
        </w:rPr>
        <w:t>'</w:t>
      </w:r>
      <w:r>
        <w:rPr>
          <w:rFonts w:cs="Guttman Mantova"/>
          <w:rtl w:val="true"/>
        </w:rPr>
        <w:t>הוד והדר תשוה עליו</w:t>
      </w:r>
      <w:r>
        <w:rPr>
          <w:rFonts w:cs="Guttman Mantova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cs="Guttman Mantova"/>
        </w:rPr>
      </w:pPr>
      <w:r>
        <w:rPr>
          <w:rFonts w:cs="Guttman Mantova"/>
          <w:rtl w:val="true"/>
        </w:rPr>
      </w:r>
    </w:p>
    <w:p>
      <w:pPr>
        <w:pStyle w:val="BodyText"/>
        <w:spacing w:lineRule="auto" w:line="240"/>
        <w:ind w:end="0"/>
        <w:jc w:val="both"/>
        <w:rPr>
          <w:rFonts w:cs="Guttman Mantova" w:hint="cs"/>
        </w:rPr>
      </w:pPr>
      <w:r>
        <w:rPr>
          <w:rFonts w:cs="Guttman Mantova" w:hint="cs"/>
          <w:rtl w:val="true"/>
        </w:rPr>
        <w:t xml:space="preserve"> </w:t>
      </w:r>
    </w:p>
    <w:p>
      <w:pPr>
        <w:pStyle w:val="BodyText"/>
        <w:spacing w:lineRule="auto" w:line="240"/>
        <w:ind w:end="0"/>
        <w:jc w:val="both"/>
        <w:rPr>
          <w:rFonts w:cs="Guttman Mantova" w:hint="cs"/>
          <w:szCs w:val="22"/>
        </w:rPr>
      </w:pPr>
      <w:r>
        <w:rPr>
          <w:rFonts w:cs="Guttman Mantova" w:hint="cs"/>
          <w:szCs w:val="22"/>
          <w:rtl w:val="true"/>
        </w:rPr>
        <w:t xml:space="preserve"> </w:t>
      </w:r>
    </w:p>
    <w:p>
      <w:pPr>
        <w:pStyle w:val="Heading1"/>
        <w:ind w:hanging="0" w:start="0" w:end="0"/>
        <w:jc w:val="both"/>
        <w:rPr>
          <w:rFonts w:cs="FrankRuehl" w:hint="cs"/>
        </w:rPr>
      </w:pPr>
      <w:r>
        <w:rPr>
          <w:rFonts w:cs="FrankRuehl" w:hint="cs"/>
          <w:rtl w:val="true"/>
        </w:rPr>
        <w:t xml:space="preserve">    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800" w:right="1800" w:gutter="0" w:header="720" w:top="171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.FrankRuehl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4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4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מפני ההיקף הגדול של הדברים שנאמרו ועמקם</w:t>
      </w:r>
      <w:r>
        <w:rPr>
          <w:rtl w:val="true"/>
        </w:rPr>
        <w:t xml:space="preserve">, </w:t>
      </w:r>
      <w:r>
        <w:rPr>
          <w:rtl w:val="true"/>
        </w:rPr>
        <w:t>לא נכללו כאן אלא נקודות עיקריות מתוך השיעור כפי שהובנו על ידי הכותב</w:t>
      </w:r>
      <w:r>
        <w:rPr>
          <w:rtl w:val="true"/>
        </w:rPr>
        <w:t xml:space="preserve">. </w:t>
      </w:r>
      <w:r>
        <w:rPr>
          <w:rtl w:val="true"/>
        </w:rPr>
        <w:t>סגנון הדברים והגשתם</w:t>
      </w:r>
      <w:r>
        <w:rPr>
          <w:rtl w:val="true"/>
        </w:rPr>
        <w:t xml:space="preserve">, </w:t>
      </w:r>
      <w:r>
        <w:rPr>
          <w:rtl w:val="true"/>
        </w:rPr>
        <w:t>וכן ביטויי המושגים</w:t>
      </w:r>
      <w:r>
        <w:rPr>
          <w:rtl w:val="true"/>
        </w:rPr>
        <w:t xml:space="preserve">, </w:t>
      </w:r>
      <w:r>
        <w:rPr>
          <w:rtl w:val="true"/>
        </w:rPr>
        <w:t>לא נשתמרו כמאמרם ממש</w:t>
      </w:r>
      <w:r>
        <w:rPr>
          <w:rtl w:val="true"/>
        </w:rPr>
        <w:t xml:space="preserve">, </w:t>
      </w:r>
      <w:r>
        <w:rPr>
          <w:rtl w:val="true"/>
        </w:rPr>
        <w:t>אבל עיקר המכוון נשמר עד כמה שהיד מגעת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וכמאמר רב גידל בירושלמי</w:t>
      </w:r>
      <w:r>
        <w:rPr>
          <w:rtl w:val="true"/>
        </w:rPr>
        <w:t xml:space="preserve">, </w:t>
      </w:r>
      <w:r>
        <w:rPr>
          <w:rtl w:val="true"/>
        </w:rPr>
        <w:t>האומר שמועה בשם חכם</w:t>
      </w:r>
      <w:r>
        <w:rPr>
          <w:rtl w:val="true"/>
        </w:rPr>
        <w:t xml:space="preserve">, </w:t>
      </w:r>
      <w:r>
        <w:rPr>
          <w:rtl w:val="true"/>
        </w:rPr>
        <w:t>יראה בעל שמועה כאילו עומד לנגד עיניו</w:t>
      </w:r>
      <w:r>
        <w:rPr>
          <w:rtl w:val="true"/>
        </w:rPr>
        <w:t>.</w:t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שמונה לשונות של יופי בלשון המקרא</w:t>
      </w:r>
      <w:r>
        <w:rPr>
          <w:rtl w:val="true"/>
        </w:rPr>
        <w:t xml:space="preserve">, </w:t>
      </w:r>
      <w:r>
        <w:rPr>
          <w:rtl w:val="true"/>
        </w:rPr>
        <w:t>והם שמונה בחינות כנגד שמונת ימי החנוכה</w:t>
      </w:r>
      <w:r>
        <w:rPr>
          <w:rtl w:val="true"/>
        </w:rPr>
        <w:t xml:space="preserve">, </w:t>
      </w:r>
      <w:r>
        <w:rPr>
          <w:rtl w:val="true"/>
        </w:rPr>
        <w:t xml:space="preserve">וזה סדרן </w:t>
      </w:r>
      <w:r>
        <w:rPr>
          <w:rtl w:val="true"/>
        </w:rPr>
        <w:t>[</w:t>
      </w:r>
      <w:r>
        <w:rPr>
          <w:rtl w:val="true"/>
        </w:rPr>
        <w:t>לפי הקבלתן ל</w:t>
      </w:r>
      <w:r>
        <w:rPr>
          <w:rtl w:val="true"/>
        </w:rPr>
        <w:t>'</w:t>
      </w:r>
      <w:r>
        <w:rPr>
          <w:rtl w:val="true"/>
        </w:rPr>
        <w:t>כתר</w:t>
      </w:r>
      <w:r>
        <w:rPr>
          <w:rtl w:val="true"/>
        </w:rPr>
        <w:t xml:space="preserve">' </w:t>
      </w:r>
      <w:r>
        <w:rPr>
          <w:rtl w:val="true"/>
        </w:rPr>
        <w:t>ולשבע מדות שמתחתיו</w:t>
      </w:r>
      <w:r>
        <w:rPr>
          <w:rtl w:val="true"/>
        </w:rPr>
        <w:t xml:space="preserve">]: </w:t>
      </w:r>
      <w:r>
        <w:rPr>
          <w:rtl w:val="true"/>
        </w:rPr>
        <w:t>שפר</w:t>
      </w:r>
      <w:r>
        <w:rPr>
          <w:rtl w:val="true"/>
        </w:rPr>
        <w:t xml:space="preserve">, </w:t>
      </w:r>
      <w:r>
        <w:rPr>
          <w:rtl w:val="true"/>
        </w:rPr>
        <w:t>יפי</w:t>
      </w:r>
      <w:r>
        <w:rPr>
          <w:rtl w:val="true"/>
        </w:rPr>
        <w:t xml:space="preserve">, </w:t>
      </w:r>
      <w:r>
        <w:rPr>
          <w:rtl w:val="true"/>
        </w:rPr>
        <w:t>טוב</w:t>
      </w:r>
      <w:r>
        <w:rPr>
          <w:rtl w:val="true"/>
        </w:rPr>
        <w:t xml:space="preserve">, </w:t>
      </w:r>
      <w:r>
        <w:rPr>
          <w:rtl w:val="true"/>
        </w:rPr>
        <w:t>פאר</w:t>
      </w:r>
      <w:r>
        <w:rPr>
          <w:rtl w:val="true"/>
        </w:rPr>
        <w:t xml:space="preserve">, </w:t>
      </w:r>
      <w:r>
        <w:rPr>
          <w:rtl w:val="true"/>
        </w:rPr>
        <w:t>נוי</w:t>
      </w:r>
      <w:r>
        <w:rPr>
          <w:rtl w:val="true"/>
        </w:rPr>
        <w:t xml:space="preserve">, </w:t>
      </w:r>
      <w:r>
        <w:rPr>
          <w:rtl w:val="true"/>
        </w:rPr>
        <w:t>הוד</w:t>
      </w:r>
      <w:r>
        <w:rPr>
          <w:rtl w:val="true"/>
        </w:rPr>
        <w:t xml:space="preserve">, </w:t>
      </w:r>
      <w:r>
        <w:rPr>
          <w:rtl w:val="true"/>
        </w:rPr>
        <w:t>הדר</w:t>
      </w:r>
      <w:r>
        <w:rPr>
          <w:rtl w:val="true"/>
        </w:rPr>
        <w:t xml:space="preserve">, </w:t>
      </w:r>
      <w:r>
        <w:rPr>
          <w:rtl w:val="true"/>
        </w:rPr>
        <w:t>חן</w:t>
      </w:r>
      <w:r>
        <w:rPr>
          <w:rtl w:val="true"/>
        </w:rPr>
        <w:t xml:space="preserve">. </w:t>
      </w:r>
      <w:r>
        <w:rPr>
          <w:rtl w:val="true"/>
        </w:rPr>
        <w:t>וכמו</w:t>
      </w:r>
      <w:r>
        <w:rPr>
          <w:rtl w:val="true"/>
        </w:rPr>
        <w:t>"</w:t>
      </w:r>
      <w:r>
        <w:rPr>
          <w:rtl w:val="true"/>
        </w:rPr>
        <w:t>כ יש י</w:t>
      </w:r>
      <w:r>
        <w:rPr>
          <w:rtl w:val="true"/>
        </w:rPr>
        <w:t>"</w:t>
      </w:r>
      <w:r>
        <w:rPr>
          <w:rtl w:val="true"/>
        </w:rPr>
        <w:t>ג לשונות של אור בתורה</w:t>
      </w:r>
      <w:r>
        <w:rPr>
          <w:rtl w:val="true"/>
        </w:rPr>
        <w:t xml:space="preserve">, </w:t>
      </w:r>
      <w:r>
        <w:rPr>
          <w:rtl w:val="true"/>
        </w:rPr>
        <w:t>שהן כנגד י</w:t>
      </w:r>
      <w:r>
        <w:rPr>
          <w:rtl w:val="true"/>
        </w:rPr>
        <w:t>"</w:t>
      </w:r>
      <w:r>
        <w:rPr>
          <w:rtl w:val="true"/>
        </w:rPr>
        <w:t>ג מדות שהתורה נדרשת בהן וי</w:t>
      </w:r>
      <w:r>
        <w:rPr>
          <w:rtl w:val="true"/>
        </w:rPr>
        <w:t>"</w:t>
      </w:r>
      <w:r>
        <w:rPr>
          <w:rtl w:val="true"/>
        </w:rPr>
        <w:t xml:space="preserve">ג תבות הברכה </w:t>
      </w:r>
      <w:r>
        <w:rPr>
          <w:rtl w:val="true"/>
        </w:rPr>
        <w:t>(</w:t>
      </w:r>
      <w:r>
        <w:rPr>
          <w:rtl w:val="true"/>
        </w:rPr>
        <w:t>כנוסח האריז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). </w:t>
      </w:r>
      <w:r>
        <w:rPr>
          <w:rtl w:val="true"/>
        </w:rPr>
        <w:t>והמכוון בזה לחבר את התורה</w:t>
      </w:r>
      <w:r>
        <w:rPr>
          <w:rtl w:val="true"/>
        </w:rPr>
        <w:t>-</w:t>
      </w:r>
      <w:r>
        <w:rPr>
          <w:rtl w:val="true"/>
        </w:rPr>
        <w:t>אור בגוף הגשמי</w:t>
      </w:r>
      <w:r>
        <w:rPr>
          <w:rtl w:val="true"/>
        </w:rPr>
        <w:t>, '</w:t>
      </w:r>
      <w:r>
        <w:rPr>
          <w:rtl w:val="true"/>
        </w:rPr>
        <w:t>נר</w:t>
      </w:r>
      <w:r>
        <w:rPr>
          <w:rtl w:val="true"/>
        </w:rPr>
        <w:t>-</w:t>
      </w:r>
      <w:r>
        <w:rPr>
          <w:rtl w:val="true"/>
        </w:rPr>
        <w:t>מצוה</w:t>
      </w:r>
      <w:r>
        <w:rPr>
          <w:rtl w:val="true"/>
        </w:rPr>
        <w:t xml:space="preserve">', </w:t>
      </w:r>
      <w:r>
        <w:rPr>
          <w:rtl w:val="true"/>
        </w:rPr>
        <w:t>ועי</w:t>
      </w:r>
      <w:r>
        <w:rPr>
          <w:rtl w:val="true"/>
        </w:rPr>
        <w:t>"</w:t>
      </w:r>
      <w:r>
        <w:rPr>
          <w:rtl w:val="true"/>
        </w:rPr>
        <w:t>כ נעשה יופי ותיקון מיוחד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רמז נוסף באותו ענין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פך שמן טהור</w:t>
      </w:r>
      <w:r>
        <w:rPr>
          <w:b/>
          <w:bCs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 xml:space="preserve">שבראשי התבות </w:t>
      </w:r>
      <w:r>
        <w:rPr>
          <w:rtl w:val="true"/>
        </w:rPr>
        <w:t xml:space="preserve">- </w:t>
      </w:r>
      <w:r>
        <w:rPr>
          <w:rtl w:val="true"/>
        </w:rPr>
        <w:t xml:space="preserve">החלק הגלוי שלו </w:t>
      </w:r>
      <w:r>
        <w:rPr>
          <w:rtl w:val="true"/>
        </w:rPr>
        <w:t xml:space="preserve">- </w:t>
      </w:r>
      <w:r>
        <w:rPr>
          <w:rtl w:val="true"/>
        </w:rPr>
        <w:t xml:space="preserve">הוא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פשט</w:t>
      </w:r>
      <w:r>
        <w:rPr>
          <w:b/>
          <w:bCs/>
          <w:rtl w:val="true"/>
        </w:rPr>
        <w:t xml:space="preserve">' </w:t>
      </w:r>
      <w:r>
        <w:rPr>
          <w:rtl w:val="true"/>
        </w:rPr>
        <w:t>[</w:t>
      </w:r>
      <w:r>
        <w:rPr>
          <w:rtl w:val="true"/>
        </w:rPr>
        <w:t xml:space="preserve">שהם אותיות </w:t>
      </w:r>
      <w:r>
        <w:rPr>
          <w:rtl w:val="true"/>
        </w:rPr>
        <w:t>'</w:t>
      </w:r>
      <w:r>
        <w:rPr>
          <w:rtl w:val="true"/>
        </w:rPr>
        <w:t>טפש</w:t>
      </w:r>
      <w:r>
        <w:rPr>
          <w:rtl w:val="true"/>
        </w:rPr>
        <w:t xml:space="preserve">', </w:t>
      </w:r>
      <w:r>
        <w:rPr>
          <w:rtl w:val="true"/>
        </w:rPr>
        <w:t>היינו זה הרואה בכל דבר רק את רובד הפשט שלו</w:t>
      </w:r>
      <w:r>
        <w:rPr>
          <w:rtl w:val="true"/>
        </w:rPr>
        <w:t xml:space="preserve">, </w:t>
      </w:r>
      <w:r>
        <w:rPr>
          <w:rtl w:val="true"/>
        </w:rPr>
        <w:t>בלא הסתכלות לעומק פנימי</w:t>
      </w:r>
      <w:r>
        <w:rPr>
          <w:rtl w:val="true"/>
        </w:rPr>
        <w:t xml:space="preserve">], </w:t>
      </w:r>
      <w:r>
        <w:rPr>
          <w:rtl w:val="true"/>
        </w:rPr>
        <w:t xml:space="preserve">מנין כל התבות עולה 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נסתר</w:t>
      </w:r>
      <w:r>
        <w:rPr>
          <w:b/>
          <w:bCs/>
          <w:rtl w:val="true"/>
        </w:rPr>
        <w:t xml:space="preserve">'. </w:t>
      </w:r>
      <w:r>
        <w:rPr>
          <w:rtl w:val="true"/>
        </w:rPr>
        <w:t>שמעתי בשם יודע דבר</w:t>
      </w:r>
      <w:r>
        <w:rPr>
          <w:rtl w:val="true"/>
        </w:rPr>
        <w:t xml:space="preserve">.  </w:t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אגרות משה או</w:t>
      </w:r>
      <w:r>
        <w:rPr>
          <w:rtl w:val="true"/>
        </w:rPr>
        <w:t>"</w:t>
      </w:r>
      <w:r>
        <w:rPr>
          <w:rtl w:val="true"/>
        </w:rPr>
        <w:t>ח ח</w:t>
      </w:r>
      <w:r>
        <w:rPr>
          <w:rtl w:val="true"/>
        </w:rPr>
        <w:t>"</w:t>
      </w:r>
      <w:r>
        <w:rPr>
          <w:rtl w:val="true"/>
        </w:rPr>
        <w:t>ד לט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rFonts w:cs="FrankRuehl"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>בס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ד</w:t>
    </w:r>
  </w:p>
  <w:p>
    <w:pPr>
      <w:pStyle w:val="Header"/>
      <w:ind w:end="0"/>
      <w:jc w:val="end"/>
      <w:rPr>
        <w:rFonts w:cs="FrankRuehl"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 xml:space="preserve">הפצת והדפסת השיעורים </w:t>
    </w:r>
    <w:r>
      <w:rPr>
        <w:rFonts w:cs="FrankRuehl"/>
        <w:sz w:val="18"/>
        <w:szCs w:val="18"/>
        <w:rtl w:val="true"/>
      </w:rPr>
      <w:t>–</w:t>
    </w:r>
    <w:r>
      <w:rPr>
        <w:rFonts w:hint="cs" w:cs="FrankRuehl"/>
        <w:sz w:val="18"/>
        <w:szCs w:val="18"/>
        <w:rtl w:val="true"/>
      </w:rPr>
      <w:t xml:space="preserve"> לע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נ לאה  בת שמואל זלמן</w:t>
    </w:r>
    <w:r>
      <w:rPr>
        <w:rFonts w:cs="FrankRuehl" w:hint="cs"/>
        <w:sz w:val="18"/>
        <w:szCs w:val="18"/>
        <w:rtl w:val="true"/>
      </w:rPr>
      <w:t xml:space="preserve">, </w:t>
    </w:r>
    <w:r>
      <w:rPr>
        <w:rFonts w:hint="cs" w:cs="FrankRuehl"/>
        <w:sz w:val="18"/>
        <w:szCs w:val="18"/>
        <w:rtl w:val="true"/>
      </w:rPr>
      <w:t>לע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נ קלמן בן זלמן</w:t>
    </w:r>
  </w:p>
  <w:p>
    <w:pPr>
      <w:pStyle w:val="Header"/>
      <w:ind w:end="0"/>
      <w:jc w:val="end"/>
      <w:rPr>
        <w:rFonts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>השיעורים נכתבו 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י הרב בן ארזה מפיו של הרב עוזר שליט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א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Miriam"/>
      <w:color w:val="auto"/>
      <w:sz w:val="20"/>
      <w:szCs w:val="20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rFonts w:cs="David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0" w:end="0"/>
      <w:jc w:val="start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yle12">
    <w:name w:val="גופן ברירת המחדל של פיסקה"/>
    <w:qFormat/>
    <w:rPr/>
  </w:style>
  <w:style w:type="character" w:styleId="PageNumber">
    <w:name w:val="page number"/>
    <w:basedOn w:val="Style12"/>
    <w:rPr/>
  </w:style>
  <w:style w:type="character" w:styleId="FootnoteCharacters">
    <w:name w:val="Footnote Characters"/>
    <w:basedOn w:val="Style1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360"/>
      <w:ind w:hanging="0" w:start="0" w:end="0"/>
      <w:jc w:val="both"/>
    </w:pPr>
    <w:rPr>
      <w:rFonts w:cs="David"/>
      <w:sz w:val="28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Style13">
    <w:name w:val="טקסט בלונים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>
      <w:rFonts w:cs="FrankRuehl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2007-12-11T16:26:00Z</dcterms:created>
  <dc:creator>יו</dc:creator>
  <dc:description/>
  <cp:keywords/>
  <dc:language>en-US</dc:language>
  <cp:lastModifiedBy>user</cp:lastModifiedBy>
  <cp:lastPrinted>2007-10-30T15:54:00Z</cp:lastPrinted>
  <dcterms:modified xsi:type="dcterms:W3CDTF">2007-12-11T16:28:00Z</dcterms:modified>
  <cp:revision>3</cp:revision>
  <dc:subject/>
  <dc:title>בס"ד, שיעור הגר"א עוזר שליט"א - ח, נמסר בש"ק במדבר תשס"ז (כתיבה ראשונה)</dc:title>
</cp:coreProperties>
</file>