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40" w:after="0"/>
        <w:ind w:end="0"/>
        <w:jc w:val="center"/>
        <w:rPr/>
      </w:pPr>
      <w:r>
        <w:rPr>
          <w:rFonts w:hint="cs"/>
          <w:rtl w:val="true"/>
        </w:rPr>
        <w:t>טעם התירא דעניבה</w:t>
      </w:r>
    </w:p>
    <w:p>
      <w:pPr>
        <w:pStyle w:val="Normal"/>
        <w:spacing w:lineRule="exact" w:line="360" w:before="0" w:after="0"/>
        <w:ind w:end="0"/>
        <w:jc w:val="both"/>
        <w:rPr>
          <w:sz w:val="26"/>
          <w:szCs w:val="26"/>
        </w:rPr>
      </w:pPr>
      <w:r>
        <w:rPr>
          <w:rFonts w:ascii="FrankRuehl" w:hAnsi="FrankRuehl" w:hint="cs"/>
          <w:sz w:val="26"/>
          <w:szCs w:val="26"/>
          <w:rtl w:val="true"/>
        </w:rPr>
        <w:t>א</w:t>
      </w:r>
      <w:bookmarkStart w:id="0" w:name="_Hlk29759942"/>
      <w:r>
        <w:rPr>
          <w:rFonts w:cs="FrankRuehl" w:hint="cs" w:ascii="FrankRuehl" w:hAnsi="FrankRuehl"/>
          <w:sz w:val="26"/>
          <w:szCs w:val="26"/>
          <w:rtl w:val="true"/>
        </w:rPr>
        <w:t xml:space="preserve">] </w:t>
      </w:r>
      <w:r>
        <w:rPr>
          <w:rFonts w:ascii="FrankRuehl" w:hAnsi="FrankRuehl" w:hint="cs"/>
          <w:sz w:val="26"/>
          <w:szCs w:val="26"/>
          <w:rtl w:val="true"/>
        </w:rPr>
        <w:t>השו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ע בס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ה כתב דעניבה מותר דלאו קשר הוא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ובטעם ההיתר בזה נחלקו הראשונים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דהריא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ז בשבת פט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 xml:space="preserve">ו </w:t>
      </w:r>
      <w:r>
        <w:rPr>
          <w:rFonts w:hint="cs"/>
          <w:sz w:val="26"/>
          <w:szCs w:val="26"/>
          <w:rtl w:val="true"/>
        </w:rPr>
        <w:t>(</w:t>
      </w:r>
      <w:r>
        <w:rPr>
          <w:rFonts w:hint="cs"/>
          <w:sz w:val="26"/>
          <w:szCs w:val="26"/>
          <w:rtl w:val="true"/>
        </w:rPr>
        <w:t>ה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א דין א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ודין ה</w:t>
      </w:r>
      <w:r>
        <w:rPr>
          <w:rFonts w:hint="cs"/>
          <w:sz w:val="26"/>
          <w:szCs w:val="26"/>
          <w:rtl w:val="true"/>
        </w:rPr>
        <w:t xml:space="preserve">') </w:t>
      </w:r>
      <w:r>
        <w:rPr>
          <w:rFonts w:hint="cs"/>
          <w:sz w:val="26"/>
          <w:szCs w:val="26"/>
          <w:rtl w:val="true"/>
        </w:rPr>
        <w:t>כתב דהוא משום דיכול להתירו בידו אחת וכל קשר שיכול להתירו בידו אחת אינו קשר</w:t>
      </w:r>
      <w:r>
        <w:rPr>
          <w:rFonts w:hint="cs"/>
          <w:sz w:val="26"/>
          <w:szCs w:val="26"/>
          <w:rtl w:val="true"/>
        </w:rPr>
        <w:t xml:space="preserve">,  </w:t>
      </w:r>
      <w:r>
        <w:rPr>
          <w:rFonts w:hint="cs"/>
          <w:sz w:val="26"/>
          <w:szCs w:val="26"/>
          <w:rtl w:val="true"/>
        </w:rPr>
        <w:t>וכ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כ הפסקי רי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ד והריטב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א בשבת קי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א ב</w:t>
      </w:r>
      <w:r>
        <w:rPr>
          <w:rFonts w:hint="cs"/>
          <w:sz w:val="26"/>
          <w:szCs w:val="26"/>
          <w:rtl w:val="true"/>
        </w:rPr>
        <w:t>',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2"/>
      </w:r>
      <w:r>
        <w:rPr>
          <w:rFonts w:hint="cs"/>
          <w:sz w:val="26"/>
          <w:szCs w:val="26"/>
          <w:rtl w:val="true"/>
        </w:rPr>
        <w:t xml:space="preserve"> </w:t>
      </w:r>
      <w:r>
        <w:rPr>
          <w:rFonts w:hint="cs"/>
          <w:sz w:val="26"/>
          <w:szCs w:val="26"/>
          <w:rtl w:val="true"/>
        </w:rPr>
        <w:t>וכ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ה מבו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גם בד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הרמב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ן במלחמות בעירובין צ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ז א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דהתירא דעניבה הוא משום דאינו קשר של קיימא גמור</w:t>
      </w:r>
      <w:r>
        <w:rPr>
          <w:rFonts w:hint="cs"/>
          <w:sz w:val="26"/>
          <w:szCs w:val="26"/>
          <w:rtl w:val="true"/>
        </w:rPr>
        <w:t>.</w:t>
      </w:r>
    </w:p>
    <w:p>
      <w:pPr>
        <w:pStyle w:val="Normal"/>
        <w:spacing w:lineRule="exact" w:line="360" w:before="0" w:after="0"/>
        <w:ind w:end="0"/>
        <w:jc w:val="both"/>
        <w:rPr>
          <w:sz w:val="26"/>
          <w:szCs w:val="26"/>
        </w:rPr>
      </w:pPr>
      <w:r>
        <w:rPr>
          <w:rFonts w:hint="cs"/>
          <w:sz w:val="26"/>
          <w:szCs w:val="26"/>
          <w:rtl w:val="true"/>
        </w:rPr>
        <w:t>והפסקי רי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ד והריטב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א שם כתבו לפ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ז דלפ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מ דקי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ל דעניבה לאו קשירה היא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כ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ש דקשר שיכול להתירו בידו אחת לאו קשר הוא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וכ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כ הרשב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א והריטב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א בעירובין צ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ז א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דקי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ל דקשר מרופה שיכול להתירו בידו אחת אין חייבין עליו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וכ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ה מבו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בד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הרמב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ן במלחמות שם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וכ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כ השבה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ל בסימן קכ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ד בשם אחיו ר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בנימין והביאו הב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י בס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א</w:t>
      </w:r>
      <w:r>
        <w:rPr>
          <w:rFonts w:hint="cs"/>
          <w:sz w:val="26"/>
          <w:szCs w:val="26"/>
          <w:rtl w:val="true"/>
        </w:rPr>
        <w:t>.</w:t>
      </w:r>
    </w:p>
    <w:p>
      <w:pPr>
        <w:pStyle w:val="Normal"/>
        <w:spacing w:lineRule="exact" w:line="360" w:before="0" w:after="0"/>
        <w:ind w:end="0"/>
        <w:jc w:val="both"/>
        <w:rPr>
          <w:sz w:val="26"/>
          <w:szCs w:val="26"/>
        </w:rPr>
      </w:pPr>
      <w:r>
        <w:rPr>
          <w:rFonts w:hint="cs"/>
          <w:sz w:val="26"/>
          <w:szCs w:val="26"/>
          <w:rtl w:val="true"/>
        </w:rPr>
        <w:t>ב</w:t>
      </w:r>
      <w:r>
        <w:rPr>
          <w:rFonts w:hint="cs"/>
          <w:sz w:val="26"/>
          <w:szCs w:val="26"/>
          <w:rtl w:val="true"/>
        </w:rPr>
        <w:t xml:space="preserve">] </w:t>
      </w:r>
      <w:r>
        <w:rPr>
          <w:rFonts w:hint="cs"/>
          <w:sz w:val="26"/>
          <w:szCs w:val="26"/>
          <w:rtl w:val="true"/>
        </w:rPr>
        <w:t>אך הנה הרמב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ם בפיהמ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ש בשבת שם כתב דאין הלכה כר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מ ואף קשר שיכול להתירו בידו אחת חייבין עליו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וכ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כ המאירי והרע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ב שם והיראים בסימן ער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ד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וכ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כ הדרכ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מ הכא בסק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ב והמ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ב בסק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א והביאוה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 xml:space="preserve">ל שם </w:t>
      </w:r>
      <w:r>
        <w:rPr>
          <w:rFonts w:hint="cs"/>
          <w:sz w:val="26"/>
          <w:szCs w:val="26"/>
          <w:rtl w:val="true"/>
        </w:rPr>
        <w:t>(</w:t>
      </w:r>
      <w:r>
        <w:rPr>
          <w:rFonts w:hint="cs"/>
          <w:sz w:val="26"/>
          <w:szCs w:val="26"/>
          <w:rtl w:val="true"/>
        </w:rPr>
        <w:t>ד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ה והקושר</w:t>
      </w:r>
      <w:r>
        <w:rPr>
          <w:rFonts w:hint="cs"/>
          <w:sz w:val="26"/>
          <w:szCs w:val="26"/>
          <w:rtl w:val="true"/>
        </w:rPr>
        <w:t>).</w:t>
      </w:r>
    </w:p>
    <w:p>
      <w:pPr>
        <w:pStyle w:val="Normal"/>
        <w:spacing w:lineRule="exact" w:line="360" w:before="0" w:after="0"/>
        <w:ind w:end="0"/>
        <w:jc w:val="both"/>
        <w:rPr>
          <w:rFonts w:ascii="FrankRuehl" w:hAnsi="FrankRuehl" w:eastAsia="Times New Roman" w:cs="FrankRuehl"/>
          <w:sz w:val="26"/>
          <w:szCs w:val="26"/>
        </w:rPr>
      </w:pPr>
      <w:r>
        <w:rPr>
          <w:rFonts w:ascii="FrankRuehl" w:hAnsi="FrankRuehl" w:eastAsia="Times New Roman" w:hint="cs"/>
          <w:sz w:val="26"/>
          <w:szCs w:val="26"/>
          <w:rtl w:val="true"/>
        </w:rPr>
        <w:t>ולדעתם צ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ל דהא דקי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ל דעניבה מותרת אי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ז משום דהויא דומיא דקשר שיכול להתירו בידו אחת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eastAsia="Times New Roman" w:hint="cs"/>
          <w:sz w:val="26"/>
          <w:szCs w:val="26"/>
          <w:rtl w:val="true"/>
        </w:rPr>
        <w:t>אלא הוא משום דעניבה אי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ז דרך וצורת קשירה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eastAsia="Times New Roman" w:hint="cs"/>
          <w:sz w:val="26"/>
          <w:szCs w:val="26"/>
          <w:rtl w:val="true"/>
        </w:rPr>
        <w:t>ואינה בכלל קושר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eastAsia="Times New Roman" w:hint="cs"/>
          <w:sz w:val="26"/>
          <w:szCs w:val="26"/>
          <w:rtl w:val="true"/>
        </w:rPr>
        <w:t>והיש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ש ביבמות פי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ב סימן ו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eastAsia="Times New Roman" w:hint="cs"/>
          <w:sz w:val="26"/>
          <w:szCs w:val="26"/>
          <w:rtl w:val="true"/>
        </w:rPr>
        <w:t>כתב דהתירא דעניבה הוא משום דאי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ז דומיא דמשכן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.</w:t>
      </w:r>
      <w:r>
        <w:rPr>
          <w:rStyle w:val="FootnoteCharacters"/>
          <w:rStyle w:val="FootnoteReference"/>
          <w:rFonts w:eastAsia="Times New Roman" w:cs="FrankRuehl" w:ascii="FrankRuehl" w:hAnsi="FrankRuehl"/>
          <w:sz w:val="26"/>
          <w:szCs w:val="26"/>
          <w:rtl w:val="true"/>
        </w:rPr>
        <w:footnoteReference w:id="3"/>
      </w:r>
    </w:p>
    <w:p>
      <w:pPr>
        <w:pStyle w:val="Normal"/>
        <w:spacing w:lineRule="exact" w:line="360" w:before="0" w:after="0"/>
        <w:ind w:end="0"/>
        <w:jc w:val="both"/>
        <w:rPr>
          <w:rFonts w:ascii="FrankRuehl" w:hAnsi="FrankRuehl" w:eastAsia="Times New Roman" w:cs="FrankRuehl"/>
          <w:sz w:val="26"/>
          <w:szCs w:val="26"/>
          <w:vertAlign w:val="superscript"/>
        </w:rPr>
      </w:pPr>
      <w:r>
        <w:rPr>
          <w:rFonts w:ascii="FrankRuehl" w:hAnsi="FrankRuehl" w:eastAsia="Times New Roman" w:hint="cs"/>
          <w:sz w:val="26"/>
          <w:szCs w:val="26"/>
          <w:rtl w:val="true"/>
        </w:rPr>
        <w:t>ג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 xml:space="preserve">] </w:t>
      </w:r>
      <w:r>
        <w:rPr>
          <w:rFonts w:ascii="FrankRuehl" w:hAnsi="FrankRuehl" w:eastAsia="Times New Roman" w:hint="cs"/>
          <w:sz w:val="26"/>
          <w:szCs w:val="26"/>
          <w:rtl w:val="true"/>
        </w:rPr>
        <w:t>ואמנם קשיא ע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ז מסוגיית הגמ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eastAsia="Times New Roman" w:hint="cs"/>
          <w:sz w:val="26"/>
          <w:szCs w:val="26"/>
          <w:rtl w:val="true"/>
        </w:rPr>
        <w:t>בשבת קי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א ב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eastAsia="Times New Roman" w:hint="cs"/>
          <w:sz w:val="26"/>
          <w:szCs w:val="26"/>
          <w:rtl w:val="true"/>
        </w:rPr>
        <w:t>דמיבע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ל לר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מ דקשר שיכול להתירו בידו אחת אין חייבין עליו אם ה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נ הוא בעניבה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eastAsia="Times New Roman" w:hint="cs"/>
          <w:sz w:val="26"/>
          <w:szCs w:val="26"/>
          <w:rtl w:val="true"/>
        </w:rPr>
        <w:t>ומשמע דאם חייבין על קשר שיכול להתירו בידו אחת כ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ש דחייבין על עניבה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, (</w:t>
      </w:r>
      <w:r>
        <w:rPr>
          <w:rFonts w:ascii="FrankRuehl" w:hAnsi="FrankRuehl" w:eastAsia="Times New Roman" w:hint="cs"/>
          <w:sz w:val="26"/>
          <w:szCs w:val="26"/>
          <w:rtl w:val="true"/>
        </w:rPr>
        <w:t>וע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כ לא מיבע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ל אלא אם דמי לקשר שיכול להתירו בידו אחת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 xml:space="preserve">), </w:t>
      </w:r>
      <w:r>
        <w:rPr>
          <w:rFonts w:ascii="FrankRuehl" w:hAnsi="FrankRuehl" w:eastAsia="Times New Roman" w:hint="cs"/>
          <w:sz w:val="26"/>
          <w:szCs w:val="26"/>
          <w:rtl w:val="true"/>
        </w:rPr>
        <w:t>ולדעת הרמב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ם ודעימיה הרי בעניבה איכא טעם אחר להתיר משום דלאו קשר היא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eastAsia="Times New Roman" w:hint="cs"/>
          <w:sz w:val="26"/>
          <w:szCs w:val="26"/>
          <w:rtl w:val="true"/>
        </w:rPr>
        <w:t>ונתבאר להלן סק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ה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.</w:t>
      </w:r>
    </w:p>
    <w:p>
      <w:pPr>
        <w:pStyle w:val="Normal"/>
        <w:spacing w:lineRule="exact" w:line="360" w:before="0" w:after="0"/>
        <w:ind w:end="0"/>
        <w:jc w:val="both"/>
        <w:rPr>
          <w:rFonts w:ascii="FrankRuehl" w:hAnsi="FrankRuehl" w:eastAsia="Times New Roman" w:cs="FrankRuehl"/>
          <w:sz w:val="26"/>
          <w:szCs w:val="26"/>
          <w:vertAlign w:val="superscript"/>
        </w:rPr>
      </w:pPr>
      <w:r>
        <w:rPr>
          <w:rFonts w:eastAsia="Times New Roman" w:cs="FrankRuehl" w:ascii="FrankRuehl" w:hAnsi="FrankRuehl"/>
          <w:sz w:val="26"/>
          <w:szCs w:val="26"/>
          <w:vertAlign w:val="superscript"/>
          <w:rtl w:val="true"/>
        </w:rPr>
      </w:r>
    </w:p>
    <w:p>
      <w:pPr>
        <w:pStyle w:val="Heading2"/>
        <w:ind w:end="0"/>
        <w:jc w:val="center"/>
        <w:rPr/>
      </w:pPr>
      <w:r>
        <w:rPr>
          <w:rFonts w:hint="cs"/>
          <w:rtl w:val="true"/>
        </w:rPr>
        <w:t>עניבה ע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ג קשר</w:t>
      </w:r>
    </w:p>
    <w:p>
      <w:pPr>
        <w:pStyle w:val="Normal"/>
        <w:spacing w:lineRule="exact" w:line="360" w:before="0" w:after="0"/>
        <w:ind w:end="0"/>
        <w:jc w:val="both"/>
        <w:rPr>
          <w:sz w:val="26"/>
          <w:szCs w:val="26"/>
        </w:rPr>
      </w:pPr>
      <w:r>
        <w:rPr>
          <w:rFonts w:hint="cs"/>
          <w:sz w:val="26"/>
          <w:szCs w:val="26"/>
          <w:rtl w:val="true"/>
        </w:rPr>
        <w:t>ד</w:t>
      </w:r>
      <w:r>
        <w:rPr>
          <w:rFonts w:hint="cs"/>
          <w:sz w:val="26"/>
          <w:szCs w:val="26"/>
          <w:rtl w:val="true"/>
        </w:rPr>
        <w:t xml:space="preserve">] </w:t>
      </w:r>
      <w:r>
        <w:rPr>
          <w:rFonts w:hint="cs"/>
          <w:sz w:val="26"/>
          <w:szCs w:val="26"/>
          <w:rtl w:val="true"/>
        </w:rPr>
        <w:t>ובעיקר הפלוגתא בטעם התירא דעניבה מצינו כמה נפ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מ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חדא הוא בדין עניבה ע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ג קשר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דבד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הר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י מלוניל והשיטה להר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נ בשבת קי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א ב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מבו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דהתירא דעניבה הוא גם בעניבה ע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ג קשר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וכ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כ המרדכי בהל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ציצית סימן תתק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מ בשם ר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ת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וכ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כ הגר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א הכא בס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ה ובאהע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ז סימן קס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ט סקצ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ט</w:t>
      </w:r>
      <w:r>
        <w:rPr>
          <w:rFonts w:hint="cs"/>
          <w:sz w:val="26"/>
          <w:szCs w:val="26"/>
          <w:rtl w:val="true"/>
        </w:rPr>
        <w:t xml:space="preserve">,  -  </w:t>
      </w:r>
      <w:r>
        <w:rPr>
          <w:rFonts w:hint="cs"/>
          <w:sz w:val="26"/>
          <w:szCs w:val="26"/>
          <w:rtl w:val="true"/>
        </w:rPr>
        <w:t>אך המרדכי בשבת סימן שפ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ו כתב דעניבה ע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ג קשר אסורה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והביאו הב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י הכא בס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ד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וכ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כ הט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ז בסק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ז והמג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א סקט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ו דעניבה ע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ג קשר הויא קשר גמור</w:t>
      </w:r>
      <w:r>
        <w:rPr>
          <w:rFonts w:hint="cs"/>
          <w:sz w:val="26"/>
          <w:szCs w:val="26"/>
          <w:rtl w:val="true"/>
        </w:rPr>
        <w:t>, (</w:t>
      </w:r>
      <w:r>
        <w:rPr>
          <w:rFonts w:hint="cs"/>
          <w:sz w:val="26"/>
          <w:szCs w:val="26"/>
          <w:rtl w:val="true"/>
        </w:rPr>
        <w:t>אלא דאי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ז מעשה אומן וע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כ ה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ז מותר כשעשוי להתירו ביומו</w:t>
      </w:r>
      <w:r>
        <w:rPr>
          <w:rFonts w:hint="cs"/>
          <w:sz w:val="26"/>
          <w:szCs w:val="26"/>
          <w:rtl w:val="true"/>
        </w:rPr>
        <w:t xml:space="preserve">), </w:t>
      </w:r>
      <w:r>
        <w:rPr>
          <w:rFonts w:hint="cs"/>
          <w:sz w:val="26"/>
          <w:szCs w:val="26"/>
          <w:rtl w:val="true"/>
        </w:rPr>
        <w:t>וכ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כ המ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ב בסקכ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ט</w:t>
      </w:r>
      <w:r>
        <w:rPr>
          <w:rFonts w:hint="cs"/>
          <w:sz w:val="26"/>
          <w:szCs w:val="26"/>
          <w:rtl w:val="true"/>
        </w:rPr>
        <w:t>.</w:t>
      </w:r>
    </w:p>
    <w:p>
      <w:pPr>
        <w:pStyle w:val="Normal"/>
        <w:spacing w:lineRule="exact" w:line="360" w:before="0" w:after="0"/>
        <w:ind w:end="0"/>
        <w:jc w:val="both"/>
        <w:rPr>
          <w:sz w:val="26"/>
          <w:szCs w:val="26"/>
        </w:rPr>
      </w:pPr>
      <w:r>
        <w:rPr>
          <w:rFonts w:hint="cs"/>
          <w:sz w:val="26"/>
          <w:szCs w:val="26"/>
          <w:rtl w:val="true"/>
        </w:rPr>
        <w:t>והנה לדעת הסוברים דהתירא דעניבה הוא משום דיכול להתירו בידו אחת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ודאי דיש להתיר אף בעניבה ע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ג קשר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וכל מקום הפלוגתא בזה הוא רק אם התירא דעניבה הוא משום דאי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ז דרך וצורת קשירה ול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ב בכלל קושר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ובזה י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ל דכל דיש קשר אחד בצורת קשר מהני הא דעושה עניבה על גביו דעי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ז הוי קשר המתקיים</w:t>
      </w:r>
      <w:r>
        <w:rPr>
          <w:rFonts w:hint="cs"/>
          <w:sz w:val="26"/>
          <w:szCs w:val="26"/>
          <w:rtl w:val="true"/>
        </w:rPr>
        <w:t>.</w:t>
      </w:r>
    </w:p>
    <w:p>
      <w:pPr>
        <w:pStyle w:val="Normal"/>
        <w:spacing w:lineRule="exact" w:line="360" w:before="0" w:after="0"/>
        <w:ind w:end="0"/>
        <w:jc w:val="both"/>
        <w:rPr>
          <w:sz w:val="26"/>
          <w:szCs w:val="26"/>
        </w:rPr>
      </w:pPr>
      <w:r>
        <w:rPr>
          <w:rFonts w:hint="cs"/>
          <w:sz w:val="26"/>
          <w:szCs w:val="26"/>
          <w:rtl w:val="true"/>
        </w:rPr>
        <w:t>ה</w:t>
      </w:r>
      <w:r>
        <w:rPr>
          <w:rFonts w:hint="cs"/>
          <w:sz w:val="26"/>
          <w:szCs w:val="26"/>
          <w:rtl w:val="true"/>
        </w:rPr>
        <w:t xml:space="preserve">] </w:t>
      </w:r>
      <w:r>
        <w:rPr>
          <w:rFonts w:hint="cs"/>
          <w:sz w:val="26"/>
          <w:szCs w:val="26"/>
          <w:rtl w:val="true"/>
        </w:rPr>
        <w:t>ובזה מתישב היטב לדעת הרמב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ם ודעימיה הא דמיבע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ל לר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מ בדין עניבה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די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ל דהיינו בעניבה ע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ג קשר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דבזה אין להתיר משום דעניבה לאו קשירה היא</w:t>
      </w:r>
      <w:r>
        <w:rPr>
          <w:rFonts w:hint="cs"/>
          <w:sz w:val="26"/>
          <w:szCs w:val="26"/>
          <w:rtl w:val="true"/>
        </w:rPr>
        <w:t>, (</w:t>
      </w:r>
      <w:r>
        <w:rPr>
          <w:rFonts w:hint="cs"/>
          <w:sz w:val="26"/>
          <w:szCs w:val="26"/>
          <w:rtl w:val="true"/>
        </w:rPr>
        <w:t>דכיון דיש קשר אחד בצורת קשירה שפיר מהני העניבה דעי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ז הוי קשר המתקיים</w:t>
      </w:r>
      <w:r>
        <w:rPr>
          <w:rFonts w:hint="cs"/>
          <w:sz w:val="26"/>
          <w:szCs w:val="26"/>
          <w:rtl w:val="true"/>
        </w:rPr>
        <w:t xml:space="preserve">), </w:t>
      </w:r>
      <w:r>
        <w:rPr>
          <w:rFonts w:hint="cs"/>
          <w:sz w:val="26"/>
          <w:szCs w:val="26"/>
          <w:rtl w:val="true"/>
        </w:rPr>
        <w:t>ומיבע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ל אם הו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ל כקשר שיכול להתירו בידו אחת דאין חייבין עליו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אך בעניבה שלא ע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ג קשר בלא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ה יש להתיר משום דעניבה לאו קשירה היא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וכ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ה מבו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בד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הישועות יעקב בסק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ד והאבנ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ז בסימן קע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ט סק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ה</w:t>
      </w:r>
      <w:r>
        <w:rPr>
          <w:rFonts w:hint="cs"/>
          <w:sz w:val="26"/>
          <w:szCs w:val="26"/>
          <w:rtl w:val="true"/>
        </w:rPr>
        <w:t>.</w:t>
      </w:r>
    </w:p>
    <w:p>
      <w:pPr>
        <w:pStyle w:val="Normal"/>
        <w:spacing w:lineRule="exact" w:line="360" w:before="0" w:after="0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Heading2"/>
        <w:ind w:end="0"/>
        <w:jc w:val="center"/>
        <w:rPr/>
      </w:pPr>
      <w:r>
        <w:rPr>
          <w:rFonts w:hint="cs"/>
          <w:rtl w:val="true"/>
        </w:rPr>
        <w:t>עניבה שיש קשר באמציעתה וא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 לפתחה</w:t>
      </w:r>
    </w:p>
    <w:p>
      <w:pPr>
        <w:pStyle w:val="Normal"/>
        <w:spacing w:lineRule="exact" w:line="360" w:before="0" w:after="0"/>
        <w:ind w:end="0"/>
        <w:jc w:val="both"/>
        <w:rPr>
          <w:sz w:val="26"/>
          <w:szCs w:val="26"/>
        </w:rPr>
      </w:pPr>
      <w:r>
        <w:rPr>
          <w:rFonts w:hint="cs"/>
          <w:sz w:val="26"/>
          <w:szCs w:val="26"/>
          <w:rtl w:val="true"/>
        </w:rPr>
        <w:t>ו</w:t>
      </w:r>
      <w:r>
        <w:rPr>
          <w:rFonts w:hint="cs"/>
          <w:sz w:val="26"/>
          <w:szCs w:val="26"/>
          <w:rtl w:val="true"/>
        </w:rPr>
        <w:t xml:space="preserve">] </w:t>
      </w:r>
      <w:r>
        <w:rPr>
          <w:rFonts w:hint="cs"/>
          <w:sz w:val="26"/>
          <w:szCs w:val="26"/>
          <w:rtl w:val="true"/>
        </w:rPr>
        <w:t>עוד נפ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מ בזה הוא בדין עניבה שיש באמצע החוט הענוב קשר ועי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ז א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א לפתוח את העניבה ע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י משיכת ב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הראשים אם בכה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ג הוי בכלל התירא דעניבה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דאם התירא דעניבה הוא ע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ד דינא דקשר שיכול להתירו בידו אחת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הרי דבכה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ג דא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א להתירה ע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י משיכת ב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הראשים הויא כקשירה מעלייתא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אך אם התירא דעניבה הוא משום דאינה בדרך וצורת קשר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יש מקום לומר דאף בכה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ג לאו קשירה היא</w:t>
      </w:r>
      <w:r>
        <w:rPr>
          <w:rFonts w:hint="cs"/>
          <w:sz w:val="26"/>
          <w:szCs w:val="26"/>
          <w:rtl w:val="true"/>
        </w:rPr>
        <w:t>, (</w:t>
      </w:r>
      <w:r>
        <w:rPr>
          <w:rFonts w:hint="cs"/>
          <w:sz w:val="26"/>
          <w:szCs w:val="26"/>
          <w:rtl w:val="true"/>
        </w:rPr>
        <w:t>דאף דמסתבר דהא דעניבה אינה בצורת קשר הוא משום הא גופא דיכול למשוך בב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ראשיה ולהתירה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מ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מ י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ל דמשום זה כבר אי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ז צורת קשר וגם אם יעשנה באופן שא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א להתירה ע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י משיכת ב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ראשיה לאו קשירה היא</w:t>
      </w:r>
      <w:r>
        <w:rPr>
          <w:rFonts w:hint="cs"/>
          <w:sz w:val="26"/>
          <w:szCs w:val="26"/>
          <w:rtl w:val="true"/>
        </w:rPr>
        <w:t>).</w:t>
      </w:r>
    </w:p>
    <w:p>
      <w:pPr>
        <w:pStyle w:val="Normal"/>
        <w:spacing w:lineRule="exact" w:line="360" w:before="0" w:after="0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Heading2"/>
        <w:ind w:end="0"/>
        <w:jc w:val="center"/>
        <w:rPr/>
      </w:pPr>
      <w:r>
        <w:rPr>
          <w:rFonts w:hint="cs"/>
          <w:rtl w:val="true"/>
        </w:rPr>
        <w:t>דין עניבה בחליצה ובשאר דיני התורה</w:t>
      </w:r>
    </w:p>
    <w:p>
      <w:pPr>
        <w:pStyle w:val="Normal"/>
        <w:spacing w:lineRule="exact" w:line="360" w:before="0" w:after="0"/>
        <w:ind w:end="0"/>
        <w:jc w:val="both"/>
        <w:rPr>
          <w:rFonts w:ascii="FrankRuehl" w:hAnsi="FrankRuehl" w:eastAsia="Times New Roman" w:cs="FrankRuehl"/>
          <w:sz w:val="26"/>
          <w:szCs w:val="26"/>
        </w:rPr>
      </w:pPr>
      <w:r>
        <w:rPr>
          <w:rFonts w:hint="cs"/>
          <w:sz w:val="26"/>
          <w:szCs w:val="26"/>
          <w:rtl w:val="true"/>
        </w:rPr>
        <w:t>ז</w:t>
      </w:r>
      <w:r>
        <w:rPr>
          <w:rFonts w:hint="cs"/>
          <w:sz w:val="26"/>
          <w:szCs w:val="26"/>
          <w:rtl w:val="true"/>
        </w:rPr>
        <w:t xml:space="preserve">] </w:t>
      </w:r>
      <w:r>
        <w:rPr>
          <w:rFonts w:hint="cs"/>
          <w:sz w:val="26"/>
          <w:szCs w:val="26"/>
          <w:rtl w:val="true"/>
        </w:rPr>
        <w:t>עוד נפ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מ בזה הוא במש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כ הרא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ש ביבמות פי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ב סימן</w:t>
      </w:r>
      <w:r>
        <w:rPr>
          <w:rFonts w:ascii="FrankRuehl" w:hAnsi="FrankRuehl" w:eastAsia="Times New Roman" w:hint="cs"/>
          <w:sz w:val="26"/>
          <w:szCs w:val="26"/>
          <w:rtl w:val="true"/>
        </w:rPr>
        <w:t xml:space="preserve"> ד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eastAsia="Times New Roman" w:hint="cs"/>
          <w:sz w:val="26"/>
          <w:szCs w:val="26"/>
          <w:rtl w:val="true"/>
        </w:rPr>
        <w:t>דבקשר המנעל לחליצה ל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מ עניבה כיון דלאו קשירה היא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eastAsia="Times New Roman" w:hint="cs"/>
          <w:sz w:val="26"/>
          <w:szCs w:val="26"/>
          <w:rtl w:val="true"/>
        </w:rPr>
        <w:t>ולכאו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eastAsia="Times New Roman" w:hint="cs"/>
          <w:sz w:val="26"/>
          <w:szCs w:val="26"/>
          <w:rtl w:val="true"/>
        </w:rPr>
        <w:t>כ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ז הוא משום דס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ל דהוא דין בפנ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ע דאין על עניבה תורת קשר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eastAsia="Times New Roman" w:hint="cs"/>
          <w:sz w:val="26"/>
          <w:szCs w:val="26"/>
          <w:rtl w:val="true"/>
        </w:rPr>
        <w:t>אך לדעת הסוברים דהתירא דעניבה הוא משום דהוי כקשר שיכול להתירו בידו אחת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eastAsia="Times New Roman" w:hint="cs"/>
          <w:sz w:val="26"/>
          <w:szCs w:val="26"/>
          <w:rtl w:val="true"/>
        </w:rPr>
        <w:t>הרי דלענין חליצה דמהני קשר שיכול להתירו בידו אחת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, (</w:t>
      </w:r>
      <w:r>
        <w:rPr>
          <w:rFonts w:ascii="FrankRuehl" w:hAnsi="FrankRuehl" w:eastAsia="Times New Roman" w:hint="cs"/>
          <w:sz w:val="26"/>
          <w:szCs w:val="26"/>
          <w:rtl w:val="true"/>
        </w:rPr>
        <w:t>כמו שהביא הרא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ש שם מירושלמי דבחליצה בעינן קשר שיכול להתירו בידו אחת כדי שתהא יכולה להתירו בימין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 xml:space="preserve">), </w:t>
      </w:r>
      <w:r>
        <w:rPr>
          <w:rFonts w:ascii="FrankRuehl" w:hAnsi="FrankRuehl" w:eastAsia="Times New Roman" w:hint="cs"/>
          <w:sz w:val="26"/>
          <w:szCs w:val="26"/>
          <w:rtl w:val="true"/>
        </w:rPr>
        <w:t>מהני אף עניבה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.</w:t>
      </w:r>
    </w:p>
    <w:p>
      <w:pPr>
        <w:pStyle w:val="Normal"/>
        <w:spacing w:lineRule="exact" w:line="360" w:before="0" w:after="0"/>
        <w:ind w:end="0"/>
        <w:jc w:val="both"/>
        <w:rPr>
          <w:rFonts w:ascii="FrankRuehl" w:hAnsi="FrankRuehl" w:eastAsia="Times New Roman" w:cs="FrankRuehl"/>
          <w:sz w:val="26"/>
          <w:szCs w:val="26"/>
        </w:rPr>
      </w:pPr>
      <w:r>
        <w:rPr>
          <w:rFonts w:ascii="FrankRuehl" w:hAnsi="FrankRuehl" w:eastAsia="Times New Roman" w:hint="cs"/>
          <w:sz w:val="26"/>
          <w:szCs w:val="26"/>
          <w:rtl w:val="true"/>
        </w:rPr>
        <w:t>ח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 xml:space="preserve">] </w:t>
      </w:r>
      <w:r>
        <w:rPr>
          <w:rFonts w:ascii="FrankRuehl" w:hAnsi="FrankRuehl" w:eastAsia="Times New Roman" w:hint="cs"/>
          <w:sz w:val="26"/>
          <w:szCs w:val="26"/>
          <w:rtl w:val="true"/>
        </w:rPr>
        <w:t>והנה מד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eastAsia="Times New Roman" w:hint="cs"/>
          <w:sz w:val="26"/>
          <w:szCs w:val="26"/>
          <w:rtl w:val="true"/>
        </w:rPr>
        <w:t>הרא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ש אלו מבו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eastAsia="Times New Roman" w:hint="cs"/>
          <w:sz w:val="26"/>
          <w:szCs w:val="26"/>
          <w:rtl w:val="true"/>
        </w:rPr>
        <w:t>דהא דאין על עניבה תורת קשר אי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ז דין מסוים לענין שבת משום דאי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ז דומיא דמשכן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eastAsia="Times New Roman" w:hint="cs"/>
          <w:sz w:val="26"/>
          <w:szCs w:val="26"/>
          <w:rtl w:val="true"/>
        </w:rPr>
        <w:t>אלא אף לשאר דינים אין על עניבה תורת קשר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eastAsia="Times New Roman" w:hint="cs"/>
          <w:sz w:val="26"/>
          <w:szCs w:val="26"/>
          <w:rtl w:val="true"/>
        </w:rPr>
        <w:t>אך היש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ש ביבמות שם סימן ו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eastAsia="Times New Roman" w:hint="cs"/>
          <w:sz w:val="26"/>
          <w:szCs w:val="26"/>
          <w:rtl w:val="true"/>
        </w:rPr>
        <w:t>נחלק ע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ז דהא דעניבה לאו קשירה היא הוא משום דאי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ז דומיא דמשכן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eastAsia="Times New Roman" w:hint="cs"/>
          <w:sz w:val="26"/>
          <w:szCs w:val="26"/>
          <w:rtl w:val="true"/>
        </w:rPr>
        <w:t>אך לענין חליצה שפיר מהני עניבה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.</w:t>
      </w:r>
    </w:p>
    <w:p>
      <w:pPr>
        <w:pStyle w:val="Normal"/>
        <w:spacing w:lineRule="exact" w:line="360" w:before="0" w:after="0"/>
        <w:ind w:end="0"/>
        <w:jc w:val="both"/>
        <w:rPr>
          <w:sz w:val="26"/>
          <w:szCs w:val="26"/>
        </w:rPr>
      </w:pPr>
      <w:r>
        <w:rPr>
          <w:rFonts w:ascii="FrankRuehl" w:hAnsi="FrankRuehl" w:eastAsia="Times New Roman" w:hint="cs"/>
          <w:sz w:val="26"/>
          <w:szCs w:val="26"/>
          <w:rtl w:val="true"/>
        </w:rPr>
        <w:t>ט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 xml:space="preserve">] </w:t>
      </w:r>
      <w:r>
        <w:rPr>
          <w:rFonts w:ascii="FrankRuehl" w:hAnsi="FrankRuehl" w:eastAsia="Times New Roman" w:hint="cs"/>
          <w:sz w:val="26"/>
          <w:szCs w:val="26"/>
          <w:rtl w:val="true"/>
        </w:rPr>
        <w:t>וכד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eastAsia="Times New Roman" w:hint="cs"/>
          <w:sz w:val="26"/>
          <w:szCs w:val="26"/>
          <w:rtl w:val="true"/>
        </w:rPr>
        <w:t>הרא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eastAsia="Times New Roman" w:hint="cs"/>
          <w:sz w:val="26"/>
          <w:szCs w:val="26"/>
          <w:rtl w:val="true"/>
        </w:rPr>
        <w:t>ש דהא דעניבה לאו קשירה היא הוא גם בשאר דיני התורה</w:t>
      </w:r>
      <w:r>
        <w:rPr>
          <w:rFonts w:eastAsia="Times New Roman"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eastAsia="Times New Roman" w:hint="cs"/>
          <w:sz w:val="26"/>
          <w:szCs w:val="26"/>
          <w:rtl w:val="true"/>
        </w:rPr>
        <w:t xml:space="preserve">מצינו </w:t>
      </w:r>
      <w:r>
        <w:rPr>
          <w:rFonts w:hint="cs"/>
          <w:sz w:val="26"/>
          <w:szCs w:val="26"/>
          <w:rtl w:val="true"/>
        </w:rPr>
        <w:t>בפירש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י בסוכה ל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ג ב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דמשמעות דבריו דאין מתקיים דין אגד הלולב בעניבה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וכ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כ הראבי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ה בסימן תרס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ו דעניבה לאו קשירה היא לא לענין שבת ולא לענין לולב להיות קשר למצוה מן המובחר</w:t>
      </w:r>
      <w:r>
        <w:rPr>
          <w:rFonts w:hint="cs"/>
          <w:sz w:val="26"/>
          <w:szCs w:val="26"/>
          <w:rtl w:val="true"/>
        </w:rPr>
        <w:t xml:space="preserve">,  -  </w:t>
      </w:r>
      <w:r>
        <w:rPr>
          <w:rFonts w:hint="cs"/>
          <w:sz w:val="26"/>
          <w:szCs w:val="26"/>
          <w:rtl w:val="true"/>
        </w:rPr>
        <w:t>וכן מצינו בס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המנהיג בסוף הל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ציצית דאף לענין כלאים ליכא איסור בעניבה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וכ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נ בד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הריטב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א בביצה ט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ו א</w:t>
      </w:r>
      <w:r>
        <w:rPr>
          <w:rFonts w:hint="cs"/>
          <w:sz w:val="26"/>
          <w:szCs w:val="26"/>
          <w:rtl w:val="true"/>
        </w:rPr>
        <w:t xml:space="preserve">', </w:t>
      </w:r>
      <w:r>
        <w:rPr>
          <w:rFonts w:hint="cs"/>
          <w:sz w:val="26"/>
          <w:szCs w:val="26"/>
          <w:rtl w:val="true"/>
        </w:rPr>
        <w:t>וכ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כ הפמ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ג במש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ז סימן י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א סקי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ד</w:t>
      </w:r>
      <w:r>
        <w:rPr>
          <w:rFonts w:hint="cs"/>
          <w:sz w:val="26"/>
          <w:szCs w:val="26"/>
          <w:rtl w:val="true"/>
        </w:rPr>
        <w:t xml:space="preserve">,  -  </w:t>
      </w:r>
      <w:r>
        <w:rPr>
          <w:rFonts w:hint="cs"/>
          <w:sz w:val="26"/>
          <w:szCs w:val="26"/>
          <w:rtl w:val="true"/>
        </w:rPr>
        <w:t>וכ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נ בד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המרדכי בהל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ציצית סימן תתק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מ דגם לענין ציצית ל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מ קשר דעניבה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וכ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כ הפמ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ג שם</w:t>
      </w:r>
      <w:r>
        <w:rPr>
          <w:rFonts w:hint="cs"/>
          <w:sz w:val="26"/>
          <w:szCs w:val="26"/>
          <w:rtl w:val="true"/>
        </w:rPr>
        <w:t>.</w:t>
      </w:r>
    </w:p>
    <w:p>
      <w:pPr>
        <w:pStyle w:val="Normal"/>
        <w:spacing w:lineRule="exact" w:line="360" w:before="0" w:after="0"/>
        <w:ind w:end="0"/>
        <w:jc w:val="both"/>
        <w:rPr>
          <w:sz w:val="26"/>
          <w:szCs w:val="26"/>
        </w:rPr>
      </w:pPr>
      <w:r>
        <w:rPr>
          <w:rFonts w:hint="cs"/>
          <w:sz w:val="26"/>
          <w:szCs w:val="26"/>
          <w:rtl w:val="true"/>
        </w:rPr>
        <w:t>י</w:t>
      </w:r>
      <w:r>
        <w:rPr>
          <w:rFonts w:hint="cs"/>
          <w:sz w:val="26"/>
          <w:szCs w:val="26"/>
          <w:rtl w:val="true"/>
        </w:rPr>
        <w:t xml:space="preserve">] </w:t>
      </w:r>
      <w:r>
        <w:rPr>
          <w:rFonts w:hint="cs"/>
          <w:sz w:val="26"/>
          <w:szCs w:val="26"/>
          <w:rtl w:val="true"/>
        </w:rPr>
        <w:t>אמנם הנה דעת אביי בעירובין צ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ז א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דעניבה כשרה בתפילין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ובד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התוס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וש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ר שם מבו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דהיינו אף לרבנן דעניבה לאו קשירה היא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ולכאו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יש ללמוד מזה כד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היש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ש דהא דעניבה לאו קשירה היא הוא דין מסוים במלאכת שבת משום דל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ה דומיא דמשכן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ועד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ז כתב האבנ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ז בסימן קפ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ה סק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א</w:t>
      </w:r>
      <w:r>
        <w:rPr>
          <w:rFonts w:hint="cs"/>
          <w:sz w:val="26"/>
          <w:szCs w:val="26"/>
          <w:rtl w:val="true"/>
        </w:rPr>
        <w:t>.</w:t>
      </w:r>
    </w:p>
    <w:p>
      <w:pPr>
        <w:pStyle w:val="Normal"/>
        <w:spacing w:lineRule="exact" w:line="360" w:before="0" w:after="0"/>
        <w:ind w:end="0"/>
        <w:jc w:val="both"/>
        <w:rPr>
          <w:sz w:val="26"/>
          <w:szCs w:val="26"/>
        </w:rPr>
      </w:pPr>
      <w:r>
        <w:rPr>
          <w:rFonts w:hint="cs"/>
          <w:sz w:val="26"/>
          <w:szCs w:val="26"/>
          <w:rtl w:val="true"/>
        </w:rPr>
        <w:t>אך י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ל דאף למש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נ מד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הרא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ש ודעימיה דהא דעניבה לאו קשירה היא הוא אף לשאר דינים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כ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ז הוא היכא דבעינן לחיבור ע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י הקשירה דלרבנן עניבה ל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ה חיבור מעליא כקשירה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אך בקשר של תפילין דאי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ז כדי לחבר ב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צידי הרצועה זל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ז ע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י קשר אלא הוא מהלמ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מ דמכלל צורת התפילין הוא שיהא בהן צורת קשר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שפיר מהני אף עניבה</w:t>
      </w:r>
      <w:r>
        <w:rPr>
          <w:rFonts w:hint="cs"/>
          <w:sz w:val="26"/>
          <w:szCs w:val="26"/>
          <w:rtl w:val="true"/>
        </w:rPr>
        <w:t>, (</w:t>
      </w:r>
      <w:r>
        <w:rPr>
          <w:rFonts w:hint="cs"/>
          <w:sz w:val="26"/>
          <w:szCs w:val="26"/>
          <w:rtl w:val="true"/>
        </w:rPr>
        <w:t>ועד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 xml:space="preserve">ז נתבאר בגליון </w:t>
      </w:r>
      <w:r>
        <w:rPr>
          <w:rFonts w:hint="cs"/>
          <w:sz w:val="26"/>
          <w:szCs w:val="26"/>
        </w:rPr>
        <w:t>44</w:t>
      </w:r>
      <w:r>
        <w:rPr>
          <w:rFonts w:hint="cs"/>
          <w:sz w:val="26"/>
          <w:szCs w:val="26"/>
          <w:rtl w:val="true"/>
        </w:rPr>
        <w:t xml:space="preserve"> </w:t>
      </w:r>
      <w:r>
        <w:rPr>
          <w:rFonts w:hint="cs"/>
          <w:sz w:val="26"/>
          <w:szCs w:val="26"/>
          <w:rtl w:val="true"/>
        </w:rPr>
        <w:t>סק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ו בטעם הסוברים דקשר מרופה שאינו של קיימא כשר בתפילין</w:t>
      </w:r>
      <w:r>
        <w:rPr>
          <w:rFonts w:hint="cs"/>
          <w:sz w:val="26"/>
          <w:szCs w:val="26"/>
          <w:rtl w:val="true"/>
        </w:rPr>
        <w:t>).</w:t>
      </w:r>
    </w:p>
    <w:p>
      <w:pPr>
        <w:pStyle w:val="Normal"/>
        <w:spacing w:lineRule="exact" w:line="360" w:before="0" w:after="0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Heading2"/>
        <w:ind w:end="0"/>
        <w:jc w:val="center"/>
        <w:rPr>
          <w:rFonts w:hint="cs"/>
        </w:rPr>
      </w:pPr>
      <w:r>
        <w:rPr>
          <w:rFonts w:hint="cs"/>
          <w:rtl w:val="true"/>
        </w:rPr>
        <w:t>אם יש לחשוב לעניבה כקשירה במיגו דהוי קשר לענין תפילין</w:t>
      </w:r>
    </w:p>
    <w:p>
      <w:pPr>
        <w:pStyle w:val="Normal"/>
        <w:spacing w:lineRule="exact" w:line="360" w:before="0" w:after="0"/>
        <w:ind w:end="0"/>
        <w:jc w:val="both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rtl w:val="true"/>
        </w:rPr>
        <w:t>יא</w:t>
      </w:r>
      <w:r>
        <w:rPr>
          <w:rFonts w:hint="cs"/>
          <w:sz w:val="26"/>
          <w:szCs w:val="26"/>
          <w:rtl w:val="true"/>
        </w:rPr>
        <w:t xml:space="preserve">] </w:t>
      </w:r>
      <w:r>
        <w:rPr>
          <w:rFonts w:hint="cs"/>
          <w:sz w:val="26"/>
          <w:szCs w:val="26"/>
          <w:rtl w:val="true"/>
        </w:rPr>
        <w:t>ההגמ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 xml:space="preserve">ר בחולין </w:t>
      </w:r>
      <w:bookmarkEnd w:id="0"/>
      <w:r>
        <w:rPr>
          <w:rFonts w:hint="cs"/>
          <w:sz w:val="26"/>
          <w:szCs w:val="26"/>
          <w:rtl w:val="true"/>
        </w:rPr>
        <w:t>סימן תשל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ז כתב לדעת רבינו אליהו דצריך לקשור התפילין בכל יום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דהא דאסור לקשור תפילין בשבת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ול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ה כקשר שאינו של קיימא דשרי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משום דרחמנא קרייה קשר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ויש להעיר בזה מהא דפריך בעירובין צ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ז א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בדין המוצא תפילין שאינם מקושרות בשבת דליענביה מיענב משום דעניבה מותרת בשבת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ולכאו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הרי אף דעניבה מותרת בשבת מ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מ יש לאסור לענוב התפילין משום דרחמנא קרייה קשר</w:t>
      </w:r>
      <w:r>
        <w:rPr>
          <w:rFonts w:hint="cs"/>
          <w:sz w:val="26"/>
          <w:szCs w:val="26"/>
          <w:rtl w:val="true"/>
        </w:rPr>
        <w:t>, (</w:t>
      </w:r>
      <w:r>
        <w:rPr>
          <w:rFonts w:hint="cs"/>
          <w:sz w:val="26"/>
          <w:szCs w:val="26"/>
          <w:rtl w:val="true"/>
        </w:rPr>
        <w:t>ועד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ז הק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המנ</w:t>
      </w:r>
      <w:r>
        <w:rPr>
          <w:rFonts w:hint="cs"/>
          <w:sz w:val="26"/>
          <w:szCs w:val="26"/>
          <w:rtl w:val="true"/>
        </w:rPr>
        <w:t xml:space="preserve">" </w:t>
      </w:r>
      <w:r>
        <w:rPr>
          <w:rFonts w:hint="cs"/>
          <w:sz w:val="26"/>
          <w:szCs w:val="26"/>
          <w:rtl w:val="true"/>
        </w:rPr>
        <w:t>במוסך השבת קושר סק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א ע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ד הטעה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מ עיי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ש</w:t>
      </w:r>
      <w:r>
        <w:rPr>
          <w:rFonts w:hint="cs"/>
          <w:sz w:val="26"/>
          <w:szCs w:val="26"/>
          <w:rtl w:val="true"/>
        </w:rPr>
        <w:t xml:space="preserve">,  -  </w:t>
      </w:r>
      <w:r>
        <w:rPr>
          <w:rFonts w:hint="cs"/>
          <w:sz w:val="26"/>
          <w:szCs w:val="26"/>
          <w:rtl w:val="true"/>
        </w:rPr>
        <w:t>ולמש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כ היש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ש דפטורא דעניבה הוא משום דל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ה דומיא דמשכן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ניחא דע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ז ל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מ הא דרחמנא קרייה קשר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דאף דיש ע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ז תורת קשר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מ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מ אי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ז בכלל מלאכת קושר</w:t>
      </w:r>
      <w:r>
        <w:rPr>
          <w:rFonts w:hint="cs"/>
          <w:sz w:val="26"/>
          <w:szCs w:val="26"/>
          <w:rtl w:val="true"/>
        </w:rPr>
        <w:t>, (</w:t>
      </w:r>
      <w:r>
        <w:rPr>
          <w:rFonts w:hint="cs"/>
          <w:sz w:val="26"/>
          <w:szCs w:val="26"/>
          <w:rtl w:val="true"/>
        </w:rPr>
        <w:t>ול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ד לקשר שאינו של קיימא דפטורו הוא משום דאין עליו תורת קשר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וכיון דקרייה רחמנא קשר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חשיב כקשר אף לשבת</w:t>
      </w:r>
      <w:r>
        <w:rPr>
          <w:rFonts w:hint="cs"/>
          <w:sz w:val="26"/>
          <w:szCs w:val="26"/>
          <w:rtl w:val="true"/>
        </w:rPr>
        <w:t>).</w:t>
      </w:r>
    </w:p>
    <w:p>
      <w:pPr>
        <w:pStyle w:val="Normal"/>
        <w:spacing w:lineRule="exact" w:line="360" w:before="0" w:after="0"/>
        <w:ind w:end="0"/>
        <w:jc w:val="both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 w:val="true"/>
        </w:rPr>
      </w:r>
    </w:p>
    <w:p>
      <w:pPr>
        <w:pStyle w:val="Normal"/>
        <w:spacing w:lineRule="exact" w:line="360" w:before="0" w:after="0"/>
        <w:ind w:end="0"/>
        <w:jc w:val="center"/>
        <w:rPr>
          <w:sz w:val="26"/>
          <w:szCs w:val="26"/>
        </w:rPr>
      </w:pPr>
      <w:r>
        <w:rPr>
          <w:rFonts w:hint="cs"/>
          <w:sz w:val="26"/>
          <w:szCs w:val="26"/>
          <w:rtl w:val="true"/>
        </w:rPr>
        <w:t>*****</w:t>
      </w:r>
    </w:p>
    <w:p>
      <w:pPr>
        <w:pStyle w:val="Normal"/>
        <w:tabs>
          <w:tab w:val="clear" w:pos="720"/>
          <w:tab w:val="left" w:pos="1984" w:leader="none"/>
        </w:tabs>
        <w:spacing w:lineRule="exact" w:line="360" w:before="0" w:after="0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Heading2"/>
        <w:ind w:end="0"/>
        <w:jc w:val="center"/>
        <w:rPr/>
      </w:pPr>
      <w:r>
        <w:rPr>
          <w:rFonts w:hint="cs"/>
          <w:rtl w:val="true"/>
        </w:rPr>
        <w:t>דין ההידור דמהדרין ודין ההידור דמהדרין מן המהדרין הי מינייהו עדיף</w:t>
      </w:r>
    </w:p>
    <w:p>
      <w:pPr>
        <w:pStyle w:val="Normal"/>
        <w:tabs>
          <w:tab w:val="clear" w:pos="720"/>
          <w:tab w:val="left" w:pos="1984" w:leader="none"/>
        </w:tabs>
        <w:spacing w:lineRule="exact" w:line="360" w:before="0" w:after="0"/>
        <w:ind w:end="0"/>
        <w:jc w:val="both"/>
        <w:rPr>
          <w:rFonts w:ascii="FrankRuehl" w:hAnsi="FrankRuehl" w:cs="FrankRuehl"/>
          <w:sz w:val="24"/>
          <w:szCs w:val="26"/>
        </w:rPr>
      </w:pPr>
      <w:r>
        <w:rPr>
          <w:rFonts w:hint="cs"/>
          <w:sz w:val="26"/>
          <w:szCs w:val="26"/>
          <w:rtl w:val="true"/>
        </w:rPr>
        <w:t>א</w:t>
      </w:r>
      <w:r>
        <w:rPr>
          <w:rFonts w:hint="cs"/>
          <w:sz w:val="26"/>
          <w:szCs w:val="26"/>
          <w:rtl w:val="true"/>
        </w:rPr>
        <w:t>]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 </w:t>
      </w:r>
      <w:r>
        <w:rPr>
          <w:rFonts w:ascii="FrankRuehl" w:hAnsi="FrankRuehl" w:hint="cs"/>
          <w:sz w:val="24"/>
          <w:szCs w:val="26"/>
          <w:rtl w:val="true"/>
        </w:rPr>
        <w:t>החיי אדם בכלל קנ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ד סכ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ה כתב דאף דאם יש לו שמן בצמצום ולחבירו ליכא כלל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מוטב שידליק כל לילה אחד ויתן לחבירו שידליק עכ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פ אחד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ומ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מ אם הוא מבני ביתו וא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כ עיקר המצוה אינו חל כלל על חבירו אלא שהוא רוצה להיות מן המהדרין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מוטב שיהיה הוא מהמהדרין מן המהדרין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וכ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כ המ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ב בסימן תרע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א סק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ו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 -  </w:t>
      </w:r>
      <w:r>
        <w:rPr>
          <w:rFonts w:ascii="FrankRuehl" w:hAnsi="FrankRuehl" w:hint="cs"/>
          <w:sz w:val="24"/>
          <w:szCs w:val="26"/>
          <w:rtl w:val="true"/>
        </w:rPr>
        <w:t>ומבו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' </w:t>
      </w:r>
      <w:r>
        <w:rPr>
          <w:rFonts w:ascii="FrankRuehl" w:hAnsi="FrankRuehl" w:hint="cs"/>
          <w:sz w:val="24"/>
          <w:szCs w:val="26"/>
          <w:rtl w:val="true"/>
        </w:rPr>
        <w:t>בדבריהם דכ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ז הוא משום דאין לו לבטל מצות ההידור דיליה כדי שיקיים חבירו את ההידור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אך אלמלי כן היה ראוי שיתן לחבירו כדי שיקיים לההידור דהמהדרין משידליק בעצמו כמנין הימים ויקיים את ההידור דמהדרין מן המהדרין</w:t>
      </w:r>
      <w:r>
        <w:rPr>
          <w:rFonts w:cs="FrankRuehl" w:hint="cs" w:ascii="FrankRuehl" w:hAnsi="FrankRuehl"/>
          <w:sz w:val="24"/>
          <w:szCs w:val="26"/>
          <w:rtl w:val="true"/>
        </w:rPr>
        <w:t>, (</w:t>
      </w:r>
      <w:r>
        <w:rPr>
          <w:rFonts w:ascii="FrankRuehl" w:hAnsi="FrankRuehl" w:hint="cs"/>
          <w:sz w:val="24"/>
          <w:szCs w:val="26"/>
          <w:rtl w:val="true"/>
        </w:rPr>
        <w:t>ומה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ט הוא דלחבירו היה עדיף שיתן לו נר אחד ויקיים לההידור דמהדרין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משידליק בעה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ב כמנין הימים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אף דבזה יקיים אף הוא לההידור דמהדרין מן המהדרין</w:t>
      </w:r>
      <w:r>
        <w:rPr>
          <w:rFonts w:cs="FrankRuehl" w:hint="cs" w:ascii="FrankRuehl" w:hAnsi="FrankRuehl"/>
          <w:sz w:val="24"/>
          <w:szCs w:val="26"/>
          <w:rtl w:val="true"/>
        </w:rPr>
        <w:t>).</w:t>
      </w:r>
    </w:p>
    <w:p>
      <w:pPr>
        <w:pStyle w:val="Normal"/>
        <w:tabs>
          <w:tab w:val="clear" w:pos="720"/>
          <w:tab w:val="left" w:pos="1984" w:leader="none"/>
        </w:tabs>
        <w:spacing w:lineRule="exact" w:line="360" w:before="0" w:after="0"/>
        <w:ind w:end="0"/>
        <w:jc w:val="both"/>
        <w:rPr>
          <w:rFonts w:ascii="FrankRuehl" w:hAnsi="FrankRuehl" w:cs="FrankRuehl"/>
          <w:sz w:val="24"/>
          <w:szCs w:val="26"/>
        </w:rPr>
      </w:pPr>
      <w:r>
        <w:rPr>
          <w:rFonts w:ascii="FrankRuehl" w:hAnsi="FrankRuehl" w:hint="cs"/>
          <w:sz w:val="24"/>
          <w:szCs w:val="26"/>
          <w:rtl w:val="true"/>
        </w:rPr>
        <w:t>ב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] </w:t>
      </w:r>
      <w:r>
        <w:rPr>
          <w:rFonts w:ascii="FrankRuehl" w:hAnsi="FrankRuehl" w:hint="cs"/>
          <w:sz w:val="24"/>
          <w:szCs w:val="26"/>
          <w:rtl w:val="true"/>
        </w:rPr>
        <w:t>ויש להעיר בזה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ממש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כ התוס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' </w:t>
      </w:r>
      <w:r>
        <w:rPr>
          <w:rFonts w:ascii="FrankRuehl" w:hAnsi="FrankRuehl" w:hint="cs"/>
          <w:sz w:val="24"/>
          <w:szCs w:val="26"/>
          <w:rtl w:val="true"/>
        </w:rPr>
        <w:t>בשבת כ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א ב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' </w:t>
      </w:r>
      <w:r>
        <w:rPr>
          <w:rFonts w:ascii="FrankRuehl" w:hAnsi="FrankRuehl" w:hint="cs"/>
          <w:sz w:val="24"/>
          <w:szCs w:val="26"/>
          <w:rtl w:val="true"/>
        </w:rPr>
        <w:t>דההידור דמהדרין מן המהדרין הוא בנר איש וביתו דכשמוסיף והולך או פחות והולך יש יותר הידור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 xml:space="preserve">אך </w:t>
      </w:r>
      <w:r>
        <w:rPr>
          <w:rFonts w:ascii="FrankRuehl" w:hAnsi="FrankRuehl"/>
          <w:sz w:val="24"/>
          <w:szCs w:val="26"/>
          <w:rtl w:val="true"/>
        </w:rPr>
        <w:t>אם עושה נר לכל אחד א</w:t>
      </w:r>
      <w:r>
        <w:rPr>
          <w:rFonts w:ascii="FrankRuehl" w:hAnsi="FrankRuehl" w:hint="cs"/>
          <w:sz w:val="24"/>
          <w:szCs w:val="26"/>
          <w:rtl w:val="true"/>
        </w:rPr>
        <w:t>ף אם</w:t>
      </w:r>
      <w:r>
        <w:rPr>
          <w:rFonts w:ascii="FrankRuehl" w:hAnsi="FrankRuehl"/>
          <w:sz w:val="24"/>
          <w:szCs w:val="26"/>
          <w:rtl w:val="true"/>
        </w:rPr>
        <w:t xml:space="preserve"> יוסיף מכאן ואילך ליכא היכרא שיסברו שכך יש בנ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א</w:t>
      </w:r>
      <w:r>
        <w:rPr>
          <w:rFonts w:ascii="FrankRuehl" w:hAnsi="FrankRuehl"/>
          <w:sz w:val="24"/>
          <w:szCs w:val="26"/>
          <w:rtl w:val="true"/>
        </w:rPr>
        <w:t xml:space="preserve"> בבית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וכ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כ הריטב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א והר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ן והמאירי שם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וכ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כ הש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ע בסימן תרע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א ס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ב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ומבו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' </w:t>
      </w:r>
      <w:r>
        <w:rPr>
          <w:rFonts w:ascii="FrankRuehl" w:hAnsi="FrankRuehl" w:hint="cs"/>
          <w:sz w:val="24"/>
          <w:szCs w:val="26"/>
          <w:rtl w:val="true"/>
        </w:rPr>
        <w:t>לפ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ז דההידור דמהדרין מן המהדרין עדיף מההידור דמהדרין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וע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כ עדיף להדליק לפי מנין הימים אף דמכח זה אינו מדליק נר לכל אחד ואחד</w:t>
      </w:r>
      <w:r>
        <w:rPr>
          <w:rFonts w:cs="FrankRuehl" w:hint="cs" w:ascii="FrankRuehl" w:hAnsi="FrankRuehl"/>
          <w:sz w:val="24"/>
          <w:szCs w:val="26"/>
          <w:rtl w:val="true"/>
        </w:rPr>
        <w:t>.</w:t>
      </w:r>
    </w:p>
    <w:p>
      <w:pPr>
        <w:pStyle w:val="Normal"/>
        <w:tabs>
          <w:tab w:val="clear" w:pos="720"/>
          <w:tab w:val="left" w:pos="1984" w:leader="none"/>
        </w:tabs>
        <w:spacing w:lineRule="exact" w:line="360" w:before="0" w:after="0"/>
        <w:ind w:end="0"/>
        <w:jc w:val="both"/>
        <w:rPr>
          <w:rFonts w:ascii="FrankRuehl" w:hAnsi="FrankRuehl" w:cs="FrankRuehl"/>
          <w:sz w:val="24"/>
          <w:szCs w:val="26"/>
        </w:rPr>
      </w:pPr>
      <w:r>
        <w:rPr>
          <w:rFonts w:ascii="FrankRuehl" w:hAnsi="FrankRuehl" w:hint="cs"/>
          <w:sz w:val="24"/>
          <w:szCs w:val="26"/>
          <w:rtl w:val="true"/>
        </w:rPr>
        <w:t>וצ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ל בזה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דאמנם לדעת התוס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' </w:t>
      </w:r>
      <w:r>
        <w:rPr>
          <w:rFonts w:ascii="FrankRuehl" w:hAnsi="FrankRuehl" w:hint="cs"/>
          <w:sz w:val="24"/>
          <w:szCs w:val="26"/>
          <w:rtl w:val="true"/>
        </w:rPr>
        <w:t>ודעימייהו דהמהדרין מן המהדרין אינם עושין נר לכל אחד ואחד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בע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כ דההידור דכנגד מנין הימים עדיף מההידור דנר לכל אחד ואחד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אך לפ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מ דקי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ל כדעת הרמב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ם ודעימיה דהמהדרין מן המהדרין עושין גם נר לכל אחד ואחד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הרי דאדרבה ראוי טפי לקיים את ההידור דנר לכל אחד ואחד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כדחזינן דהידור זה עושין אותו כל המהדרין ואת ההידור דמוסיף והולך אין עושין אלא המהדרין מן המהדרין</w:t>
      </w:r>
      <w:r>
        <w:rPr>
          <w:rFonts w:cs="FrankRuehl" w:hint="cs" w:ascii="FrankRuehl" w:hAnsi="FrankRuehl"/>
          <w:sz w:val="24"/>
          <w:szCs w:val="26"/>
          <w:rtl w:val="true"/>
        </w:rPr>
        <w:t>, (</w:t>
      </w:r>
      <w:r>
        <w:rPr>
          <w:rFonts w:ascii="FrankRuehl" w:hAnsi="FrankRuehl" w:hint="cs"/>
          <w:sz w:val="24"/>
          <w:szCs w:val="26"/>
          <w:rtl w:val="true"/>
        </w:rPr>
        <w:t>וכ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כ בתשו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' </w:t>
      </w:r>
      <w:r>
        <w:rPr>
          <w:rFonts w:ascii="FrankRuehl" w:hAnsi="FrankRuehl" w:hint="cs"/>
          <w:sz w:val="24"/>
          <w:szCs w:val="26"/>
          <w:rtl w:val="true"/>
        </w:rPr>
        <w:t>בנין עולם או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ח סימן ל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ד בתו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ד דנר לכל אחד חמור יותר דהוא למהדרין ונר של הוספה בכל לילה אינו אלא למהדרין מן המהדרין</w:t>
      </w:r>
      <w:r>
        <w:rPr>
          <w:rFonts w:cs="FrankRuehl" w:hint="cs" w:ascii="FrankRuehl" w:hAnsi="FrankRuehl"/>
          <w:sz w:val="24"/>
          <w:szCs w:val="26"/>
          <w:rtl w:val="true"/>
        </w:rPr>
        <w:t>).</w:t>
      </w:r>
    </w:p>
    <w:p>
      <w:pPr>
        <w:pStyle w:val="Normal"/>
        <w:tabs>
          <w:tab w:val="clear" w:pos="720"/>
          <w:tab w:val="left" w:pos="1984" w:leader="none"/>
        </w:tabs>
        <w:spacing w:lineRule="exact" w:line="360" w:before="0" w:after="0"/>
        <w:ind w:end="0"/>
        <w:jc w:val="both"/>
        <w:rPr>
          <w:rFonts w:ascii="FrankRuehl" w:hAnsi="FrankRuehl" w:cs="FrankRuehl"/>
          <w:sz w:val="24"/>
          <w:szCs w:val="26"/>
        </w:rPr>
      </w:pPr>
      <w:r>
        <w:rPr>
          <w:rFonts w:cs="FrankRuehl" w:ascii="FrankRuehl" w:hAnsi="FrankRuehl"/>
          <w:sz w:val="24"/>
          <w:szCs w:val="26"/>
          <w:rtl w:val="true"/>
        </w:rPr>
      </w:r>
    </w:p>
    <w:p>
      <w:pPr>
        <w:pStyle w:val="Heading2"/>
        <w:ind w:end="0"/>
        <w:jc w:val="center"/>
        <w:rPr/>
      </w:pPr>
      <w:r>
        <w:rPr>
          <w:rFonts w:hint="cs"/>
          <w:rtl w:val="true"/>
        </w:rPr>
        <w:t>גדר ההידור דמהדרין מן המהדרין</w:t>
      </w:r>
    </w:p>
    <w:p>
      <w:pPr>
        <w:pStyle w:val="Normal"/>
        <w:tabs>
          <w:tab w:val="clear" w:pos="720"/>
          <w:tab w:val="left" w:pos="1984" w:leader="none"/>
        </w:tabs>
        <w:spacing w:lineRule="exact" w:line="360" w:before="0" w:after="0"/>
        <w:ind w:end="0"/>
        <w:jc w:val="both"/>
        <w:rPr>
          <w:rFonts w:ascii="FrankRuehl" w:hAnsi="FrankRuehl" w:cs="FrankRuehl"/>
          <w:sz w:val="24"/>
          <w:szCs w:val="26"/>
        </w:rPr>
      </w:pPr>
      <w:r>
        <w:rPr>
          <w:rFonts w:ascii="FrankRuehl" w:hAnsi="FrankRuehl" w:hint="cs"/>
          <w:sz w:val="24"/>
          <w:szCs w:val="26"/>
          <w:rtl w:val="true"/>
        </w:rPr>
        <w:t>ג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] </w:t>
      </w:r>
      <w:r>
        <w:rPr>
          <w:rFonts w:ascii="FrankRuehl" w:hAnsi="FrankRuehl" w:hint="cs"/>
          <w:sz w:val="24"/>
          <w:szCs w:val="26"/>
          <w:rtl w:val="true"/>
        </w:rPr>
        <w:t>ומצינו כן עוד בד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' </w:t>
      </w:r>
      <w:r>
        <w:rPr>
          <w:rFonts w:ascii="FrankRuehl" w:hAnsi="FrankRuehl" w:hint="cs"/>
          <w:sz w:val="24"/>
          <w:szCs w:val="26"/>
          <w:rtl w:val="true"/>
        </w:rPr>
        <w:t>המ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ב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ובהקדם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דהנה בעיקר ההידור דמהדרין מן המהדרין דכל אחד מבני הבית מדליק נר בפנ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ע</w:t>
      </w:r>
      <w:r>
        <w:rPr>
          <w:rFonts w:cs="FrankRuehl" w:hint="cs" w:ascii="FrankRuehl" w:hAnsi="FrankRuehl"/>
          <w:sz w:val="24"/>
          <w:szCs w:val="26"/>
          <w:rtl w:val="true"/>
        </w:rPr>
        <w:t>, (</w:t>
      </w:r>
      <w:r>
        <w:rPr>
          <w:rFonts w:ascii="FrankRuehl" w:hAnsi="FrankRuehl" w:hint="cs"/>
          <w:sz w:val="24"/>
          <w:szCs w:val="26"/>
          <w:rtl w:val="true"/>
        </w:rPr>
        <w:t>למש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כ הרמ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א בסימן תרע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א ס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ב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), </w:t>
      </w:r>
      <w:r>
        <w:rPr>
          <w:rFonts w:ascii="FrankRuehl" w:hAnsi="FrankRuehl" w:hint="cs"/>
          <w:sz w:val="24"/>
          <w:szCs w:val="26"/>
          <w:rtl w:val="true"/>
        </w:rPr>
        <w:t>כתב בתשו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' </w:t>
      </w:r>
      <w:r>
        <w:rPr>
          <w:rFonts w:ascii="FrankRuehl" w:hAnsi="FrankRuehl" w:hint="cs"/>
          <w:sz w:val="24"/>
          <w:szCs w:val="26"/>
          <w:rtl w:val="true"/>
        </w:rPr>
        <w:t>הגרע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א מהדו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ת סימן י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ג דההידור הוא שלא לצאת בהדלקת בעה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ב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אלא להדליק בפנ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ע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וכתב דמה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ט מברך כל אחד אף אם אין מברכין על ההידור דכיון דאינו יוצא בהדלקת בעה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ב ממילא מחויב מדינא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וכ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כ הפמ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ג במש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ז בסימן תרע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א סוסק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א ובאש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א בסימן תרע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ד סק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א</w:t>
      </w:r>
      <w:r>
        <w:rPr>
          <w:rFonts w:cs="FrankRuehl" w:hint="cs" w:ascii="FrankRuehl" w:hAnsi="FrankRuehl"/>
          <w:sz w:val="24"/>
          <w:szCs w:val="26"/>
          <w:rtl w:val="true"/>
        </w:rPr>
        <w:t>.</w:t>
      </w:r>
    </w:p>
    <w:p>
      <w:pPr>
        <w:pStyle w:val="Normal"/>
        <w:tabs>
          <w:tab w:val="clear" w:pos="720"/>
          <w:tab w:val="left" w:pos="1984" w:leader="none"/>
        </w:tabs>
        <w:spacing w:lineRule="exact" w:line="360" w:before="0" w:after="0"/>
        <w:ind w:end="0"/>
        <w:jc w:val="both"/>
        <w:rPr>
          <w:rFonts w:ascii="FrankRuehl" w:hAnsi="FrankRuehl" w:cs="FrankRuehl"/>
          <w:sz w:val="24"/>
          <w:szCs w:val="26"/>
        </w:rPr>
      </w:pPr>
      <w:r>
        <w:rPr>
          <w:rFonts w:ascii="FrankRuehl" w:hAnsi="FrankRuehl" w:hint="cs"/>
          <w:sz w:val="24"/>
          <w:szCs w:val="26"/>
          <w:rtl w:val="true"/>
        </w:rPr>
        <w:t>והעירו להסתפק לפ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ז בגונא דאין לאחד מבני הבית כדי להדליק כשיעור דמוסיף והולך ואין לו אלא נר אחד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אי נימא דידליק לנר זה כדי לקיים את ההידור דמהדרין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או דלא ידליק כלל ויצא בהדלקתו של בעה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ב כדי לקיים את ההידור דמהדרין מן המהדרין</w:t>
      </w:r>
      <w:r>
        <w:rPr>
          <w:rFonts w:cs="FrankRuehl" w:hint="cs" w:ascii="FrankRuehl" w:hAnsi="FrankRuehl"/>
          <w:sz w:val="24"/>
          <w:szCs w:val="26"/>
          <w:rtl w:val="true"/>
        </w:rPr>
        <w:t>, (</w:t>
      </w:r>
      <w:r>
        <w:rPr>
          <w:rFonts w:ascii="FrankRuehl" w:hAnsi="FrankRuehl" w:hint="cs"/>
          <w:sz w:val="24"/>
          <w:szCs w:val="26"/>
          <w:rtl w:val="true"/>
        </w:rPr>
        <w:t>דאם ידליק בפנ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ע הרי דכיון שאינו יוצא בהדלקתו של בעה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ב אינו מקיים את ההידור דמהדרין מן המהדרין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), </w:t>
      </w:r>
      <w:r>
        <w:rPr>
          <w:rFonts w:ascii="FrankRuehl" w:hAnsi="FrankRuehl" w:hint="cs"/>
          <w:sz w:val="24"/>
          <w:szCs w:val="26"/>
          <w:rtl w:val="true"/>
        </w:rPr>
        <w:t>ולכאו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' </w:t>
      </w:r>
      <w:r>
        <w:rPr>
          <w:rFonts w:ascii="FrankRuehl" w:hAnsi="FrankRuehl" w:hint="cs"/>
          <w:sz w:val="24"/>
          <w:szCs w:val="26"/>
          <w:rtl w:val="true"/>
        </w:rPr>
        <w:t>למש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נ מד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' </w:t>
      </w:r>
      <w:r>
        <w:rPr>
          <w:rFonts w:ascii="FrankRuehl" w:hAnsi="FrankRuehl" w:hint="cs"/>
          <w:sz w:val="24"/>
          <w:szCs w:val="26"/>
          <w:rtl w:val="true"/>
        </w:rPr>
        <w:t>התוס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' </w:t>
      </w:r>
      <w:r>
        <w:rPr>
          <w:rFonts w:ascii="FrankRuehl" w:hAnsi="FrankRuehl" w:hint="cs"/>
          <w:sz w:val="24"/>
          <w:szCs w:val="26"/>
          <w:rtl w:val="true"/>
        </w:rPr>
        <w:t>ודעימייהו דההידור דמהדרין מן המהדרין עדיף מההידור דמהדרין הדין נותן דלא ידליק כלל ויצא בהדלקתו של בעה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ב</w:t>
      </w:r>
      <w:r>
        <w:rPr>
          <w:rFonts w:cs="FrankRuehl" w:hint="cs" w:ascii="FrankRuehl" w:hAnsi="FrankRuehl"/>
          <w:sz w:val="24"/>
          <w:szCs w:val="26"/>
          <w:rtl w:val="true"/>
        </w:rPr>
        <w:t>.</w:t>
      </w:r>
    </w:p>
    <w:p>
      <w:pPr>
        <w:pStyle w:val="Normal"/>
        <w:tabs>
          <w:tab w:val="clear" w:pos="720"/>
          <w:tab w:val="left" w:pos="1984" w:leader="none"/>
        </w:tabs>
        <w:spacing w:lineRule="exact" w:line="360" w:before="0" w:after="0"/>
        <w:ind w:end="0"/>
        <w:jc w:val="both"/>
        <w:rPr>
          <w:rFonts w:ascii="FrankRuehl" w:hAnsi="FrankRuehl" w:cs="FrankRuehl"/>
          <w:sz w:val="24"/>
          <w:szCs w:val="26"/>
        </w:rPr>
      </w:pPr>
      <w:r>
        <w:rPr>
          <w:rFonts w:ascii="FrankRuehl" w:hAnsi="FrankRuehl" w:hint="cs"/>
          <w:sz w:val="24"/>
          <w:szCs w:val="26"/>
          <w:rtl w:val="true"/>
        </w:rPr>
        <w:t>אך הנה בד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' </w:t>
      </w:r>
      <w:r>
        <w:rPr>
          <w:rFonts w:ascii="FrankRuehl" w:hAnsi="FrankRuehl" w:hint="cs"/>
          <w:sz w:val="24"/>
          <w:szCs w:val="26"/>
          <w:rtl w:val="true"/>
        </w:rPr>
        <w:t>המ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ב בסימן תרע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א סק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י מבו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' </w:t>
      </w:r>
      <w:r>
        <w:rPr>
          <w:rFonts w:ascii="FrankRuehl" w:hAnsi="FrankRuehl" w:hint="cs"/>
          <w:sz w:val="24"/>
          <w:szCs w:val="26"/>
          <w:rtl w:val="true"/>
        </w:rPr>
        <w:t>להדיא דבכה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ג ידליק נר אחד כדי לקיים את ההידור דמהדרין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ולכאו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' </w:t>
      </w:r>
      <w:r>
        <w:rPr>
          <w:rFonts w:ascii="FrankRuehl" w:hAnsi="FrankRuehl" w:hint="cs"/>
          <w:sz w:val="24"/>
          <w:szCs w:val="26"/>
          <w:rtl w:val="true"/>
        </w:rPr>
        <w:t>הוא לטעמיה דראוי טפי לקיים את ההידור דנר לכל אחד ואחד מההידור דמוסיף והולך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וכ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נ בדבריו בשעה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צ שם סקי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ב</w:t>
      </w:r>
      <w:r>
        <w:rPr>
          <w:rFonts w:cs="FrankRuehl" w:hint="cs" w:ascii="FrankRuehl" w:hAnsi="FrankRuehl"/>
          <w:sz w:val="24"/>
          <w:szCs w:val="26"/>
          <w:rtl w:val="true"/>
        </w:rPr>
        <w:t>.</w:t>
      </w:r>
    </w:p>
    <w:p>
      <w:pPr>
        <w:pStyle w:val="Normal"/>
        <w:tabs>
          <w:tab w:val="clear" w:pos="720"/>
          <w:tab w:val="left" w:pos="1984" w:leader="none"/>
        </w:tabs>
        <w:spacing w:lineRule="exact" w:line="360" w:before="0" w:after="0"/>
        <w:ind w:end="0"/>
        <w:jc w:val="both"/>
        <w:rPr>
          <w:rFonts w:ascii="FrankRuehl" w:hAnsi="FrankRuehl" w:cs="FrankRuehl"/>
          <w:sz w:val="24"/>
          <w:szCs w:val="26"/>
        </w:rPr>
      </w:pPr>
      <w:r>
        <w:rPr>
          <w:rFonts w:ascii="FrankRuehl" w:hAnsi="FrankRuehl" w:hint="cs"/>
          <w:sz w:val="24"/>
          <w:szCs w:val="26"/>
          <w:rtl w:val="true"/>
        </w:rPr>
        <w:t>ד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] </w:t>
      </w:r>
      <w:r>
        <w:rPr>
          <w:rFonts w:ascii="FrankRuehl" w:hAnsi="FrankRuehl" w:hint="cs"/>
          <w:sz w:val="24"/>
          <w:szCs w:val="26"/>
          <w:rtl w:val="true"/>
        </w:rPr>
        <w:t>אך הנה בעיקר מש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כ הגרע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א ודעימיה דגדר ההידור דמהדרין מן המהדרין הוא דאין יוצאין בהדלקתו של בעה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ב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הק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' </w:t>
      </w:r>
      <w:r>
        <w:rPr>
          <w:rFonts w:ascii="FrankRuehl" w:hAnsi="FrankRuehl" w:hint="cs"/>
          <w:sz w:val="24"/>
          <w:szCs w:val="26"/>
          <w:rtl w:val="true"/>
        </w:rPr>
        <w:t>הגרע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א שם לפ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ז במש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כ הרמ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א בסימן תרע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ד ס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א דנ</w:t>
      </w:r>
      <w:r>
        <w:rPr>
          <w:rFonts w:ascii="FrankRuehl" w:hAnsi="FrankRuehl"/>
          <w:sz w:val="24"/>
          <w:szCs w:val="26"/>
          <w:rtl w:val="true"/>
        </w:rPr>
        <w:t>הגו להחמיר שלא להדליק אפי</w:t>
      </w:r>
      <w:r>
        <w:rPr>
          <w:rFonts w:cs="FrankRuehl" w:hint="cs" w:ascii="FrankRuehl" w:hAnsi="FrankRuehl"/>
          <w:sz w:val="24"/>
          <w:szCs w:val="26"/>
          <w:rtl w:val="true"/>
        </w:rPr>
        <w:t>'</w:t>
      </w:r>
      <w:r>
        <w:rPr>
          <w:rFonts w:cs="FrankRuehl" w:ascii="FrankRuehl" w:hAnsi="FrankRuehl"/>
          <w:sz w:val="24"/>
          <w:szCs w:val="26"/>
          <w:rtl w:val="true"/>
        </w:rPr>
        <w:t xml:space="preserve"> </w:t>
      </w:r>
      <w:r>
        <w:rPr>
          <w:rFonts w:ascii="FrankRuehl" w:hAnsi="FrankRuehl"/>
          <w:sz w:val="24"/>
          <w:szCs w:val="26"/>
          <w:rtl w:val="true"/>
        </w:rPr>
        <w:t>מנר לנר דעיקר מצותו אינו אלא נר אחד והשאר אינו למצוה כ</w:t>
      </w:r>
      <w:r>
        <w:rPr>
          <w:rFonts w:cs="FrankRuehl" w:ascii="FrankRuehl" w:hAnsi="FrankRuehl"/>
          <w:sz w:val="24"/>
          <w:szCs w:val="26"/>
          <w:rtl w:val="true"/>
        </w:rPr>
        <w:t>"</w:t>
      </w:r>
      <w:r>
        <w:rPr>
          <w:rFonts w:ascii="FrankRuehl" w:hAnsi="FrankRuehl"/>
          <w:sz w:val="24"/>
          <w:szCs w:val="26"/>
          <w:rtl w:val="true"/>
        </w:rPr>
        <w:t>כ ולכן אין להדליק ז</w:t>
      </w:r>
      <w:r>
        <w:rPr>
          <w:rFonts w:ascii="FrankRuehl" w:hAnsi="FrankRuehl" w:hint="cs"/>
          <w:sz w:val="24"/>
          <w:szCs w:val="26"/>
          <w:rtl w:val="true"/>
        </w:rPr>
        <w:t>מ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ז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והמג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א שם פירש דהיינו משום דבנר אחד סגי לכל הבית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ולהנ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ל הרי כיון דאין רצונו לצאת בהדלקתו של זה הוא מחויב מדינא בהדלקה והוי נ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ח ממש</w:t>
      </w:r>
      <w:r>
        <w:rPr>
          <w:rFonts w:cs="FrankRuehl" w:hint="cs" w:ascii="FrankRuehl" w:hAnsi="FrankRuehl"/>
          <w:sz w:val="24"/>
          <w:szCs w:val="26"/>
          <w:rtl w:val="true"/>
        </w:rPr>
        <w:t>.</w:t>
      </w:r>
    </w:p>
    <w:p>
      <w:pPr>
        <w:pStyle w:val="Normal"/>
        <w:spacing w:lineRule="exact" w:line="360" w:before="0" w:after="0"/>
        <w:ind w:end="0"/>
        <w:jc w:val="both"/>
        <w:rPr>
          <w:rFonts w:ascii="FrankRuehl" w:hAnsi="FrankRuehl" w:cs="FrankRuehl"/>
          <w:sz w:val="24"/>
          <w:szCs w:val="26"/>
        </w:rPr>
      </w:pPr>
      <w:r>
        <w:rPr>
          <w:rFonts w:ascii="FrankRuehl" w:hAnsi="FrankRuehl" w:hint="cs"/>
          <w:sz w:val="24"/>
          <w:szCs w:val="26"/>
          <w:rtl w:val="true"/>
        </w:rPr>
        <w:t>אמנם הנה בתשו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' </w:t>
      </w:r>
      <w:r>
        <w:rPr>
          <w:rFonts w:ascii="FrankRuehl" w:hAnsi="FrankRuehl" w:hint="cs"/>
          <w:sz w:val="24"/>
          <w:szCs w:val="26"/>
          <w:rtl w:val="true"/>
        </w:rPr>
        <w:t>הרמ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א סימן צ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ט מבו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' </w:t>
      </w:r>
      <w:r>
        <w:rPr>
          <w:rFonts w:ascii="FrankRuehl" w:hAnsi="FrankRuehl" w:hint="cs"/>
          <w:sz w:val="24"/>
          <w:szCs w:val="26"/>
          <w:rtl w:val="true"/>
        </w:rPr>
        <w:t>להדיא דהא דהמהדרין מברכין על הדלקתן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הוא משום דמצי לברך על הדלקה דמשום הידור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עיי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ש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ומבו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' </w:t>
      </w:r>
      <w:r>
        <w:rPr>
          <w:rFonts w:ascii="FrankRuehl" w:hAnsi="FrankRuehl" w:hint="cs"/>
          <w:sz w:val="24"/>
          <w:szCs w:val="26"/>
          <w:rtl w:val="true"/>
        </w:rPr>
        <w:t>לפ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ז דלעולם יוצאין המהדרין בהדלקת בעה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ב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ואך דמ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מ הידור הוא שתהא להן הדלקה בפנ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ע והן מברכין על הידור זה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ולפ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ז ניחא מש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כ הרמ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א דאין להדליק את שאר הנרות מהנר הראשון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כיון דיוצאין כולן בהדלקתו של בעה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ב ושאר הנרות אינם אלא להידור</w:t>
      </w:r>
      <w:r>
        <w:rPr>
          <w:rFonts w:cs="FrankRuehl" w:hint="cs" w:ascii="FrankRuehl" w:hAnsi="FrankRuehl"/>
          <w:sz w:val="24"/>
          <w:szCs w:val="26"/>
          <w:rtl w:val="true"/>
        </w:rPr>
        <w:t>.</w:t>
      </w:r>
    </w:p>
    <w:p>
      <w:pPr>
        <w:pStyle w:val="Normal"/>
        <w:spacing w:lineRule="exact" w:line="360" w:before="0" w:after="0"/>
        <w:ind w:end="0"/>
        <w:jc w:val="both"/>
        <w:rPr>
          <w:rFonts w:ascii="FrankRuehl" w:hAnsi="FrankRuehl" w:cs="FrankRuehl"/>
          <w:sz w:val="24"/>
          <w:szCs w:val="26"/>
        </w:rPr>
      </w:pPr>
      <w:r>
        <w:rPr>
          <w:rFonts w:ascii="FrankRuehl" w:hAnsi="FrankRuehl" w:hint="cs"/>
          <w:sz w:val="24"/>
          <w:szCs w:val="26"/>
          <w:rtl w:val="true"/>
        </w:rPr>
        <w:t>והך מילתא דגדר ההידור דמהדרין הוא דאף דהן יוצאין בהדלקתו של בעה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ב מ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מ הידור הוא שיהא להן הדלקה בפנ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ע והן מברכין על הידור זה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יש ללמוד כן גם ממש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כ המ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ב בסימן תרע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ה סק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ט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דאף דנשים א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צ להדליק הדלקת המהדרין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מ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מ אם רוצות להדליק מברכות כשאר מ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ע שהזמ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ג דנשים מברכות</w:t>
      </w:r>
      <w:r>
        <w:rPr>
          <w:rFonts w:cs="FrankRuehl" w:hint="cs" w:ascii="FrankRuehl" w:hAnsi="FrankRuehl"/>
          <w:sz w:val="24"/>
          <w:szCs w:val="26"/>
          <w:rtl w:val="true"/>
        </w:rPr>
        <w:t>,</w:t>
      </w:r>
      <w:r>
        <w:rPr>
          <w:rFonts w:cs="FrankRuehl" w:hint="cs" w:ascii="FrankRuehl" w:hAnsi="FrankRuehl"/>
          <w:rtl w:val="true"/>
        </w:rPr>
        <w:t xml:space="preserve"> </w:t>
      </w:r>
      <w:r>
        <w:rPr>
          <w:rFonts w:ascii="FrankRuehl" w:hAnsi="FrankRuehl" w:hint="cs"/>
          <w:sz w:val="24"/>
          <w:szCs w:val="26"/>
          <w:rtl w:val="true"/>
        </w:rPr>
        <w:t>והיינו דאם הא דהמהדרין מברכין הוא משום דאין יוצאין בהדלקת בעה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ב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הרי דה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נ נשים העושות כמהדרין ואין יוצאות בהדלקת בעה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ב מברכות</w:t>
      </w:r>
      <w:r>
        <w:rPr>
          <w:rFonts w:cs="FrankRuehl" w:hint="cs" w:ascii="FrankRuehl" w:hAnsi="FrankRuehl"/>
          <w:sz w:val="24"/>
          <w:szCs w:val="26"/>
          <w:rtl w:val="true"/>
        </w:rPr>
        <w:t>, (</w:t>
      </w:r>
      <w:r>
        <w:rPr>
          <w:rFonts w:ascii="FrankRuehl" w:hAnsi="FrankRuehl" w:hint="cs"/>
          <w:sz w:val="24"/>
          <w:szCs w:val="26"/>
          <w:rtl w:val="true"/>
        </w:rPr>
        <w:t>שהרי נשים חייבות בנ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ח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), </w:t>
      </w:r>
      <w:r>
        <w:rPr>
          <w:rFonts w:ascii="FrankRuehl" w:hAnsi="FrankRuehl" w:hint="cs"/>
          <w:sz w:val="24"/>
          <w:szCs w:val="26"/>
          <w:rtl w:val="true"/>
        </w:rPr>
        <w:t>ול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ב להא דיכולות נשים לברך אף כשלא נצטוו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ובע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כ דהא דהמהדרין מברכין הוא משום דמברכין על ההידור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והא דנשים מברכות אף דאינם מצוות בההידור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הוא דומיא דהא דמברכות על מ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ע שהזמ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ג</w:t>
      </w:r>
      <w:r>
        <w:rPr>
          <w:rFonts w:cs="FrankRuehl" w:hint="cs" w:ascii="FrankRuehl" w:hAnsi="FrankRuehl"/>
          <w:sz w:val="24"/>
          <w:szCs w:val="26"/>
          <w:rtl w:val="true"/>
        </w:rPr>
        <w:t>.</w:t>
      </w:r>
    </w:p>
    <w:p>
      <w:pPr>
        <w:pStyle w:val="Normal"/>
        <w:spacing w:lineRule="exact" w:line="360" w:before="0" w:after="0"/>
        <w:ind w:end="0"/>
        <w:jc w:val="both"/>
        <w:rPr>
          <w:rFonts w:ascii="FrankRuehl" w:hAnsi="FrankRuehl" w:cs="FrankRuehl"/>
          <w:sz w:val="24"/>
          <w:szCs w:val="26"/>
        </w:rPr>
      </w:pPr>
      <w:r>
        <w:rPr>
          <w:rFonts w:ascii="FrankRuehl" w:hAnsi="FrankRuehl" w:hint="cs"/>
          <w:sz w:val="24"/>
          <w:szCs w:val="26"/>
          <w:rtl w:val="true"/>
        </w:rPr>
        <w:t>ולפ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ז הרי דאף אי נימא דההידור דמהדרין מן המהדרין עדיף מההידור דמהדרין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מ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מ גם אם אין לאחד מבני הבית אלא נר אחד יש לו להדליק לנר זה כדי לקיים את ההידור דמהדרין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ואינו מגרע בזה כלל לההידור דמהדרין מן המהדרין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כיון דהוא יוצא בהדלקתו של בעה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ב</w:t>
      </w:r>
      <w:r>
        <w:rPr>
          <w:rFonts w:cs="FrankRuehl" w:hint="cs" w:ascii="FrankRuehl" w:hAnsi="FrankRuehl"/>
          <w:sz w:val="24"/>
          <w:szCs w:val="26"/>
          <w:rtl w:val="true"/>
        </w:rPr>
        <w:t>.</w:t>
      </w:r>
    </w:p>
    <w:p>
      <w:pPr>
        <w:pStyle w:val="Normal"/>
        <w:spacing w:lineRule="exact" w:line="360" w:before="0" w:after="0"/>
        <w:ind w:end="0"/>
        <w:jc w:val="both"/>
        <w:rPr>
          <w:sz w:val="26"/>
          <w:szCs w:val="26"/>
        </w:rPr>
      </w:pPr>
      <w:r>
        <w:rPr>
          <w:rFonts w:ascii="FrankRuehl" w:hAnsi="FrankRuehl" w:hint="cs"/>
          <w:sz w:val="24"/>
          <w:szCs w:val="26"/>
          <w:rtl w:val="true"/>
        </w:rPr>
        <w:t>ה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] </w:t>
      </w:r>
      <w:r>
        <w:rPr>
          <w:rFonts w:ascii="FrankRuehl" w:hAnsi="FrankRuehl" w:hint="cs"/>
          <w:sz w:val="24"/>
          <w:szCs w:val="26"/>
          <w:rtl w:val="true"/>
        </w:rPr>
        <w:t>ובעיקר הנידון בגדר ההידור דמהדרין מן המהדרין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הנה נפ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מ בזה במש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כ בתשו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' </w:t>
      </w:r>
      <w:r>
        <w:rPr>
          <w:rFonts w:ascii="FrankRuehl" w:hAnsi="FrankRuehl" w:hint="cs"/>
          <w:sz w:val="24"/>
          <w:szCs w:val="26"/>
          <w:rtl w:val="true"/>
        </w:rPr>
        <w:t>כת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ס או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ח סימן קל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ג דאף אי נימא דמותר להשתמש בנרות דמשום הידור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מ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מ אסור להשתמש בנר שמדליק כל אחד ואחד כיון דדעתו שלא לצאת בשל בעה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ב ודינו כדין נר של בעה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ב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ובסימן קל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ד כתב דאף אי נימא דאם כבו נרות ההידור בער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ש קודם קבלת שבת אינו חייב לחזור ולהדליקן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מ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מ אם כבה הנר של אחד מבני הבית בער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ש קודם קבלת שבת חייב לחזור ולהדליקו דלא יצא כלל ידי מצוה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וכ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ז הוא לפ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מ שנקט שם דגדר ההידור דמהדרין מן המהדרין הוא דאין יוצאין בהדלקתו של בעה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ב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אך למש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נ מד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' </w:t>
      </w:r>
      <w:r>
        <w:rPr>
          <w:rFonts w:ascii="FrankRuehl" w:hAnsi="FrankRuehl" w:hint="cs"/>
          <w:sz w:val="24"/>
          <w:szCs w:val="26"/>
          <w:rtl w:val="true"/>
        </w:rPr>
        <w:t>תשו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' </w:t>
      </w:r>
      <w:r>
        <w:rPr>
          <w:rFonts w:ascii="FrankRuehl" w:hAnsi="FrankRuehl" w:hint="cs"/>
          <w:sz w:val="24"/>
          <w:szCs w:val="26"/>
          <w:rtl w:val="true"/>
        </w:rPr>
        <w:t>הרמ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א דלעולם יוצאין המהדרין בהדלקת בעה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ב ואך דמ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מ הידור הוא שתהא להן הדלקה בפנ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ע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הרי דאי נימא דמותר להשתמש בנרות ההידור אף מותר להשתמש בנר שמדליק כל אחד ואחד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ואי נימא דאם כבו נרות ההידור קודם קבלת שבת א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צ לחזור ולהדליקו</w:t>
      </w:r>
      <w:r>
        <w:rPr>
          <w:rFonts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4"/>
          <w:szCs w:val="26"/>
          <w:rtl w:val="true"/>
        </w:rPr>
        <w:t>אף אם כבה הנר של אחד מבני הבית א</w:t>
      </w:r>
      <w:r>
        <w:rPr>
          <w:rFonts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hint="cs"/>
          <w:sz w:val="24"/>
          <w:szCs w:val="26"/>
          <w:rtl w:val="true"/>
        </w:rPr>
        <w:t>צ לחזור ולהדליקו</w:t>
      </w:r>
      <w:r>
        <w:rPr>
          <w:rFonts w:cs="FrankRuehl" w:hint="cs" w:ascii="FrankRuehl" w:hAnsi="FrankRuehl"/>
          <w:sz w:val="24"/>
          <w:szCs w:val="26"/>
          <w:rtl w:val="true"/>
        </w:rPr>
        <w:t>.</w:t>
      </w:r>
    </w:p>
    <w:p>
      <w:pPr>
        <w:pStyle w:val="Normal"/>
        <w:tabs>
          <w:tab w:val="clear" w:pos="720"/>
          <w:tab w:val="left" w:pos="1984" w:leader="none"/>
        </w:tabs>
        <w:spacing w:lineRule="exact" w:line="360" w:before="0" w:after="0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Heading2"/>
        <w:ind w:end="0"/>
        <w:jc w:val="center"/>
        <w:rPr/>
      </w:pPr>
      <w:r>
        <w:rPr>
          <w:rFonts w:hint="cs"/>
          <w:rtl w:val="true"/>
        </w:rPr>
        <w:t>אם עדיף להדליק בתוך י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או להדליק בתוך י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במקום הנראה טפי או בצד שמאל</w:t>
      </w:r>
    </w:p>
    <w:p>
      <w:pPr>
        <w:pStyle w:val="Normal"/>
        <w:spacing w:lineRule="exact" w:line="360" w:before="0" w:after="0"/>
        <w:ind w:end="0"/>
        <w:jc w:val="both"/>
        <w:rPr>
          <w:sz w:val="26"/>
          <w:szCs w:val="26"/>
        </w:rPr>
      </w:pPr>
      <w:r>
        <w:rPr>
          <w:rFonts w:hint="cs"/>
          <w:sz w:val="26"/>
          <w:szCs w:val="26"/>
          <w:rtl w:val="true"/>
        </w:rPr>
        <w:t>ו</w:t>
      </w:r>
      <w:r>
        <w:rPr>
          <w:rFonts w:hint="cs"/>
          <w:sz w:val="26"/>
          <w:szCs w:val="26"/>
          <w:rtl w:val="true"/>
        </w:rPr>
        <w:t xml:space="preserve">] </w:t>
      </w:r>
      <w:r>
        <w:rPr>
          <w:rFonts w:hint="cs"/>
          <w:sz w:val="26"/>
          <w:szCs w:val="26"/>
          <w:rtl w:val="true"/>
        </w:rPr>
        <w:t>קי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ל דנר חנוכה מצוה להדליקו בתוך י</w:t>
      </w:r>
      <w:r>
        <w:rPr>
          <w:rFonts w:hint="cs"/>
          <w:sz w:val="26"/>
          <w:szCs w:val="26"/>
          <w:rtl w:val="true"/>
        </w:rPr>
        <w:t xml:space="preserve">', </w:t>
      </w:r>
      <w:r>
        <w:rPr>
          <w:rFonts w:hint="cs"/>
          <w:sz w:val="26"/>
          <w:szCs w:val="26"/>
          <w:rtl w:val="true"/>
        </w:rPr>
        <w:t>ונחלקו חכמי הדור בגונא דכשמדליק למעלה מי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הוא נראה יותר ברה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ר ואיכא פרסומי ניסא טפי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אם אמרינן דעדיף להדליק למעלה מי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דאיכא פרסומי ניסא טפי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או דאף בכה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ג מצוה להניחו בתוך י</w:t>
      </w:r>
      <w:r>
        <w:rPr>
          <w:rFonts w:hint="cs"/>
          <w:sz w:val="26"/>
          <w:szCs w:val="26"/>
          <w:rtl w:val="true"/>
        </w:rPr>
        <w:t xml:space="preserve">', </w:t>
      </w:r>
      <w:r>
        <w:rPr>
          <w:rFonts w:hint="cs"/>
          <w:sz w:val="26"/>
          <w:szCs w:val="26"/>
          <w:rtl w:val="true"/>
        </w:rPr>
        <w:t>ועוד נחלקו בגונא דיש בידו להדליק בצד שמאל למעלה מי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ובצד ימין למטה מי</w:t>
      </w:r>
      <w:r>
        <w:rPr>
          <w:rFonts w:hint="cs"/>
          <w:sz w:val="26"/>
          <w:szCs w:val="26"/>
          <w:rtl w:val="true"/>
        </w:rPr>
        <w:t xml:space="preserve">', </w:t>
      </w:r>
      <w:r>
        <w:rPr>
          <w:rFonts w:hint="cs"/>
          <w:sz w:val="26"/>
          <w:szCs w:val="26"/>
          <w:rtl w:val="true"/>
        </w:rPr>
        <w:t>אם עדיף שידליק בצד שמאל שיהא מסובב במצוות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או עדיף שידליק בצד ימין למטה מי</w:t>
      </w:r>
      <w:r>
        <w:rPr>
          <w:rFonts w:hint="cs"/>
          <w:sz w:val="26"/>
          <w:szCs w:val="26"/>
          <w:rtl w:val="true"/>
        </w:rPr>
        <w:t>'.</w:t>
      </w:r>
    </w:p>
    <w:p>
      <w:pPr>
        <w:pStyle w:val="Normal"/>
        <w:spacing w:lineRule="exact" w:line="360" w:before="0" w:after="0"/>
        <w:ind w:end="0"/>
        <w:jc w:val="both"/>
        <w:rPr>
          <w:sz w:val="26"/>
          <w:szCs w:val="26"/>
        </w:rPr>
      </w:pPr>
      <w:r>
        <w:rPr>
          <w:rFonts w:hint="cs"/>
          <w:sz w:val="26"/>
          <w:szCs w:val="26"/>
          <w:rtl w:val="true"/>
        </w:rPr>
        <w:t>ז</w:t>
      </w:r>
      <w:r>
        <w:rPr>
          <w:rFonts w:hint="cs"/>
          <w:sz w:val="26"/>
          <w:szCs w:val="26"/>
          <w:rtl w:val="true"/>
        </w:rPr>
        <w:t xml:space="preserve">] </w:t>
      </w:r>
      <w:r>
        <w:rPr>
          <w:rFonts w:hint="cs"/>
          <w:sz w:val="26"/>
          <w:szCs w:val="26"/>
          <w:rtl w:val="true"/>
        </w:rPr>
        <w:t>ונראה דיש ללמוד לזה ממש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כ המג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א בסימן תרע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א סק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 xml:space="preserve">ו </w:t>
      </w:r>
      <w:r>
        <w:rPr>
          <w:sz w:val="26"/>
          <w:szCs w:val="26"/>
          <w:rtl w:val="true"/>
        </w:rPr>
        <w:t>דאם דר בעליה מניח</w:t>
      </w:r>
      <w:r>
        <w:rPr>
          <w:rFonts w:hint="cs"/>
          <w:sz w:val="26"/>
          <w:szCs w:val="26"/>
          <w:rtl w:val="true"/>
        </w:rPr>
        <w:t>ה</w:t>
      </w:r>
      <w:r>
        <w:rPr>
          <w:sz w:val="26"/>
          <w:szCs w:val="26"/>
          <w:rtl w:val="true"/>
        </w:rPr>
        <w:t xml:space="preserve"> בחלון אפי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הוא למעלה מי</w:t>
      </w:r>
      <w:r>
        <w:rPr>
          <w:rFonts w:hint="cs"/>
          <w:sz w:val="26"/>
          <w:szCs w:val="26"/>
          <w:rtl w:val="true"/>
        </w:rPr>
        <w:t xml:space="preserve">', </w:t>
      </w:r>
      <w:r>
        <w:rPr>
          <w:rFonts w:hint="cs"/>
          <w:sz w:val="26"/>
          <w:szCs w:val="26"/>
          <w:rtl w:val="true"/>
        </w:rPr>
        <w:t>והפמ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ג שם פקפק בזה די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ל דהאידנא מצוה טפי בטפח הסמוך לפתח שבתוך הבית בתוך י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טפחים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והשעה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צ שם סק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ל הסכים לד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המג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א משום דהא דבעינן היכר לבני רה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ר יש מקור גדול בגמ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וכו</w:t>
      </w:r>
      <w:r>
        <w:rPr>
          <w:rFonts w:hint="cs"/>
          <w:sz w:val="26"/>
          <w:szCs w:val="26"/>
          <w:rtl w:val="true"/>
        </w:rPr>
        <w:t xml:space="preserve">', </w:t>
      </w:r>
      <w:r>
        <w:rPr>
          <w:rFonts w:hint="cs"/>
          <w:sz w:val="26"/>
          <w:szCs w:val="26"/>
          <w:rtl w:val="true"/>
        </w:rPr>
        <w:t>עיי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ש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והרי דהפמ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ג נסתפק דעדיף להדליק למטה מי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אף דעי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ז ליכא פרסומי ניסא כלל לבני רה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ר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ואף השעה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צ לא נחלק ע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ז אלא משום דבעינן היכר לבני רה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ר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אך כל שיש היכר לבני רה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ר אלא דאיכא מעליותא במה דאיכא פרסומי ניסא טפי</w:t>
      </w:r>
      <w:r>
        <w:rPr>
          <w:rFonts w:hint="cs"/>
          <w:sz w:val="26"/>
          <w:szCs w:val="26"/>
          <w:rtl w:val="true"/>
        </w:rPr>
        <w:t>, (</w:t>
      </w:r>
      <w:r>
        <w:rPr>
          <w:rFonts w:hint="cs"/>
          <w:sz w:val="26"/>
          <w:szCs w:val="26"/>
          <w:rtl w:val="true"/>
        </w:rPr>
        <w:t>כמש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כ החכמת שלמה בסו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ס תרע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א דראוי להדליק בפתח הסמוך לרה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ר שעוברים שם יותר בנ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א</w:t>
      </w:r>
      <w:r>
        <w:rPr>
          <w:rFonts w:hint="cs"/>
          <w:sz w:val="26"/>
          <w:szCs w:val="26"/>
          <w:rtl w:val="true"/>
        </w:rPr>
        <w:t xml:space="preserve">), </w:t>
      </w:r>
      <w:r>
        <w:rPr>
          <w:rFonts w:hint="cs"/>
          <w:sz w:val="26"/>
          <w:szCs w:val="26"/>
          <w:rtl w:val="true"/>
        </w:rPr>
        <w:t>ודאי דיש להדליק בתוך י</w:t>
      </w:r>
      <w:r>
        <w:rPr>
          <w:rFonts w:hint="cs"/>
          <w:sz w:val="26"/>
          <w:szCs w:val="26"/>
          <w:rtl w:val="true"/>
        </w:rPr>
        <w:t>'.</w:t>
      </w:r>
    </w:p>
    <w:p>
      <w:pPr>
        <w:pStyle w:val="Normal"/>
        <w:spacing w:lineRule="exact" w:line="360" w:before="0" w:after="0"/>
        <w:ind w:end="0"/>
        <w:jc w:val="both"/>
        <w:rPr>
          <w:sz w:val="26"/>
          <w:szCs w:val="26"/>
        </w:rPr>
      </w:pPr>
      <w:r>
        <w:rPr>
          <w:rFonts w:hint="cs"/>
          <w:sz w:val="26"/>
          <w:szCs w:val="26"/>
          <w:rtl w:val="true"/>
        </w:rPr>
        <w:t>ח</w:t>
      </w:r>
      <w:r>
        <w:rPr>
          <w:rFonts w:hint="cs"/>
          <w:sz w:val="26"/>
          <w:szCs w:val="26"/>
          <w:rtl w:val="true"/>
        </w:rPr>
        <w:t xml:space="preserve">] </w:t>
      </w:r>
      <w:r>
        <w:rPr>
          <w:rFonts w:hint="cs"/>
          <w:sz w:val="26"/>
          <w:szCs w:val="26"/>
          <w:rtl w:val="true"/>
        </w:rPr>
        <w:t>והנה ממה שדנו הפוסקים אם להדליק בחלון או בטפח הסמוך לפתח רק מכח הא דבטפח הסמוך לפתח הוא בתוך י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ולא דנו כלל מכח הא דכשמדליק בפתח הוא מסובב במצוות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מבו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דדינא דתוך י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עדיף מדינא דהדלקה בצד שמאל כדי שיהא מסובב במצוות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והיינו משום דדינא דתוך י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הוא מעליותא בעיקר ההדלקה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ומשא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כ בהמעליותא דצד שמאל דאינה מעליותא כלל בגוף ההדלקה</w:t>
      </w:r>
      <w:r>
        <w:rPr>
          <w:rFonts w:hint="cs"/>
          <w:sz w:val="26"/>
          <w:szCs w:val="26"/>
          <w:rtl w:val="true"/>
        </w:rPr>
        <w:t xml:space="preserve">, </w:t>
      </w:r>
      <w:r>
        <w:rPr>
          <w:rFonts w:hint="cs"/>
          <w:sz w:val="26"/>
          <w:szCs w:val="26"/>
          <w:rtl w:val="true"/>
        </w:rPr>
        <w:t>אלא הוא ענין בפנ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ע דיהא מסובב במצוות</w:t>
      </w:r>
      <w:r>
        <w:rPr>
          <w:rFonts w:hint="cs"/>
          <w:sz w:val="26"/>
          <w:szCs w:val="26"/>
          <w:rtl w:val="true"/>
        </w:rPr>
        <w:t xml:space="preserve">,  -  </w:t>
      </w:r>
      <w:r>
        <w:rPr>
          <w:rFonts w:hint="cs"/>
          <w:sz w:val="26"/>
          <w:szCs w:val="26"/>
          <w:rtl w:val="true"/>
        </w:rPr>
        <w:t>ולפ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ז הדין נותן דכל שבידו להדליק בצד ימין למטה מי</w:t>
      </w:r>
      <w:r>
        <w:rPr>
          <w:rFonts w:hint="cs"/>
          <w:sz w:val="26"/>
          <w:szCs w:val="26"/>
          <w:rtl w:val="true"/>
        </w:rPr>
        <w:t xml:space="preserve">' </w:t>
      </w:r>
      <w:r>
        <w:rPr>
          <w:rFonts w:hint="cs"/>
          <w:sz w:val="26"/>
          <w:szCs w:val="26"/>
          <w:rtl w:val="true"/>
        </w:rPr>
        <w:t>או בצד שמאל למעלה מי</w:t>
      </w:r>
      <w:r>
        <w:rPr>
          <w:rFonts w:hint="cs"/>
          <w:sz w:val="26"/>
          <w:szCs w:val="26"/>
          <w:rtl w:val="true"/>
        </w:rPr>
        <w:t xml:space="preserve">', </w:t>
      </w:r>
      <w:r>
        <w:rPr>
          <w:rFonts w:hint="cs"/>
          <w:sz w:val="26"/>
          <w:szCs w:val="26"/>
          <w:rtl w:val="true"/>
        </w:rPr>
        <w:t>יש לו להדליק בצד ימין למטה מי</w:t>
      </w:r>
      <w:r>
        <w:rPr>
          <w:rFonts w:hint="cs"/>
          <w:sz w:val="26"/>
          <w:szCs w:val="26"/>
          <w:rtl w:val="true"/>
        </w:rPr>
        <w:t xml:space="preserve">', </w:t>
      </w:r>
      <w:r>
        <w:rPr>
          <w:rFonts w:hint="cs"/>
          <w:sz w:val="26"/>
          <w:szCs w:val="26"/>
          <w:rtl w:val="true"/>
        </w:rPr>
        <w:t>וצ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ע</w:t>
      </w:r>
      <w:r>
        <w:rPr>
          <w:rFonts w:hint="cs"/>
          <w:sz w:val="26"/>
          <w:szCs w:val="26"/>
          <w:rtl w:val="true"/>
        </w:rPr>
        <w:t>.</w:t>
      </w:r>
    </w:p>
    <w:p>
      <w:pPr>
        <w:pStyle w:val="Normal"/>
        <w:spacing w:lineRule="exact" w:line="360" w:before="0" w:after="0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Normal"/>
        <w:spacing w:lineRule="exact" w:line="360" w:before="0" w:after="0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Heading2"/>
        <w:ind w:end="0"/>
        <w:jc w:val="center"/>
        <w:rPr/>
      </w:pPr>
      <w:r>
        <w:rPr>
          <w:rFonts w:hint="cs"/>
          <w:rtl w:val="true"/>
        </w:rPr>
        <w:t>בני ישיבה אם נפטרין במה שמדליקין בביתם</w:t>
      </w:r>
    </w:p>
    <w:p>
      <w:pPr>
        <w:pStyle w:val="Normal"/>
        <w:spacing w:lineRule="exact" w:line="360" w:before="0" w:after="0"/>
        <w:ind w:end="0"/>
        <w:jc w:val="both"/>
        <w:rPr>
          <w:rFonts w:ascii="FrankRuehl" w:hAnsi="FrankRuehl" w:cs="FrankRuehl"/>
          <w:sz w:val="26"/>
          <w:szCs w:val="26"/>
        </w:rPr>
      </w:pPr>
      <w:r>
        <w:rPr>
          <w:rFonts w:ascii="FrankRuehl" w:hAnsi="FrankRuehl" w:hint="cs"/>
          <w:sz w:val="26"/>
          <w:szCs w:val="26"/>
          <w:rtl w:val="true"/>
        </w:rPr>
        <w:t>ח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] </w:t>
      </w:r>
      <w:r>
        <w:rPr>
          <w:rFonts w:ascii="FrankRuehl" w:hAnsi="FrankRuehl" w:hint="cs"/>
          <w:sz w:val="26"/>
          <w:szCs w:val="26"/>
          <w:rtl w:val="true"/>
        </w:rPr>
        <w:t>נחלקו חכמי הדור</w:t>
      </w:r>
      <w:r>
        <w:rPr>
          <w:rFonts w:ascii="FrankRuehl" w:hAnsi="FrankRuehl" w:eastAsia="SimSun;宋体" w:hint="cs"/>
          <w:sz w:val="24"/>
          <w:szCs w:val="26"/>
          <w:rtl w:val="true"/>
        </w:rPr>
        <w:t xml:space="preserve"> בדין בחורים שבישיבות אם הם חייבין להדליק או שהם נפטרין במה שמדליק אביהם בביתם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eastAsia="SimSun;宋体" w:hint="cs"/>
          <w:sz w:val="24"/>
          <w:szCs w:val="26"/>
          <w:rtl w:val="true"/>
        </w:rPr>
        <w:t>ולכאו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 xml:space="preserve">' </w:t>
      </w:r>
      <w:r>
        <w:rPr>
          <w:rFonts w:ascii="FrankRuehl" w:hAnsi="FrankRuehl" w:eastAsia="SimSun;宋体" w:hint="cs"/>
          <w:sz w:val="24"/>
          <w:szCs w:val="26"/>
          <w:rtl w:val="true"/>
        </w:rPr>
        <w:t>נחלקו בזה הראשונים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דהסה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ת בסימנים בסימן רכ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ט כתב דתלמידים הבאים ללמוד חוץ מביתם א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צ ליתן בנר אם יודע שאשתו וכו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או אביו ואמו מדליקין בשבילו במקומו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והובאו דבריו במחזו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ו בסימן רל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ח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וכ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כ בס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הפרנס בסימן קנ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ב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ומבו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דאף בחורים נפטרין במה שמדליקין עליהן בביתם</w:t>
      </w:r>
      <w:r>
        <w:rPr>
          <w:rFonts w:cs="FrankRuehl" w:hint="cs" w:ascii="FrankRuehl" w:hAnsi="FrankRuehl"/>
          <w:sz w:val="26"/>
          <w:szCs w:val="26"/>
          <w:rtl w:val="true"/>
        </w:rPr>
        <w:t>,</w:t>
      </w:r>
      <w:r>
        <w:rPr>
          <w:rStyle w:val="FootnoteCharacters"/>
          <w:rStyle w:val="FootnoteReference"/>
          <w:rFonts w:cs="FrankRuehl" w:ascii="FrankRuehl" w:hAnsi="FrankRuehl"/>
          <w:sz w:val="26"/>
          <w:szCs w:val="26"/>
          <w:rtl w:val="true"/>
        </w:rPr>
        <w:footnoteReference w:id="4"/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  -  </w:t>
      </w:r>
      <w:r>
        <w:rPr>
          <w:rFonts w:ascii="FrankRuehl" w:hAnsi="FrankRuehl" w:hint="cs"/>
          <w:sz w:val="26"/>
          <w:szCs w:val="26"/>
          <w:rtl w:val="true"/>
        </w:rPr>
        <w:t>אך הסמ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ק בסימן ר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פ כתב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ד</w:t>
      </w:r>
      <w:r>
        <w:rPr>
          <w:rFonts w:ascii="FrankRuehl" w:hAnsi="FrankRuehl"/>
          <w:sz w:val="26"/>
          <w:szCs w:val="26"/>
          <w:rtl w:val="true"/>
        </w:rPr>
        <w:t xml:space="preserve">בחורים שהם בבית רבם </w:t>
      </w:r>
      <w:r>
        <w:rPr>
          <w:rFonts w:ascii="FrankRuehl" w:hAnsi="FrankRuehl" w:hint="cs"/>
          <w:sz w:val="26"/>
          <w:szCs w:val="26"/>
          <w:rtl w:val="true"/>
        </w:rPr>
        <w:t>וכו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/>
          <w:sz w:val="26"/>
          <w:szCs w:val="26"/>
          <w:rtl w:val="true"/>
        </w:rPr>
        <w:t>משתתפין עם בע</w:t>
      </w:r>
      <w:r>
        <w:rPr>
          <w:rFonts w:ascii="FrankRuehl" w:hAnsi="FrankRuehl" w:hint="cs"/>
          <w:sz w:val="26"/>
          <w:szCs w:val="26"/>
          <w:rtl w:val="true"/>
        </w:rPr>
        <w:t>ה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ב ואם יש להם אשה המדלקת בתוך ביתם אינם צריכים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ומבו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דבחורים אינם נפטרין במה שמדליקין אביהם ואמם בביתם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ורק כשיש להם אשה המדלקת בתוך ביתם הוא דהם נפטרין בהדלקתה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וכ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נ בד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רי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ו בנתיב ט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ח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א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עיי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ש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וכ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נ להדיא בד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המהרי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ל בהל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חנוכה ס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ח ובתשו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סימן קמ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ה ובד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' </w:t>
      </w:r>
      <w:r>
        <w:rPr>
          <w:rFonts w:ascii="FrankRuehl" w:hAnsi="FrankRuehl" w:hint="cs"/>
          <w:sz w:val="26"/>
          <w:szCs w:val="26"/>
          <w:rtl w:val="true"/>
        </w:rPr>
        <w:t>הפוסקים בסימן תרע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ז ס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א</w:t>
      </w:r>
      <w:r>
        <w:rPr>
          <w:rFonts w:cs="FrankRuehl" w:hint="cs" w:ascii="FrankRuehl" w:hAnsi="FrankRuehl"/>
          <w:sz w:val="26"/>
          <w:szCs w:val="26"/>
          <w:rtl w:val="true"/>
        </w:rPr>
        <w:t>.</w:t>
      </w:r>
    </w:p>
    <w:p>
      <w:pPr>
        <w:pStyle w:val="Normal"/>
        <w:spacing w:lineRule="exact" w:line="360" w:before="0" w:after="0"/>
        <w:ind w:end="0"/>
        <w:jc w:val="both"/>
        <w:rPr>
          <w:rFonts w:ascii="FrankRuehl" w:hAnsi="FrankRuehl" w:eastAsia="SimSun;宋体" w:cs="FrankRuehl" w:hint="cs"/>
          <w:sz w:val="24"/>
          <w:szCs w:val="26"/>
        </w:rPr>
      </w:pPr>
      <w:r>
        <w:rPr>
          <w:rFonts w:ascii="FrankRuehl" w:hAnsi="FrankRuehl" w:hint="cs"/>
          <w:sz w:val="26"/>
          <w:szCs w:val="26"/>
          <w:rtl w:val="true"/>
        </w:rPr>
        <w:t>ט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] </w:t>
      </w:r>
      <w:r>
        <w:rPr>
          <w:rFonts w:ascii="FrankRuehl" w:hAnsi="FrankRuehl" w:hint="cs"/>
          <w:sz w:val="26"/>
          <w:szCs w:val="26"/>
          <w:rtl w:val="true"/>
        </w:rPr>
        <w:t>ובטעם הא דאין בחורים נפטרין במה שמדליק אביהם בביתם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בפשוטו הוא משום דבחור שהוא בקביעות חוץ לביתו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לא חשיב כלל כסמוך על שלחן אביו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ול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ה מכלל בני הבית</w:t>
      </w:r>
      <w:r>
        <w:rPr>
          <w:rFonts w:cs="FrankRuehl" w:hint="cs" w:ascii="FrankRuehl" w:hAnsi="FrankRuehl"/>
          <w:sz w:val="26"/>
          <w:szCs w:val="26"/>
          <w:rtl w:val="true"/>
        </w:rPr>
        <w:t>, (</w:t>
      </w:r>
      <w:r>
        <w:rPr>
          <w:rFonts w:ascii="FrankRuehl" w:hAnsi="FrankRuehl" w:hint="cs"/>
          <w:sz w:val="26"/>
          <w:szCs w:val="26"/>
          <w:rtl w:val="true"/>
        </w:rPr>
        <w:t>ואף אם לגבי הא דידו כיד אביו חשוב כסמוך על שלחן אביו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מ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מ ל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ה מכלל בני הבית כיון שאינו דר בבית זה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, </w:t>
      </w:r>
      <w:r>
        <w:rPr>
          <w:rFonts w:ascii="FrankRuehl" w:hAnsi="FrankRuehl" w:hint="cs"/>
          <w:sz w:val="26"/>
          <w:szCs w:val="26"/>
          <w:rtl w:val="true"/>
        </w:rPr>
        <w:t>וע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כ אינו נפטר בהדלקה שמדליקין בבית</w:t>
      </w:r>
      <w:r>
        <w:rPr>
          <w:rFonts w:cs="FrankRuehl" w:hint="cs" w:ascii="FrankRuehl" w:hAnsi="FrankRuehl"/>
          <w:sz w:val="26"/>
          <w:szCs w:val="26"/>
          <w:rtl w:val="true"/>
        </w:rPr>
        <w:t xml:space="preserve">),  -  </w:t>
      </w:r>
      <w:r>
        <w:rPr>
          <w:rFonts w:ascii="FrankRuehl" w:hAnsi="FrankRuehl" w:hint="cs"/>
          <w:sz w:val="26"/>
          <w:szCs w:val="26"/>
          <w:rtl w:val="true"/>
        </w:rPr>
        <w:t>וי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ל עוד למש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>כ הנימו</w:t>
      </w:r>
      <w:r>
        <w:rPr>
          <w:rFonts w:cs="FrankRuehl" w:hint="cs" w:ascii="FrankRuehl" w:hAnsi="FrankRuehl"/>
          <w:sz w:val="26"/>
          <w:szCs w:val="26"/>
          <w:rtl w:val="true"/>
        </w:rPr>
        <w:t>"</w:t>
      </w:r>
      <w:r>
        <w:rPr>
          <w:rFonts w:ascii="FrankRuehl" w:hAnsi="FrankRuehl" w:hint="cs"/>
          <w:sz w:val="26"/>
          <w:szCs w:val="26"/>
          <w:rtl w:val="true"/>
        </w:rPr>
        <w:t xml:space="preserve">י בשבת שם דכיון דאינסיבנא </w:t>
      </w:r>
      <w:r>
        <w:rPr>
          <w:rFonts w:ascii="FrankRuehl" w:hAnsi="FrankRuehl" w:eastAsia="SimSun;宋体" w:hint="cs"/>
          <w:sz w:val="24"/>
          <w:szCs w:val="26"/>
          <w:rtl w:val="true"/>
        </w:rPr>
        <w:t>היינו</w:t>
      </w:r>
      <w:r>
        <w:rPr>
          <w:rFonts w:ascii="FrankRuehl" w:hAnsi="FrankRuehl" w:eastAsia="SimSun;宋体"/>
          <w:sz w:val="24"/>
          <w:szCs w:val="26"/>
          <w:rtl w:val="true"/>
        </w:rPr>
        <w:t xml:space="preserve"> שלקחתי אשה 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eastAsia="SimSun;宋体"/>
          <w:sz w:val="24"/>
          <w:szCs w:val="26"/>
          <w:rtl w:val="true"/>
        </w:rPr>
        <w:t>ובית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>"</w:t>
      </w:r>
      <w:r>
        <w:rPr>
          <w:rFonts w:eastAsia="SimSun;宋体" w:cs="FrankRuehl" w:ascii="FrankRuehl" w:hAnsi="FrankRuehl"/>
          <w:sz w:val="24"/>
          <w:szCs w:val="26"/>
          <w:rtl w:val="true"/>
        </w:rPr>
        <w:t xml:space="preserve"> </w:t>
      </w:r>
      <w:r>
        <w:rPr>
          <w:rFonts w:ascii="FrankRuehl" w:hAnsi="FrankRuehl" w:eastAsia="SimSun;宋体"/>
          <w:sz w:val="24"/>
          <w:szCs w:val="26"/>
          <w:rtl w:val="true"/>
        </w:rPr>
        <w:t>לעצמי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eastAsia="SimSun;宋体" w:hint="cs"/>
          <w:sz w:val="24"/>
          <w:szCs w:val="26"/>
          <w:rtl w:val="true"/>
        </w:rPr>
        <w:t>ומשמע דכל הא דנפטר בהדלקת אשתו הוא משום דהוי הבית שלו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eastAsia="SimSun;宋体" w:hint="cs"/>
          <w:sz w:val="24"/>
          <w:szCs w:val="26"/>
          <w:rtl w:val="true"/>
        </w:rPr>
        <w:t>וע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eastAsia="SimSun;宋体" w:hint="cs"/>
          <w:sz w:val="24"/>
          <w:szCs w:val="26"/>
          <w:rtl w:val="true"/>
        </w:rPr>
        <w:t>כ הוא דהבחורים שאין הבית שלהן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eastAsia="SimSun;宋体" w:hint="cs"/>
          <w:sz w:val="24"/>
          <w:szCs w:val="26"/>
          <w:rtl w:val="true"/>
        </w:rPr>
        <w:t>אינם נפטרין בהדלקת אביהם כשאינם דרים בפועל בבית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 xml:space="preserve">,  -  </w:t>
      </w:r>
      <w:r>
        <w:rPr>
          <w:rFonts w:ascii="FrankRuehl" w:hAnsi="FrankRuehl" w:eastAsia="SimSun;宋体" w:hint="cs"/>
          <w:sz w:val="24"/>
          <w:szCs w:val="26"/>
          <w:rtl w:val="true"/>
        </w:rPr>
        <w:t>עוד י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eastAsia="SimSun;宋体" w:hint="cs"/>
          <w:sz w:val="24"/>
          <w:szCs w:val="26"/>
          <w:rtl w:val="true"/>
        </w:rPr>
        <w:t>ל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eastAsia="SimSun;宋体" w:hint="cs"/>
          <w:sz w:val="24"/>
          <w:szCs w:val="26"/>
          <w:rtl w:val="true"/>
        </w:rPr>
        <w:t>למש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eastAsia="SimSun;宋体" w:hint="cs"/>
          <w:sz w:val="24"/>
          <w:szCs w:val="26"/>
          <w:rtl w:val="true"/>
        </w:rPr>
        <w:t>כ הגר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eastAsia="SimSun;宋体" w:hint="cs"/>
          <w:sz w:val="24"/>
          <w:szCs w:val="26"/>
          <w:rtl w:val="true"/>
        </w:rPr>
        <w:t>ז בסימן רס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eastAsia="SimSun;宋体" w:hint="cs"/>
          <w:sz w:val="24"/>
          <w:szCs w:val="26"/>
          <w:rtl w:val="true"/>
        </w:rPr>
        <w:t>ג ס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eastAsia="SimSun;宋体" w:hint="cs"/>
          <w:sz w:val="24"/>
          <w:szCs w:val="26"/>
          <w:rtl w:val="true"/>
        </w:rPr>
        <w:t>ט דאינו יוצא יד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eastAsia="SimSun;宋体" w:hint="cs"/>
          <w:sz w:val="24"/>
          <w:szCs w:val="26"/>
          <w:rtl w:val="true"/>
        </w:rPr>
        <w:t>ח נר שבת כשמדליקין עליו בביתו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eastAsia="SimSun;宋体" w:hint="cs"/>
          <w:sz w:val="24"/>
          <w:szCs w:val="26"/>
          <w:rtl w:val="true"/>
        </w:rPr>
        <w:t>אלא כשהוא משלו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>, (</w:t>
      </w:r>
      <w:r>
        <w:rPr>
          <w:rFonts w:ascii="FrankRuehl" w:hAnsi="FrankRuehl" w:eastAsia="SimSun;宋体" w:hint="cs"/>
          <w:sz w:val="24"/>
          <w:szCs w:val="26"/>
          <w:rtl w:val="true"/>
        </w:rPr>
        <w:t>ומבו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 xml:space="preserve">' </w:t>
      </w:r>
      <w:r>
        <w:rPr>
          <w:rFonts w:ascii="FrankRuehl" w:hAnsi="FrankRuehl" w:eastAsia="SimSun;宋体" w:hint="cs"/>
          <w:sz w:val="24"/>
          <w:szCs w:val="26"/>
          <w:rtl w:val="true"/>
        </w:rPr>
        <w:t>שם בדבריו דה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eastAsia="SimSun;宋体" w:hint="cs"/>
          <w:sz w:val="24"/>
          <w:szCs w:val="26"/>
          <w:rtl w:val="true"/>
        </w:rPr>
        <w:t>נ הוא במי שסמוך על שלחן אחרים דכל שאינו עמהם בביתם אינו יוצא בהדלקתם משום דאין מדליקין משלו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 xml:space="preserve">), </w:t>
      </w:r>
      <w:r>
        <w:rPr>
          <w:rFonts w:ascii="FrankRuehl" w:hAnsi="FrankRuehl" w:eastAsia="SimSun;宋体" w:hint="cs"/>
          <w:sz w:val="24"/>
          <w:szCs w:val="26"/>
          <w:rtl w:val="true"/>
        </w:rPr>
        <w:t>ולכאו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 xml:space="preserve">' </w:t>
      </w:r>
      <w:r>
        <w:rPr>
          <w:rFonts w:ascii="FrankRuehl" w:hAnsi="FrankRuehl" w:eastAsia="SimSun;宋体" w:hint="cs"/>
          <w:sz w:val="24"/>
          <w:szCs w:val="26"/>
          <w:rtl w:val="true"/>
        </w:rPr>
        <w:t>ה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eastAsia="SimSun;宋体" w:hint="cs"/>
          <w:sz w:val="24"/>
          <w:szCs w:val="26"/>
          <w:rtl w:val="true"/>
        </w:rPr>
        <w:t>ה הוא בנ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eastAsia="SimSun;宋体" w:hint="cs"/>
          <w:sz w:val="24"/>
          <w:szCs w:val="26"/>
          <w:rtl w:val="true"/>
        </w:rPr>
        <w:t>ח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eastAsia="SimSun;宋体" w:hint="cs"/>
          <w:sz w:val="24"/>
          <w:szCs w:val="26"/>
          <w:rtl w:val="true"/>
        </w:rPr>
        <w:t>וע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eastAsia="SimSun;宋体" w:hint="cs"/>
          <w:sz w:val="24"/>
          <w:szCs w:val="26"/>
          <w:rtl w:val="true"/>
        </w:rPr>
        <w:t>כ אין הבחורים יוצאין במה שמדליקין בביתם כיון דאי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eastAsia="SimSun;宋体" w:hint="cs"/>
          <w:sz w:val="24"/>
          <w:szCs w:val="26"/>
          <w:rtl w:val="true"/>
        </w:rPr>
        <w:t>ז משלהם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>.</w:t>
      </w:r>
    </w:p>
    <w:p>
      <w:pPr>
        <w:pStyle w:val="Normal"/>
        <w:spacing w:lineRule="exact" w:line="360" w:before="0" w:after="0"/>
        <w:ind w:end="0"/>
        <w:jc w:val="both"/>
        <w:rPr>
          <w:rFonts w:ascii="FrankRuehl" w:hAnsi="FrankRuehl" w:eastAsia="SimSun;宋体" w:cs="FrankRuehl"/>
          <w:sz w:val="24"/>
          <w:szCs w:val="26"/>
        </w:rPr>
      </w:pPr>
      <w:r>
        <w:rPr>
          <w:rFonts w:ascii="FrankRuehl" w:hAnsi="FrankRuehl" w:eastAsia="SimSun;宋体" w:hint="cs"/>
          <w:sz w:val="24"/>
          <w:szCs w:val="26"/>
          <w:rtl w:val="true"/>
        </w:rPr>
        <w:t>י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 xml:space="preserve">] </w:t>
      </w:r>
      <w:r>
        <w:rPr>
          <w:rFonts w:ascii="FrankRuehl" w:hAnsi="FrankRuehl" w:eastAsia="SimSun;宋体" w:hint="cs"/>
          <w:sz w:val="24"/>
          <w:szCs w:val="26"/>
          <w:rtl w:val="true"/>
        </w:rPr>
        <w:t>ויש שכתבו דאף דאין בחורים נפטרין במה שמדליקין עליהן בביתם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eastAsia="SimSun;宋体" w:hint="cs"/>
          <w:sz w:val="24"/>
          <w:szCs w:val="26"/>
          <w:rtl w:val="true"/>
        </w:rPr>
        <w:t>מ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eastAsia="SimSun;宋体" w:hint="cs"/>
          <w:sz w:val="24"/>
          <w:szCs w:val="26"/>
          <w:rtl w:val="true"/>
        </w:rPr>
        <w:t>מ הם נפטרין בהדלקת ראש הישיבה דהם סמוכין על שלחנו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 xml:space="preserve">,  -  </w:t>
      </w:r>
      <w:r>
        <w:rPr>
          <w:rFonts w:ascii="FrankRuehl" w:hAnsi="FrankRuehl" w:eastAsia="SimSun;宋体" w:hint="cs"/>
          <w:sz w:val="24"/>
          <w:szCs w:val="26"/>
          <w:rtl w:val="true"/>
        </w:rPr>
        <w:t>אך לכאו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 xml:space="preserve">' </w:t>
      </w:r>
      <w:r>
        <w:rPr>
          <w:rFonts w:ascii="FrankRuehl" w:hAnsi="FrankRuehl" w:eastAsia="SimSun;宋体" w:hint="cs"/>
          <w:sz w:val="24"/>
          <w:szCs w:val="26"/>
          <w:rtl w:val="true"/>
        </w:rPr>
        <w:t>הדבר פשוט דאינם נפטרין בכך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eastAsia="SimSun;宋体" w:hint="cs"/>
          <w:sz w:val="24"/>
          <w:szCs w:val="26"/>
          <w:rtl w:val="true"/>
        </w:rPr>
        <w:t>ומתרי טעמי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eastAsia="SimSun;宋体" w:hint="cs"/>
          <w:sz w:val="24"/>
          <w:szCs w:val="26"/>
          <w:rtl w:val="true"/>
        </w:rPr>
        <w:t>חדא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eastAsia="SimSun;宋体" w:hint="cs"/>
          <w:sz w:val="24"/>
          <w:szCs w:val="26"/>
          <w:rtl w:val="true"/>
        </w:rPr>
        <w:t>דאינם סמוכין על שלחן ראש הישיבה דאין ניזונין מממונו אלא מממון הישיבה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eastAsia="SimSun;宋体" w:hint="cs"/>
          <w:sz w:val="24"/>
          <w:szCs w:val="26"/>
          <w:rtl w:val="true"/>
        </w:rPr>
        <w:t>ועוד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eastAsia="SimSun;宋体" w:hint="cs"/>
          <w:sz w:val="24"/>
          <w:szCs w:val="26"/>
          <w:rtl w:val="true"/>
        </w:rPr>
        <w:t>דאף אם היו ניזונים מממונו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eastAsia="SimSun;宋体" w:hint="cs"/>
          <w:sz w:val="24"/>
          <w:szCs w:val="26"/>
          <w:rtl w:val="true"/>
        </w:rPr>
        <w:t>מ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eastAsia="SimSun;宋体" w:hint="cs"/>
          <w:sz w:val="24"/>
          <w:szCs w:val="26"/>
          <w:rtl w:val="true"/>
        </w:rPr>
        <w:t>מ כיון שאינם דרים עמו בביתו אינם נפטרין בההדלקה שמדליק בביתו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eastAsia="SimSun;宋体" w:hint="cs"/>
          <w:sz w:val="24"/>
          <w:szCs w:val="26"/>
          <w:rtl w:val="true"/>
        </w:rPr>
        <w:t>דאי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eastAsia="SimSun;宋体" w:hint="cs"/>
          <w:sz w:val="24"/>
          <w:szCs w:val="26"/>
          <w:rtl w:val="true"/>
        </w:rPr>
        <w:t>ז ביתם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>, (</w:t>
      </w:r>
      <w:r>
        <w:rPr>
          <w:rFonts w:ascii="FrankRuehl" w:hAnsi="FrankRuehl" w:eastAsia="SimSun;宋体" w:hint="cs"/>
          <w:sz w:val="24"/>
          <w:szCs w:val="26"/>
          <w:rtl w:val="true"/>
        </w:rPr>
        <w:t>דאין הדלקת בעה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eastAsia="SimSun;宋体" w:hint="cs"/>
          <w:sz w:val="24"/>
          <w:szCs w:val="26"/>
          <w:rtl w:val="true"/>
        </w:rPr>
        <w:t>ב פוטרת אלא את בני הבית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 xml:space="preserve">, </w:t>
      </w:r>
      <w:r>
        <w:rPr>
          <w:rFonts w:ascii="FrankRuehl" w:hAnsi="FrankRuehl" w:eastAsia="SimSun;宋体" w:hint="cs"/>
          <w:sz w:val="24"/>
          <w:szCs w:val="26"/>
          <w:rtl w:val="true"/>
        </w:rPr>
        <w:t>אך כל שאינם מכלל בני הבית אף אם חשיבי כסמוכין על שלחן בעה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>"</w:t>
      </w:r>
      <w:r>
        <w:rPr>
          <w:rFonts w:ascii="FrankRuehl" w:hAnsi="FrankRuehl" w:eastAsia="SimSun;宋体" w:hint="cs"/>
          <w:sz w:val="24"/>
          <w:szCs w:val="26"/>
          <w:rtl w:val="true"/>
        </w:rPr>
        <w:t>ב אינם נפטרין בהדלקה זו</w:t>
      </w:r>
      <w:r>
        <w:rPr>
          <w:rFonts w:eastAsia="SimSun;宋体" w:cs="FrankRuehl" w:hint="cs" w:ascii="FrankRuehl" w:hAnsi="FrankRuehl"/>
          <w:sz w:val="24"/>
          <w:szCs w:val="26"/>
          <w:rtl w:val="true"/>
        </w:rPr>
        <w:t>).</w:t>
      </w:r>
    </w:p>
    <w:sectPr>
      <w:headerReference w:type="default" r:id="rId2"/>
      <w:footnotePr>
        <w:numFmt w:val="hebrew1"/>
      </w:footnotePr>
      <w:type w:val="nextPage"/>
      <w:pgSz w:w="11906" w:h="16838"/>
      <w:pgMar w:left="1134" w:right="1134" w:gutter="0" w:header="850" w:top="1276" w:footer="0" w:bottom="1134"/>
      <w:pgNumType w:start="1"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FrankRuehl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David">
    <w:charset w:val="00" w:characterSet="windows-1252"/>
    <w:family w:val="swiss"/>
    <w:pitch w:val="variable"/>
  </w:font>
  <w:font w:name="Aharoni">
    <w:charset w:val="00" w:characterSet="windows-125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Miriam"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lineRule="exact" w:line="300" w:before="0" w:after="120"/>
        <w:ind w:end="0"/>
        <w:jc w:val="both"/>
        <w:rPr>
          <w:rFonts w:ascii="FrankRuehl" w:hAnsi="FrankRuehl" w:cs="FrankRuehl" w:hint="cs"/>
          <w:sz w:val="22"/>
          <w:szCs w:val="22"/>
        </w:rPr>
      </w:pPr>
      <w:r>
        <w:rPr>
          <w:rStyle w:val="FootnoteCharacters"/>
        </w:rPr>
        <w:footnoteRef/>
      </w:r>
      <w:r>
        <w:rPr>
          <w:rFonts w:cs="FrankRuehl" w:hint="cs" w:ascii="FrankRuehl" w:hAnsi="FrankRuehl"/>
          <w:rtl w:val="true"/>
        </w:rPr>
        <w:t xml:space="preserve"> </w:t>
      </w:r>
      <w:r>
        <w:rPr>
          <w:rFonts w:ascii="FrankRuehl" w:hAnsi="FrankRuehl" w:hint="cs" w:cs="FrankRuehl"/>
          <w:sz w:val="22"/>
          <w:szCs w:val="22"/>
          <w:rtl w:val="true"/>
        </w:rPr>
        <w:t>ואמנם לכאו</w:t>
      </w:r>
      <w:r>
        <w:rPr>
          <w:rFonts w:cs="FrankRuehl" w:hint="cs" w:ascii="FrankRuehl" w:hAnsi="FrankRuehl"/>
          <w:sz w:val="22"/>
          <w:szCs w:val="22"/>
          <w:rtl w:val="true"/>
        </w:rPr>
        <w:t xml:space="preserve">' </w:t>
      </w:r>
      <w:r>
        <w:rPr>
          <w:rFonts w:ascii="FrankRuehl" w:hAnsi="FrankRuehl" w:hint="cs" w:cs="FrankRuehl"/>
          <w:sz w:val="22"/>
          <w:szCs w:val="22"/>
          <w:rtl w:val="true"/>
        </w:rPr>
        <w:t>זה מתישב למש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>כ הר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>י מלוניל בשבת שם דקשר שיכול להתירו בידו אחת מותר לקשרו לכתחילה</w:t>
      </w:r>
      <w:r>
        <w:rPr>
          <w:rFonts w:cs="FrankRuehl" w:hint="cs" w:ascii="FrankRuehl" w:hAnsi="FrankRuehl"/>
          <w:sz w:val="22"/>
          <w:szCs w:val="22"/>
          <w:rtl w:val="true"/>
        </w:rPr>
        <w:t xml:space="preserve">, </w:t>
      </w:r>
      <w:r>
        <w:rPr>
          <w:rFonts w:ascii="FrankRuehl" w:hAnsi="FrankRuehl" w:hint="cs" w:cs="FrankRuehl"/>
          <w:sz w:val="22"/>
          <w:szCs w:val="22"/>
          <w:rtl w:val="true"/>
        </w:rPr>
        <w:t>וכ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>נ בפסקי הרי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>ד שם</w:t>
      </w:r>
      <w:r>
        <w:rPr>
          <w:rFonts w:cs="FrankRuehl" w:hint="cs" w:ascii="FrankRuehl" w:hAnsi="FrankRuehl"/>
          <w:sz w:val="22"/>
          <w:szCs w:val="22"/>
          <w:rtl w:val="true"/>
        </w:rPr>
        <w:t xml:space="preserve">, </w:t>
      </w:r>
      <w:r>
        <w:rPr>
          <w:rFonts w:ascii="FrankRuehl" w:hAnsi="FrankRuehl" w:hint="cs" w:cs="FrankRuehl"/>
          <w:sz w:val="22"/>
          <w:szCs w:val="22"/>
          <w:rtl w:val="true"/>
        </w:rPr>
        <w:t>וכ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>כ הריא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>ז שם</w:t>
      </w:r>
      <w:r>
        <w:rPr>
          <w:rFonts w:cs="FrankRuehl" w:hint="cs" w:ascii="FrankRuehl" w:hAnsi="FrankRuehl"/>
          <w:sz w:val="22"/>
          <w:szCs w:val="22"/>
          <w:rtl w:val="true"/>
        </w:rPr>
        <w:t xml:space="preserve">,  -  </w:t>
      </w:r>
      <w:r>
        <w:rPr>
          <w:rFonts w:ascii="FrankRuehl" w:hAnsi="FrankRuehl" w:hint="cs" w:cs="FrankRuehl"/>
          <w:sz w:val="22"/>
          <w:szCs w:val="22"/>
          <w:rtl w:val="true"/>
        </w:rPr>
        <w:t>אך הנה השבה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>ל בסימן קכ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>ד דקשר שיכול להתירו בידו אחת אסור ואין חייבין עליו</w:t>
      </w:r>
      <w:r>
        <w:rPr>
          <w:rFonts w:cs="FrankRuehl" w:hint="cs" w:ascii="FrankRuehl" w:hAnsi="FrankRuehl"/>
          <w:sz w:val="22"/>
          <w:szCs w:val="22"/>
          <w:rtl w:val="true"/>
        </w:rPr>
        <w:t xml:space="preserve">, </w:t>
      </w:r>
      <w:r>
        <w:rPr>
          <w:rFonts w:ascii="FrankRuehl" w:hAnsi="FrankRuehl" w:hint="cs" w:cs="FrankRuehl"/>
          <w:sz w:val="22"/>
          <w:szCs w:val="22"/>
          <w:rtl w:val="true"/>
        </w:rPr>
        <w:t>וכ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>ה מבו</w:t>
      </w:r>
      <w:r>
        <w:rPr>
          <w:rFonts w:cs="FrankRuehl" w:hint="cs" w:ascii="FrankRuehl" w:hAnsi="FrankRuehl"/>
          <w:sz w:val="22"/>
          <w:szCs w:val="22"/>
          <w:rtl w:val="true"/>
        </w:rPr>
        <w:t xml:space="preserve">' </w:t>
      </w:r>
      <w:r>
        <w:rPr>
          <w:rFonts w:ascii="FrankRuehl" w:hAnsi="FrankRuehl" w:hint="cs" w:cs="FrankRuehl"/>
          <w:sz w:val="22"/>
          <w:szCs w:val="22"/>
          <w:rtl w:val="true"/>
        </w:rPr>
        <w:t>בד</w:t>
      </w:r>
      <w:r>
        <w:rPr>
          <w:rFonts w:cs="FrankRuehl" w:hint="cs" w:ascii="FrankRuehl" w:hAnsi="FrankRuehl"/>
          <w:sz w:val="22"/>
          <w:szCs w:val="22"/>
          <w:rtl w:val="true"/>
        </w:rPr>
        <w:t xml:space="preserve">' </w:t>
      </w:r>
      <w:r>
        <w:rPr>
          <w:rFonts w:ascii="FrankRuehl" w:hAnsi="FrankRuehl" w:hint="cs" w:cs="FrankRuehl"/>
          <w:sz w:val="22"/>
          <w:szCs w:val="22"/>
          <w:rtl w:val="true"/>
        </w:rPr>
        <w:t>הרמב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>ן במלחמות בעירובין שם דקשר מרופה לא הותר אלא לצורך הצלת התפילין</w:t>
      </w:r>
      <w:r>
        <w:rPr>
          <w:rFonts w:cs="FrankRuehl" w:hint="cs" w:ascii="FrankRuehl" w:hAnsi="FrankRuehl"/>
          <w:sz w:val="22"/>
          <w:szCs w:val="22"/>
          <w:rtl w:val="true"/>
        </w:rPr>
        <w:t>, (</w:t>
      </w:r>
      <w:r>
        <w:rPr>
          <w:rFonts w:ascii="FrankRuehl" w:hAnsi="FrankRuehl" w:hint="cs" w:cs="FrankRuehl"/>
          <w:sz w:val="22"/>
          <w:szCs w:val="22"/>
          <w:rtl w:val="true"/>
        </w:rPr>
        <w:t>וכ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>ה משמעות ד</w:t>
      </w:r>
      <w:r>
        <w:rPr>
          <w:rFonts w:cs="FrankRuehl" w:hint="cs" w:ascii="FrankRuehl" w:hAnsi="FrankRuehl"/>
          <w:sz w:val="22"/>
          <w:szCs w:val="22"/>
          <w:rtl w:val="true"/>
        </w:rPr>
        <w:t xml:space="preserve">' </w:t>
      </w:r>
      <w:r>
        <w:rPr>
          <w:rFonts w:ascii="FrankRuehl" w:hAnsi="FrankRuehl" w:hint="cs" w:cs="FrankRuehl"/>
          <w:sz w:val="22"/>
          <w:szCs w:val="22"/>
          <w:rtl w:val="true"/>
        </w:rPr>
        <w:t>התוספתא בשבת פי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>ג הט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>ז דכייל לקשר שיכול להתירו בידו אחת עם קשר שאינו של קיימא דה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>ז אסור מדרבנן</w:t>
      </w:r>
      <w:r>
        <w:rPr>
          <w:rFonts w:cs="FrankRuehl" w:hint="cs" w:ascii="FrankRuehl" w:hAnsi="FrankRuehl"/>
          <w:sz w:val="22"/>
          <w:szCs w:val="22"/>
          <w:rtl w:val="true"/>
        </w:rPr>
        <w:t xml:space="preserve">), </w:t>
      </w:r>
      <w:r>
        <w:rPr>
          <w:rFonts w:ascii="FrankRuehl" w:hAnsi="FrankRuehl" w:hint="cs" w:cs="FrankRuehl"/>
          <w:sz w:val="22"/>
          <w:szCs w:val="22"/>
          <w:rtl w:val="true"/>
        </w:rPr>
        <w:t>ותיקשי דאם התירא דעניבה הוא דומיא דקשר שיכול להתירו בידו אחת</w:t>
      </w:r>
      <w:r>
        <w:rPr>
          <w:rFonts w:cs="FrankRuehl" w:hint="cs" w:ascii="FrankRuehl" w:hAnsi="FrankRuehl"/>
          <w:sz w:val="22"/>
          <w:szCs w:val="22"/>
          <w:rtl w:val="true"/>
        </w:rPr>
        <w:t xml:space="preserve">, </w:t>
      </w:r>
      <w:r>
        <w:rPr>
          <w:rFonts w:ascii="FrankRuehl" w:hAnsi="FrankRuehl" w:hint="cs" w:cs="FrankRuehl"/>
          <w:sz w:val="22"/>
          <w:szCs w:val="22"/>
          <w:rtl w:val="true"/>
        </w:rPr>
        <w:t>מ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 xml:space="preserve">ט </w:t>
      </w:r>
      <w:r>
        <w:rPr>
          <w:rFonts w:ascii="FrankRuehl" w:hAnsi="FrankRuehl" w:hint="cs" w:cs="FrankRuehl"/>
          <w:szCs w:val="22"/>
          <w:rtl w:val="true"/>
        </w:rPr>
        <w:t>ה</w:t>
      </w:r>
      <w:r>
        <w:rPr>
          <w:rFonts w:cs="FrankRuehl" w:hint="cs" w:ascii="FrankRuehl" w:hAnsi="FrankRuehl"/>
          <w:szCs w:val="22"/>
          <w:rtl w:val="true"/>
        </w:rPr>
        <w:t>"</w:t>
      </w:r>
      <w:r>
        <w:rPr>
          <w:rFonts w:ascii="FrankRuehl" w:hAnsi="FrankRuehl" w:hint="cs" w:cs="FrankRuehl"/>
          <w:szCs w:val="22"/>
          <w:rtl w:val="true"/>
        </w:rPr>
        <w:t>ז מותר אף מדרבנן</w:t>
      </w:r>
      <w:r>
        <w:rPr>
          <w:rFonts w:cs="FrankRuehl" w:hint="cs" w:ascii="FrankRuehl" w:hAnsi="FrankRuehl"/>
          <w:szCs w:val="22"/>
          <w:rtl w:val="true"/>
        </w:rPr>
        <w:t xml:space="preserve">,  -  </w:t>
      </w:r>
      <w:r>
        <w:rPr>
          <w:rFonts w:ascii="FrankRuehl" w:hAnsi="FrankRuehl" w:hint="cs" w:cs="FrankRuehl"/>
          <w:szCs w:val="22"/>
          <w:rtl w:val="true"/>
        </w:rPr>
        <w:t>וצ</w:t>
      </w:r>
      <w:r>
        <w:rPr>
          <w:rFonts w:cs="FrankRuehl" w:hint="cs" w:ascii="FrankRuehl" w:hAnsi="FrankRuehl"/>
          <w:szCs w:val="22"/>
          <w:rtl w:val="true"/>
        </w:rPr>
        <w:t>"</w:t>
      </w:r>
      <w:r>
        <w:rPr>
          <w:rFonts w:ascii="FrankRuehl" w:hAnsi="FrankRuehl" w:hint="cs" w:cs="FrankRuehl"/>
          <w:szCs w:val="22"/>
          <w:rtl w:val="true"/>
        </w:rPr>
        <w:t xml:space="preserve">ל דהוא משום דעניבה בקשירה לא מיחלפא </w:t>
      </w:r>
      <w:r>
        <w:rPr>
          <w:rFonts w:cs="FrankRuehl" w:hint="cs" w:ascii="FrankRuehl" w:hAnsi="FrankRuehl"/>
          <w:szCs w:val="22"/>
          <w:rtl w:val="true"/>
        </w:rPr>
        <w:t>(</w:t>
      </w:r>
      <w:r>
        <w:rPr>
          <w:rFonts w:ascii="FrankRuehl" w:hAnsi="FrankRuehl" w:hint="cs" w:cs="FrankRuehl"/>
          <w:szCs w:val="22"/>
          <w:rtl w:val="true"/>
        </w:rPr>
        <w:t>כמו שאמרו בשבת קי</w:t>
      </w:r>
      <w:r>
        <w:rPr>
          <w:rFonts w:cs="FrankRuehl" w:hint="cs" w:ascii="FrankRuehl" w:hAnsi="FrankRuehl"/>
          <w:szCs w:val="22"/>
          <w:rtl w:val="true"/>
        </w:rPr>
        <w:t>"</w:t>
      </w:r>
      <w:r>
        <w:rPr>
          <w:rFonts w:ascii="FrankRuehl" w:hAnsi="FrankRuehl" w:hint="cs" w:cs="FrankRuehl"/>
          <w:szCs w:val="22"/>
          <w:rtl w:val="true"/>
        </w:rPr>
        <w:t>ג א</w:t>
      </w:r>
      <w:r>
        <w:rPr>
          <w:rFonts w:cs="FrankRuehl" w:hint="cs" w:ascii="FrankRuehl" w:hAnsi="FrankRuehl"/>
          <w:szCs w:val="22"/>
          <w:rtl w:val="true"/>
        </w:rPr>
        <w:t xml:space="preserve">'), </w:t>
      </w:r>
      <w:r>
        <w:rPr>
          <w:rFonts w:ascii="FrankRuehl" w:hAnsi="FrankRuehl" w:hint="cs" w:cs="FrankRuehl"/>
          <w:szCs w:val="22"/>
          <w:rtl w:val="true"/>
        </w:rPr>
        <w:t>וע</w:t>
      </w:r>
      <w:r>
        <w:rPr>
          <w:rFonts w:cs="FrankRuehl" w:hint="cs" w:ascii="FrankRuehl" w:hAnsi="FrankRuehl"/>
          <w:szCs w:val="22"/>
          <w:rtl w:val="true"/>
        </w:rPr>
        <w:t>"</w:t>
      </w:r>
      <w:r>
        <w:rPr>
          <w:rFonts w:ascii="FrankRuehl" w:hAnsi="FrankRuehl" w:hint="cs" w:cs="FrankRuehl"/>
          <w:szCs w:val="22"/>
          <w:rtl w:val="true"/>
        </w:rPr>
        <w:t>כ לא אסרו רבנן בזה</w:t>
      </w:r>
      <w:r>
        <w:rPr>
          <w:rFonts w:cs="FrankRuehl" w:hint="cs" w:ascii="FrankRuehl" w:hAnsi="FrankRuehl"/>
          <w:szCs w:val="22"/>
          <w:rtl w:val="true"/>
        </w:rPr>
        <w:t xml:space="preserve">, </w:t>
      </w:r>
      <w:r>
        <w:rPr>
          <w:rFonts w:ascii="FrankRuehl" w:hAnsi="FrankRuehl" w:hint="cs" w:cs="FrankRuehl"/>
          <w:szCs w:val="22"/>
          <w:rtl w:val="true"/>
        </w:rPr>
        <w:t>ומשא</w:t>
      </w:r>
      <w:r>
        <w:rPr>
          <w:rFonts w:cs="FrankRuehl" w:hint="cs" w:ascii="FrankRuehl" w:hAnsi="FrankRuehl"/>
          <w:szCs w:val="22"/>
          <w:rtl w:val="true"/>
        </w:rPr>
        <w:t>"</w:t>
      </w:r>
      <w:r>
        <w:rPr>
          <w:rFonts w:ascii="FrankRuehl" w:hAnsi="FrankRuehl" w:hint="cs" w:cs="FrankRuehl"/>
          <w:szCs w:val="22"/>
          <w:rtl w:val="true"/>
        </w:rPr>
        <w:t>כ בקשר שיכול להתירו בידו אחת דאסרו בו רבנן משום דמיחלף בקשר מהודק</w:t>
      </w:r>
      <w:r>
        <w:rPr>
          <w:rFonts w:cs="FrankRuehl" w:hint="cs" w:ascii="FrankRuehl" w:hAnsi="FrankRuehl"/>
          <w:szCs w:val="22"/>
          <w:rtl w:val="true"/>
        </w:rPr>
        <w:t>.</w:t>
      </w:r>
    </w:p>
  </w:footnote>
  <w:footnote w:id="3">
    <w:p>
      <w:pPr>
        <w:pStyle w:val="FootnoteText"/>
        <w:spacing w:lineRule="exact" w:line="300" w:before="0" w:after="120"/>
        <w:ind w:end="0"/>
        <w:jc w:val="both"/>
        <w:rPr>
          <w:rFonts w:ascii="FrankRuehl" w:hAnsi="FrankRuehl" w:cs="FrankRuehl" w:hint="cs"/>
          <w:sz w:val="22"/>
          <w:szCs w:val="22"/>
        </w:rPr>
      </w:pPr>
      <w:r>
        <w:rPr>
          <w:rStyle w:val="FootnoteCharacters"/>
        </w:rPr>
        <w:footnoteRef/>
      </w:r>
      <w:r>
        <w:rPr>
          <w:rFonts w:cs="FrankRuehl" w:hint="cs" w:ascii="FrankRuehl" w:hAnsi="FrankRuehl"/>
          <w:rtl w:val="true"/>
        </w:rPr>
        <w:t xml:space="preserve"> </w:t>
      </w:r>
      <w:r>
        <w:rPr>
          <w:rFonts w:ascii="FrankRuehl" w:hAnsi="FrankRuehl" w:hint="cs" w:cs="FrankRuehl"/>
          <w:sz w:val="22"/>
          <w:szCs w:val="22"/>
          <w:rtl w:val="true"/>
        </w:rPr>
        <w:t>וצ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>ל דל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>ד לפותל חבלים שכתב הרמב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>ם בפ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>י משבת ה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>ח דה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>ז תולדת קושר</w:t>
      </w:r>
      <w:r>
        <w:rPr>
          <w:rFonts w:cs="FrankRuehl" w:hint="cs" w:ascii="FrankRuehl" w:hAnsi="FrankRuehl"/>
          <w:sz w:val="22"/>
          <w:szCs w:val="22"/>
          <w:rtl w:val="true"/>
        </w:rPr>
        <w:t xml:space="preserve">, </w:t>
      </w:r>
      <w:r>
        <w:rPr>
          <w:rFonts w:ascii="FrankRuehl" w:hAnsi="FrankRuehl" w:hint="cs" w:cs="FrankRuehl"/>
          <w:sz w:val="22"/>
          <w:szCs w:val="22"/>
          <w:rtl w:val="true"/>
        </w:rPr>
        <w:t>אף דל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>ה כן במשכן</w:t>
      </w:r>
      <w:r>
        <w:rPr>
          <w:rFonts w:cs="FrankRuehl" w:hint="cs" w:ascii="FrankRuehl" w:hAnsi="FrankRuehl"/>
          <w:sz w:val="22"/>
          <w:szCs w:val="22"/>
          <w:rtl w:val="true"/>
        </w:rPr>
        <w:t xml:space="preserve">, </w:t>
      </w:r>
      <w:r>
        <w:rPr>
          <w:rFonts w:ascii="FrankRuehl" w:hAnsi="FrankRuehl" w:hint="cs" w:cs="FrankRuehl"/>
          <w:sz w:val="22"/>
          <w:szCs w:val="22"/>
          <w:rtl w:val="true"/>
        </w:rPr>
        <w:t>והיינו משום דרק בעניבה דאינה קשירה מעליא הוא דאמרינן דכיון דל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>ה כן במשכן אינה בכלל מלאכת קושר</w:t>
      </w:r>
      <w:r>
        <w:rPr>
          <w:rFonts w:cs="FrankRuehl" w:hint="cs" w:ascii="FrankRuehl" w:hAnsi="FrankRuehl"/>
          <w:sz w:val="22"/>
          <w:szCs w:val="22"/>
          <w:rtl w:val="true"/>
        </w:rPr>
        <w:t>.</w:t>
      </w:r>
    </w:p>
  </w:footnote>
  <w:footnote w:id="4">
    <w:p>
      <w:pPr>
        <w:pStyle w:val="FootnoteText"/>
        <w:spacing w:lineRule="exact" w:line="300" w:before="0" w:after="120"/>
        <w:ind w:end="0"/>
        <w:jc w:val="both"/>
        <w:rPr>
          <w:rFonts w:ascii="FrankRuehl" w:hAnsi="FrankRuehl" w:cs="FrankRuehl" w:hint="cs"/>
          <w:sz w:val="22"/>
          <w:szCs w:val="22"/>
        </w:rPr>
      </w:pPr>
      <w:r>
        <w:rPr>
          <w:rStyle w:val="FootnoteCharacters"/>
        </w:rPr>
        <w:footnoteRef/>
      </w:r>
      <w:r>
        <w:rPr>
          <w:rFonts w:cs="FrankRuehl" w:hint="cs" w:ascii="FrankRuehl" w:hAnsi="FrankRuehl"/>
          <w:rtl w:val="true"/>
        </w:rPr>
        <w:t xml:space="preserve"> </w:t>
      </w:r>
      <w:r>
        <w:rPr>
          <w:rFonts w:ascii="FrankRuehl" w:hAnsi="FrankRuehl" w:hint="cs" w:cs="FrankRuehl"/>
          <w:sz w:val="22"/>
          <w:szCs w:val="22"/>
          <w:rtl w:val="true"/>
        </w:rPr>
        <w:t>צ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>ע ממה שאמרו בשבת כ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>ג א</w:t>
      </w:r>
      <w:r>
        <w:rPr>
          <w:rFonts w:cs="FrankRuehl" w:hint="cs" w:ascii="FrankRuehl" w:hAnsi="FrankRuehl"/>
          <w:sz w:val="22"/>
          <w:szCs w:val="22"/>
          <w:rtl w:val="true"/>
        </w:rPr>
        <w:t xml:space="preserve">' </w:t>
      </w:r>
      <w:r>
        <w:rPr>
          <w:rFonts w:ascii="FrankRuehl" w:hAnsi="FrankRuehl" w:hint="cs" w:cs="FrankRuehl"/>
          <w:sz w:val="22"/>
          <w:szCs w:val="22"/>
          <w:rtl w:val="true"/>
        </w:rPr>
        <w:t>דא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 xml:space="preserve">ר זירא </w:t>
      </w:r>
      <w:r>
        <w:rPr>
          <w:rFonts w:ascii="FrankRuehl" w:hAnsi="FrankRuehl" w:cs="FrankRuehl"/>
          <w:sz w:val="22"/>
          <w:szCs w:val="22"/>
          <w:rtl w:val="true"/>
        </w:rPr>
        <w:t>מריש כי הוינא בי רב משתתפנא בפריטי בהדי אושפיזא בתר דנסיבי איתתא אמינא השתא ודאי לא צריכנא דקא מדליקי עלי בגו ביתאי</w:t>
      </w:r>
      <w:r>
        <w:rPr>
          <w:rFonts w:cs="FrankRuehl" w:hint="cs" w:ascii="FrankRuehl" w:hAnsi="FrankRuehl"/>
          <w:sz w:val="22"/>
          <w:szCs w:val="22"/>
          <w:rtl w:val="true"/>
        </w:rPr>
        <w:t xml:space="preserve">, </w:t>
      </w:r>
      <w:r>
        <w:rPr>
          <w:rFonts w:ascii="FrankRuehl" w:hAnsi="FrankRuehl" w:hint="cs" w:cs="FrankRuehl"/>
          <w:sz w:val="22"/>
          <w:szCs w:val="22"/>
          <w:rtl w:val="true"/>
        </w:rPr>
        <w:t>והרי דקודם שנשא אשה הוצרך להשתתף ולא נפטר במה שהדליקו אביו ואמו בביתו</w:t>
      </w:r>
      <w:r>
        <w:rPr>
          <w:rFonts w:cs="FrankRuehl" w:hint="cs" w:ascii="FrankRuehl" w:hAnsi="FrankRuehl"/>
          <w:sz w:val="22"/>
          <w:szCs w:val="22"/>
          <w:rtl w:val="true"/>
        </w:rPr>
        <w:t xml:space="preserve">, </w:t>
      </w:r>
      <w:r>
        <w:rPr>
          <w:rFonts w:ascii="FrankRuehl" w:hAnsi="FrankRuehl" w:hint="cs" w:cs="FrankRuehl"/>
          <w:sz w:val="22"/>
          <w:szCs w:val="22"/>
          <w:rtl w:val="true"/>
        </w:rPr>
        <w:t>ובס</w:t>
      </w:r>
      <w:r>
        <w:rPr>
          <w:rFonts w:cs="FrankRuehl" w:hint="cs" w:ascii="FrankRuehl" w:hAnsi="FrankRuehl"/>
          <w:sz w:val="22"/>
          <w:szCs w:val="22"/>
          <w:rtl w:val="true"/>
        </w:rPr>
        <w:t xml:space="preserve">' </w:t>
      </w:r>
      <w:r>
        <w:rPr>
          <w:rFonts w:ascii="FrankRuehl" w:hAnsi="FrankRuehl" w:hint="cs" w:cs="FrankRuehl"/>
          <w:sz w:val="22"/>
          <w:szCs w:val="22"/>
          <w:rtl w:val="true"/>
        </w:rPr>
        <w:t>שלמי תודה סימן י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>ט סק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>א כתב לישב</w:t>
      </w:r>
      <w:r>
        <w:rPr>
          <w:rFonts w:cs="FrankRuehl" w:hint="cs" w:ascii="FrankRuehl" w:hAnsi="FrankRuehl"/>
          <w:sz w:val="22"/>
          <w:szCs w:val="22"/>
          <w:rtl w:val="true"/>
        </w:rPr>
        <w:t xml:space="preserve">, </w:t>
      </w:r>
      <w:r>
        <w:rPr>
          <w:rFonts w:ascii="FrankRuehl" w:hAnsi="FrankRuehl" w:hint="cs" w:cs="FrankRuehl"/>
          <w:sz w:val="22"/>
          <w:szCs w:val="22"/>
          <w:rtl w:val="true"/>
        </w:rPr>
        <w:t>לפ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>מ שאמרו בירושלמי בפ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>ק דקידושין דר</w:t>
      </w:r>
      <w:r>
        <w:rPr>
          <w:rFonts w:cs="FrankRuehl" w:hint="cs" w:ascii="FrankRuehl" w:hAnsi="FrankRuehl"/>
          <w:sz w:val="22"/>
          <w:szCs w:val="22"/>
          <w:rtl w:val="true"/>
        </w:rPr>
        <w:t xml:space="preserve">' </w:t>
      </w:r>
      <w:r>
        <w:rPr>
          <w:rFonts w:ascii="FrankRuehl" w:hAnsi="FrankRuehl" w:hint="cs" w:cs="FrankRuehl"/>
          <w:sz w:val="22"/>
          <w:szCs w:val="22"/>
          <w:rtl w:val="true"/>
        </w:rPr>
        <w:t>זירא ל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>ה לו אב ואם</w:t>
      </w:r>
      <w:r>
        <w:rPr>
          <w:rFonts w:cs="FrankRuehl" w:hint="cs" w:ascii="FrankRuehl" w:hAnsi="FrankRuehl"/>
          <w:sz w:val="22"/>
          <w:szCs w:val="22"/>
          <w:rtl w:val="true"/>
        </w:rPr>
        <w:t xml:space="preserve">, </w:t>
      </w:r>
      <w:r>
        <w:rPr>
          <w:rFonts w:ascii="FrankRuehl" w:hAnsi="FrankRuehl" w:hint="cs" w:cs="FrankRuehl"/>
          <w:sz w:val="22"/>
          <w:szCs w:val="22"/>
          <w:rtl w:val="true"/>
        </w:rPr>
        <w:t>וע</w:t>
      </w:r>
      <w:r>
        <w:rPr>
          <w:rFonts w:cs="FrankRuehl" w:hint="cs" w:ascii="FrankRuehl" w:hAnsi="FrankRuehl"/>
          <w:sz w:val="22"/>
          <w:szCs w:val="22"/>
          <w:rtl w:val="true"/>
        </w:rPr>
        <w:t>"</w:t>
      </w:r>
      <w:r>
        <w:rPr>
          <w:rFonts w:ascii="FrankRuehl" w:hAnsi="FrankRuehl" w:hint="cs" w:cs="FrankRuehl"/>
          <w:sz w:val="22"/>
          <w:szCs w:val="22"/>
          <w:rtl w:val="true"/>
        </w:rPr>
        <w:t>כ הוא שהוצרך להשתתף</w:t>
      </w:r>
      <w:r>
        <w:rPr>
          <w:rFonts w:cs="FrankRuehl" w:hint="cs" w:ascii="FrankRuehl" w:hAnsi="FrankRuehl"/>
          <w:sz w:val="22"/>
          <w:szCs w:val="22"/>
          <w:rtl w:val="true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360"/>
      <w:jc w:val="start"/>
      <w:rPr/>
    </w:pPr>
    <w:r>
      <w:rPr>
        <w:rtl w:val="true"/>
      </w:rPr>
      <w:t>בס</w:t>
    </w:r>
    <w:r>
      <w:rPr>
        <w:rtl w:val="true"/>
      </w:rPr>
      <w:t>"</w:t>
    </w:r>
    <w:r>
      <w:rPr>
        <w:rtl w:val="true"/>
      </w:rPr>
      <w:t>ד</w:t>
    </w:r>
    <w:r>
      <mc:AlternateContent>
        <mc:Choice Requires="wps">
          <w:drawing>
            <wp:anchor distT="0" distB="0" distL="0" distR="0" simplePos="0" relativeHeight="8" behindDoc="0" locked="0" layoutInCell="0" allowOverlap="1">
              <wp:simplePos x="0" y="0"/>
              <wp:positionH relativeFrom="column">
                <wp:align>left</wp:align>
              </wp:positionH>
              <wp:positionV relativeFrom="paragraph">
                <wp:posOffset>635</wp:posOffset>
              </wp:positionV>
              <wp:extent cx="70485" cy="16065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485" cy="1606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ind w:end="0"/>
                            <w:jc w:val="start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t>7</w: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55pt;height:12.65pt;mso-wrap-distance-left:0pt;mso-wrap-distance-right:0pt;mso-wrap-distance-top:0pt;mso-wrap-distance-bottom:0pt;margin-top:0.05pt;mso-position-vertical-relative:text;margin-left:0pt;mso-position-horizontal:left;mso-position-horizontal-relative:text">
              <v:fill opacity="0f"/>
              <v:textbox inset="0in,0in,0in,0in">
                <w:txbxContent>
                  <w:p>
                    <w:pPr>
                      <w:pStyle w:val="Header"/>
                      <w:ind w:end="0"/>
                      <w:jc w:val="start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Style w:val="PageNumber"/>
                        <w:rtl w:val="true"/>
                      </w:rPr>
                      <w:instrText xml:space="preserve"> PAGE </w:instrText>
                    </w:r>
                    <w:r>
                      <w:rPr>
                        <w:rStyle w:val="PageNumber"/>
                        <w:rtl w:val="true"/>
                      </w:rPr>
                      <w:fldChar w:fldCharType="separate"/>
                    </w:r>
                    <w:r>
                      <w:rPr>
                        <w:rStyle w:val="PageNumber"/>
                        <w:rtl w:val="true"/>
                      </w:rPr>
                      <w:t>7</w:t>
                    </w:r>
                    <w:r>
                      <w:rPr>
                        <w:rStyle w:val="PageNumber"/>
                        <w:rtl w:val="true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end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90"/>
  <w:gutterAtTop/>
  <w:defaultTabStop w:val="720"/>
  <w:autoHyphenation w:val="true"/>
  <w:hyphenationZone w:val="0"/>
  <w:footnotePr>
    <w:numFmt w:val="hebrew1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76" w:before="0" w:after="200"/>
      <w:ind w:hanging="0" w:start="0" w:end="0"/>
      <w:jc w:val="start"/>
    </w:pPr>
    <w:rPr>
      <w:rFonts w:ascii="Calibri" w:hAnsi="Calibri" w:eastAsia="Calibri" w:cs="FrankRuehl"/>
      <w:color w:val="auto"/>
      <w:sz w:val="22"/>
      <w:szCs w:val="22"/>
      <w:lang w:bidi="he-IL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240" w:after="0"/>
      <w:ind w:hanging="0" w:start="0" w:end="0"/>
      <w:jc w:val="center"/>
      <w:outlineLvl w:val="0"/>
    </w:pPr>
    <w:rPr>
      <w:rFonts w:ascii="Cambria" w:hAnsi="Cambria" w:eastAsia="Times New Roman" w:cs="Times New Roman"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360" w:before="40" w:after="0"/>
      <w:ind w:hanging="0" w:start="0" w:end="0"/>
      <w:jc w:val="center"/>
      <w:outlineLvl w:val="1"/>
    </w:pPr>
    <w:rPr>
      <w:rFonts w:ascii="FrankRuehl" w:hAnsi="FrankRuehl" w:eastAsia="Times New Roman" w:cs="FrankRuehl"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360" w:before="40" w:after="120"/>
      <w:ind w:hanging="0" w:start="360" w:end="0"/>
      <w:jc w:val="center"/>
      <w:outlineLvl w:val="2"/>
    </w:pPr>
    <w:rPr>
      <w:rFonts w:ascii="Cambria" w:hAnsi="Cambria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40" w:after="0"/>
      <w:ind w:hanging="0" w:start="0" w:end="0"/>
      <w:jc w:val="center"/>
      <w:outlineLvl w:val="3"/>
    </w:pPr>
    <w:rPr>
      <w:rFonts w:ascii="Cambria" w:hAnsi="Cambria" w:eastAsia="Times New Roman" w:cs="Times New Roman"/>
      <w:b/>
      <w:bCs/>
      <w:i/>
      <w:color w:val="000000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200" w:after="0"/>
      <w:ind w:hanging="0" w:start="0" w:end="0"/>
      <w:jc w:val="both"/>
      <w:outlineLvl w:val="4"/>
    </w:pPr>
    <w:rPr>
      <w:rFonts w:ascii="Cambria" w:hAnsi="Cambria" w:eastAsia="Times New Roman" w:cs="Times New Roman"/>
      <w:color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0"/>
      <w:ind w:hanging="0" w:start="0" w:end="0"/>
      <w:jc w:val="both"/>
      <w:outlineLvl w:val="5"/>
    </w:pPr>
    <w:rPr>
      <w:rFonts w:ascii="Cambria" w:hAnsi="Cambria" w:eastAsia="Times New Roman" w:cs="Times New Roman"/>
      <w:i/>
      <w:iCs/>
      <w:color w:val="243F60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Calibri" w:hAnsi="Calibri" w:eastAsia="Calibri" w:cs="FrankRueh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sz w:val="8"/>
      <w:szCs w:val="26"/>
    </w:rPr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>
      <w:b/>
      <w:bCs/>
    </w:rPr>
  </w:style>
  <w:style w:type="character" w:styleId="WW8Num9z0">
    <w:name w:val="WW8Num9z0"/>
    <w:qFormat/>
    <w:rPr/>
  </w:style>
  <w:style w:type="character" w:styleId="WW8Num10z0">
    <w:name w:val="WW8Num10z0"/>
    <w:qFormat/>
    <w:rPr>
      <w:b/>
      <w:sz w:val="22"/>
    </w:rPr>
  </w:style>
  <w:style w:type="character" w:styleId="WW8Num11z0">
    <w:name w:val="WW8Num11z0"/>
    <w:qFormat/>
    <w:rPr>
      <w:rFonts w:ascii="FrankRuehl" w:hAnsi="FrankRuehl" w:eastAsia="Times New Roman" w:cs="FrankRueh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Calibri" w:hAnsi="Calibri" w:eastAsia="Calibri" w:cs="David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Calibri" w:hAnsi="Calibri" w:eastAsia="Calibri" w:cs="FrankRueh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Calibri" w:hAnsi="Calibri" w:eastAsia="Calibri" w:cs="FrankRueh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/>
  </w:style>
  <w:style w:type="character" w:styleId="Style8">
    <w:name w:val="גופן ברירת המחדל של פיסקה"/>
    <w:qFormat/>
    <w:rPr/>
  </w:style>
  <w:style w:type="character" w:styleId="Style9">
    <w:name w:val="כותרת עליונה תו"/>
    <w:qFormat/>
    <w:rPr>
      <w:rFonts w:ascii="Times New Roman" w:hAnsi="Times New Roman" w:eastAsia="SimSun;宋体" w:cs="Times New Roman"/>
      <w:sz w:val="22"/>
      <w:szCs w:val="22"/>
    </w:rPr>
  </w:style>
  <w:style w:type="character" w:styleId="1">
    <w:name w:val="כותרת עליונה תו1"/>
    <w:qFormat/>
    <w:rPr>
      <w:sz w:val="22"/>
      <w:szCs w:val="22"/>
    </w:rPr>
  </w:style>
  <w:style w:type="character" w:styleId="PageNumber">
    <w:name w:val="page number"/>
    <w:rPr/>
  </w:style>
  <w:style w:type="character" w:styleId="Style10">
    <w:name w:val="טקסט הערת שוליים תו"/>
    <w:qFormat/>
    <w:rPr>
      <w:rFonts w:ascii="Times New Roman" w:hAnsi="Times New Roman" w:eastAsia="SimSun;宋体" w:cs="Times New Roman"/>
    </w:rPr>
  </w:style>
  <w:style w:type="character" w:styleId="FootnoteCharacters">
    <w:name w:val="Footnote Characters"/>
    <w:qFormat/>
    <w:rPr>
      <w:vertAlign w:val="superscript"/>
    </w:rPr>
  </w:style>
  <w:style w:type="character" w:styleId="Style11">
    <w:name w:val="כותרת תחתונה תו"/>
    <w:qFormat/>
    <w:rPr>
      <w:sz w:val="22"/>
      <w:szCs w:val="22"/>
    </w:rPr>
  </w:style>
  <w:style w:type="character" w:styleId="11">
    <w:name w:val="כותרת 1 תו"/>
    <w:qFormat/>
    <w:rPr>
      <w:rFonts w:ascii="Cambria" w:hAnsi="Cambria" w:eastAsia="Times New Roman" w:cs="Times New Roman"/>
      <w:bCs/>
      <w:sz w:val="32"/>
      <w:szCs w:val="32"/>
    </w:rPr>
  </w:style>
  <w:style w:type="character" w:styleId="2">
    <w:name w:val="כותרת 2 תו"/>
    <w:qFormat/>
    <w:rPr>
      <w:rFonts w:ascii="FrankRuehl" w:hAnsi="FrankRuehl" w:eastAsia="Times New Roman" w:cs="FrankRuehl"/>
      <w:bCs/>
      <w:sz w:val="30"/>
      <w:szCs w:val="30"/>
    </w:rPr>
  </w:style>
  <w:style w:type="character" w:styleId="3">
    <w:name w:val="כותרת 3 תו"/>
    <w:qFormat/>
    <w:rPr>
      <w:rFonts w:ascii="Cambria" w:hAnsi="Cambria" w:eastAsia="Times New Roman" w:cs="Times New Roman"/>
      <w:b/>
      <w:bCs/>
      <w:color w:val="000000"/>
      <w:sz w:val="24"/>
      <w:szCs w:val="24"/>
    </w:rPr>
  </w:style>
  <w:style w:type="character" w:styleId="4">
    <w:name w:val="כותרת 4 תו"/>
    <w:qFormat/>
    <w:rPr>
      <w:rFonts w:ascii="Cambria" w:hAnsi="Cambria" w:eastAsia="Times New Roman" w:cs="Times New Roman"/>
      <w:b/>
      <w:bCs/>
      <w:i/>
      <w:color w:val="000000"/>
      <w:sz w:val="22"/>
      <w:szCs w:val="22"/>
    </w:rPr>
  </w:style>
  <w:style w:type="character" w:styleId="Style12">
    <w:name w:val="כותרת משנה תו"/>
    <w:qFormat/>
    <w:rPr>
      <w:rFonts w:eastAsia="Times New Roman" w:cs="Arial"/>
      <w:color w:val="5A5A5A"/>
      <w:spacing w:val="15"/>
      <w:sz w:val="22"/>
      <w:szCs w:val="22"/>
    </w:rPr>
  </w:style>
  <w:style w:type="character" w:styleId="Hyperlink">
    <w:name w:val="Hyperlink"/>
    <w:rPr>
      <w:color w:val="0000FF"/>
      <w:u w:val="single"/>
    </w:rPr>
  </w:style>
  <w:style w:type="character" w:styleId="Style13">
    <w:name w:val="טקסט בלונים תו"/>
    <w:qFormat/>
    <w:rPr>
      <w:rFonts w:ascii="Tahoma" w:hAnsi="Tahoma" w:cs="Tahoma"/>
      <w:sz w:val="18"/>
      <w:szCs w:val="18"/>
    </w:rPr>
  </w:style>
  <w:style w:type="character" w:styleId="Style14">
    <w:name w:val="הפניה להערה"/>
    <w:qFormat/>
    <w:rPr>
      <w:sz w:val="16"/>
      <w:szCs w:val="16"/>
    </w:rPr>
  </w:style>
  <w:style w:type="character" w:styleId="Style15">
    <w:name w:val="טקסט הערה תו"/>
    <w:qFormat/>
    <w:rPr>
      <w:rFonts w:ascii="Times New Roman" w:hAnsi="Times New Roman" w:eastAsia="Times New Roman" w:cs="Times New Roman"/>
    </w:rPr>
  </w:style>
  <w:style w:type="character" w:styleId="Style16">
    <w:name w:val="נושא הערה תו"/>
    <w:qFormat/>
    <w:rPr>
      <w:rFonts w:ascii="Times New Roman" w:hAnsi="Times New Roman" w:eastAsia="Times New Roman" w:cs="Times New Roman"/>
      <w:b/>
      <w:bCs/>
    </w:rPr>
  </w:style>
  <w:style w:type="character" w:styleId="5">
    <w:name w:val="כותרת 5 תו"/>
    <w:qFormat/>
    <w:rPr>
      <w:rFonts w:ascii="Cambria" w:hAnsi="Cambria" w:eastAsia="Times New Roman" w:cs="Times New Roman"/>
      <w:color w:val="243F60"/>
      <w:sz w:val="22"/>
      <w:szCs w:val="22"/>
    </w:rPr>
  </w:style>
  <w:style w:type="character" w:styleId="6">
    <w:name w:val="כותרת 6 תו"/>
    <w:qFormat/>
    <w:rPr>
      <w:rFonts w:ascii="Cambria" w:hAnsi="Cambria" w:eastAsia="Times New Roman" w:cs="Times New Roman"/>
      <w:i/>
      <w:iCs/>
      <w:color w:val="243F60"/>
      <w:sz w:val="22"/>
      <w:szCs w:val="22"/>
    </w:rPr>
  </w:style>
  <w:style w:type="character" w:styleId="12">
    <w:name w:val="טקסט הערת שוליים תו1"/>
    <w:basedOn w:val="Style8"/>
    <w:qFormat/>
    <w:rPr/>
  </w:style>
  <w:style w:type="character" w:styleId="Style17">
    <w:name w:val="גוף טקסט תו"/>
    <w:qFormat/>
    <w:rPr>
      <w:rFonts w:ascii="Times New Roman" w:hAnsi="Times New Roman" w:eastAsia="Times New Roman" w:cs="Miriam"/>
      <w:szCs w:val="22"/>
    </w:rPr>
  </w:style>
  <w:style w:type="character" w:styleId="-">
    <w:name w:val="מראה מקומות - ביאורים"/>
    <w:qFormat/>
    <w:rPr>
      <w:rFonts w:ascii="David" w:hAnsi="David" w:cs="David"/>
      <w:sz w:val="18"/>
      <w:szCs w:val="18"/>
    </w:rPr>
  </w:style>
  <w:style w:type="character" w:styleId="--">
    <w:name w:val="מ&quot;מ - הערות - ביאורים"/>
    <w:qFormat/>
    <w:rPr>
      <w:sz w:val="8"/>
      <w:szCs w:val="12"/>
    </w:rPr>
  </w:style>
  <w:style w:type="character" w:styleId="Style18">
    <w:name w:val="סוגריים"/>
    <w:qFormat/>
    <w:rPr>
      <w:rFonts w:ascii="David" w:hAnsi="David" w:cs="David"/>
      <w:sz w:val="18"/>
      <w:szCs w:val="18"/>
    </w:rPr>
  </w:style>
  <w:style w:type="character" w:styleId="Style19">
    <w:name w:val="אות גדולה"/>
    <w:qFormat/>
    <w:rPr>
      <w:rFonts w:cs="Aharoni"/>
      <w:sz w:val="28"/>
      <w:szCs w:val="28"/>
    </w:rPr>
  </w:style>
  <w:style w:type="character" w:styleId="Style20">
    <w:name w:val="אות קטנה"/>
    <w:qFormat/>
    <w:rPr>
      <w:rFonts w:ascii="Aharoni" w:hAnsi="Aharoni" w:cs="Aharoni"/>
      <w:b/>
      <w:bCs/>
      <w:sz w:val="24"/>
      <w:szCs w:val="24"/>
    </w:rPr>
  </w:style>
  <w:style w:type="character" w:styleId="13">
    <w:name w:val="ציטוט1"/>
    <w:qFormat/>
    <w:rPr>
      <w:rFonts w:ascii="Times New Roman" w:hAnsi="Times New Roman" w:cs="Times New Roman"/>
      <w:b/>
      <w:bCs/>
    </w:rPr>
  </w:style>
  <w:style w:type="character" w:styleId="Char">
    <w:name w:val="מספר הסימן Char"/>
    <w:qFormat/>
    <w:rPr>
      <w:rFonts w:cs="David"/>
      <w:b/>
      <w:bCs/>
      <w:sz w:val="32"/>
      <w:szCs w:val="32"/>
    </w:rPr>
  </w:style>
  <w:style w:type="character" w:styleId="Style31">
    <w:name w:val="Style3"/>
    <w:qFormat/>
    <w:rPr>
      <w:rFonts w:ascii="Aharoni" w:hAnsi="Aharoni" w:cs="David"/>
      <w:b/>
      <w:bCs/>
      <w:sz w:val="24"/>
    </w:rPr>
  </w:style>
  <w:style w:type="character" w:styleId="Style21">
    <w:name w:val="טקסט הערת סיום תו"/>
    <w:qFormat/>
    <w:rPr>
      <w:rFonts w:ascii="David" w:hAnsi="David" w:cs="David"/>
    </w:rPr>
  </w:style>
  <w:style w:type="character" w:styleId="14">
    <w:name w:val="טקסט הערת סיום תו1"/>
    <w:basedOn w:val="Style8"/>
    <w:qFormat/>
    <w:rPr/>
  </w:style>
  <w:style w:type="character" w:styleId="Style22">
    <w:name w:val="טקסט רגיל תו"/>
    <w:qFormat/>
    <w:rPr>
      <w:rFonts w:ascii="Courier New" w:hAnsi="Courier New" w:eastAsia="Times New Roman" w:cs="Courier New"/>
    </w:rPr>
  </w:style>
  <w:style w:type="character" w:styleId="FollowedHyperlink">
    <w:name w:val="FollowedHyperlink"/>
    <w:rPr>
      <w:color w:val="800080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40" w:before="0" w:after="0"/>
      <w:ind w:hanging="0" w:start="0" w:end="0"/>
      <w:jc w:val="both"/>
    </w:pPr>
    <w:rPr>
      <w:rFonts w:ascii="Times New Roman" w:hAnsi="Times New Roman" w:eastAsia="Times New Roman" w:cs="Miriam"/>
      <w:sz w:val="20"/>
    </w:rPr>
  </w:style>
  <w:style w:type="paragraph" w:styleId="List">
    <w:name w:val="List"/>
    <w:basedOn w:val="Normal"/>
    <w:pPr>
      <w:spacing w:before="0" w:after="120"/>
      <w:ind w:hanging="360" w:start="360" w:end="0"/>
      <w:contextualSpacing/>
      <w:jc w:val="both"/>
    </w:pPr>
    <w:rPr>
      <w:rFonts w:ascii="David" w:hAnsi="David" w:cs="David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ind w:hanging="0" w:start="0" w:end="0"/>
      <w:jc w:val="start"/>
    </w:pPr>
    <w:rPr>
      <w:rFonts w:ascii="Times New Roman" w:hAnsi="Times New Roman" w:eastAsia="SimSun;宋体" w:cs="Times New Roman"/>
    </w:rPr>
  </w:style>
  <w:style w:type="paragraph" w:styleId="FootnoteText">
    <w:name w:val="footnote text"/>
    <w:basedOn w:val="Normal"/>
    <w:pPr>
      <w:spacing w:lineRule="auto" w:line="240" w:before="0" w:after="0"/>
      <w:ind w:hanging="0" w:start="0" w:end="0"/>
      <w:jc w:val="start"/>
    </w:pPr>
    <w:rPr>
      <w:rFonts w:ascii="Times New Roman" w:hAnsi="Times New Roman" w:eastAsia="SimSun;宋体" w:cs="Times New Roman"/>
      <w:sz w:val="20"/>
      <w:szCs w:val="20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Subtitle">
    <w:name w:val="Subtitle"/>
    <w:basedOn w:val="Normal"/>
    <w:next w:val="Normal"/>
    <w:qFormat/>
    <w:pPr>
      <w:numPr>
        <w:ilvl w:val="0"/>
        <w:numId w:val="0"/>
      </w:numPr>
      <w:spacing w:before="0" w:after="160"/>
      <w:ind w:hanging="0" w:start="0" w:end="0"/>
      <w:jc w:val="center"/>
    </w:pPr>
    <w:rPr>
      <w:rFonts w:ascii="Calibri" w:hAnsi="Calibri" w:eastAsia="Times New Roman" w:cs="Arial"/>
      <w:color w:val="5A5A5A"/>
      <w:spacing w:val="15"/>
    </w:rPr>
  </w:style>
  <w:style w:type="paragraph" w:styleId="Style23">
    <w:name w:val="כותרת תוכן עניינים"/>
    <w:basedOn w:val="Heading1"/>
    <w:next w:val="Normal"/>
    <w:qFormat/>
    <w:pPr>
      <w:numPr>
        <w:ilvl w:val="0"/>
        <w:numId w:val="0"/>
      </w:numPr>
      <w:spacing w:lineRule="auto" w:line="257"/>
      <w:ind w:hanging="0" w:start="0" w:end="0"/>
      <w:jc w:val="start"/>
      <w:outlineLvl w:val="9"/>
    </w:pPr>
    <w:rPr>
      <w:rFonts w:ascii="Cambria" w:hAnsi="Cambria" w:eastAsia="Times New Roman" w:cs="Times New Roman"/>
      <w:bCs w:val="false"/>
      <w:color w:val="365F91"/>
    </w:rPr>
  </w:style>
  <w:style w:type="paragraph" w:styleId="TOC1">
    <w:name w:val="toc 1"/>
    <w:basedOn w:val="Normal"/>
    <w:next w:val="Normal"/>
    <w:pPr>
      <w:spacing w:before="0" w:after="100"/>
      <w:ind w:hanging="0" w:start="0" w:end="0"/>
      <w:jc w:val="both"/>
    </w:pPr>
    <w:rPr>
      <w:rFonts w:ascii="Calibri" w:hAnsi="Calibri" w:eastAsia="Calibri" w:cs="Arial"/>
    </w:rPr>
  </w:style>
  <w:style w:type="paragraph" w:styleId="TOC2">
    <w:name w:val="toc 2"/>
    <w:basedOn w:val="Normal"/>
    <w:next w:val="Normal"/>
    <w:pPr>
      <w:spacing w:before="0" w:after="100"/>
      <w:ind w:hanging="0" w:start="220" w:end="0"/>
      <w:jc w:val="both"/>
    </w:pPr>
    <w:rPr>
      <w:rFonts w:ascii="Calibri" w:hAnsi="Calibri" w:eastAsia="Calibri" w:cs="Arial"/>
    </w:rPr>
  </w:style>
  <w:style w:type="paragraph" w:styleId="TOC3">
    <w:name w:val="toc 3"/>
    <w:basedOn w:val="Normal"/>
    <w:next w:val="Normal"/>
    <w:pPr>
      <w:spacing w:before="0" w:after="100"/>
      <w:ind w:hanging="0" w:start="440" w:end="0"/>
      <w:jc w:val="both"/>
    </w:pPr>
    <w:rPr>
      <w:rFonts w:ascii="Calibri" w:hAnsi="Calibri" w:eastAsia="Calibri" w:cs="Arial"/>
    </w:rPr>
  </w:style>
  <w:style w:type="paragraph" w:styleId="Style24">
    <w:name w:val="טקסט בלונים"/>
    <w:basedOn w:val="Normal"/>
    <w:qFormat/>
    <w:pPr>
      <w:spacing w:lineRule="auto" w:line="240" w:before="0" w:after="0"/>
      <w:ind w:hanging="0" w:start="0" w:end="0"/>
      <w:jc w:val="both"/>
    </w:pPr>
    <w:rPr>
      <w:rFonts w:ascii="Tahoma" w:hAnsi="Tahoma" w:eastAsia="Calibri" w:cs="Tahoma"/>
      <w:sz w:val="18"/>
      <w:szCs w:val="18"/>
    </w:rPr>
  </w:style>
  <w:style w:type="paragraph" w:styleId="Style25">
    <w:name w:val="פיסקת רשימה"/>
    <w:basedOn w:val="Normal"/>
    <w:qFormat/>
    <w:pPr>
      <w:spacing w:lineRule="auto" w:line="257" w:before="0" w:after="160"/>
      <w:ind w:hanging="0" w:start="720" w:end="0"/>
      <w:contextualSpacing/>
      <w:jc w:val="both"/>
    </w:pPr>
    <w:rPr>
      <w:rFonts w:ascii="Calibri" w:hAnsi="Calibri" w:eastAsia="Calibri" w:cs="Arial"/>
    </w:rPr>
  </w:style>
  <w:style w:type="paragraph" w:styleId="Style26">
    <w:name w:val="טקסט הערה"/>
    <w:basedOn w:val="Normal"/>
    <w:qFormat/>
    <w:pPr>
      <w:spacing w:lineRule="auto" w:line="240" w:before="0" w:after="0"/>
      <w:ind w:hanging="0" w:start="0" w:end="0"/>
      <w:jc w:val="start"/>
    </w:pPr>
    <w:rPr>
      <w:rFonts w:ascii="Times New Roman" w:hAnsi="Times New Roman" w:eastAsia="Times New Roman" w:cs="Times New Roman"/>
      <w:sz w:val="20"/>
      <w:szCs w:val="20"/>
    </w:rPr>
  </w:style>
  <w:style w:type="paragraph" w:styleId="Style27">
    <w:name w:val="נושא הערה"/>
    <w:basedOn w:val="Style26"/>
    <w:next w:val="Style26"/>
    <w:qFormat/>
    <w:pPr>
      <w:ind w:hanging="0" w:start="0" w:end="0"/>
      <w:jc w:val="start"/>
    </w:pPr>
    <w:rPr>
      <w:b/>
      <w:bCs/>
    </w:rPr>
  </w:style>
  <w:style w:type="paragraph" w:styleId="Style28">
    <w:name w:val="שם דף"/>
    <w:basedOn w:val="Normal"/>
    <w:qFormat/>
    <w:pPr>
      <w:spacing w:before="0" w:after="120"/>
      <w:ind w:hanging="0" w:start="0" w:end="0"/>
      <w:jc w:val="center"/>
    </w:pPr>
    <w:rPr>
      <w:rFonts w:ascii="David" w:hAnsi="David" w:cs="David"/>
      <w:b/>
      <w:bCs/>
      <w:sz w:val="32"/>
      <w:szCs w:val="32"/>
      <w:u w:val="single"/>
    </w:rPr>
  </w:style>
  <w:style w:type="paragraph" w:styleId="Style29">
    <w:name w:val="כותרת משנית"/>
    <w:basedOn w:val="Normal"/>
    <w:qFormat/>
    <w:pPr>
      <w:spacing w:before="0" w:after="0"/>
      <w:ind w:hanging="0" w:start="0" w:end="0"/>
      <w:jc w:val="center"/>
    </w:pPr>
    <w:rPr>
      <w:rFonts w:ascii="David" w:hAnsi="David" w:cs="David"/>
      <w:b/>
      <w:bCs/>
      <w:sz w:val="20"/>
      <w:szCs w:val="20"/>
      <w:u w:val="single"/>
    </w:rPr>
  </w:style>
  <w:style w:type="paragraph" w:styleId="Style30">
    <w:name w:val="הערות שוליים"/>
    <w:basedOn w:val="FootnoteText"/>
    <w:qFormat/>
    <w:pPr>
      <w:ind w:hanging="0" w:start="0" w:end="0"/>
      <w:jc w:val="both"/>
    </w:pPr>
    <w:rPr>
      <w:rFonts w:ascii="Arial" w:hAnsi="Arial" w:eastAsia="Calibri" w:cs="Arial"/>
      <w:sz w:val="16"/>
      <w:szCs w:val="16"/>
    </w:rPr>
  </w:style>
  <w:style w:type="paragraph" w:styleId="-1">
    <w:name w:val="הערות שולים - גוף"/>
    <w:basedOn w:val="FootnoteText"/>
    <w:qFormat/>
    <w:pPr>
      <w:spacing w:before="0" w:after="200"/>
      <w:ind w:hanging="0" w:start="0" w:end="0"/>
      <w:jc w:val="both"/>
    </w:pPr>
    <w:rPr>
      <w:rFonts w:ascii="Calibri" w:hAnsi="Calibri" w:eastAsia="Calibri" w:cs="Times New Roman"/>
      <w:sz w:val="12"/>
      <w:szCs w:val="16"/>
    </w:rPr>
  </w:style>
  <w:style w:type="paragraph" w:styleId="Style110">
    <w:name w:val="Style1"/>
    <w:basedOn w:val="Normal"/>
    <w:qFormat/>
    <w:pPr>
      <w:spacing w:before="0" w:after="120"/>
      <w:ind w:hanging="0" w:start="0" w:end="0"/>
      <w:jc w:val="both"/>
    </w:pPr>
    <w:rPr>
      <w:rFonts w:ascii="David" w:hAnsi="David" w:cs="David"/>
      <w:bCs/>
      <w:sz w:val="36"/>
      <w:szCs w:val="28"/>
    </w:rPr>
  </w:style>
  <w:style w:type="paragraph" w:styleId="Style32">
    <w:name w:val="ערך משנית"/>
    <w:basedOn w:val="Normal"/>
    <w:qFormat/>
    <w:pPr>
      <w:spacing w:before="0" w:after="120"/>
      <w:ind w:hanging="0" w:start="0" w:end="0"/>
      <w:jc w:val="both"/>
    </w:pPr>
    <w:rPr>
      <w:rFonts w:ascii="Times New Roman" w:hAnsi="Times New Roman" w:cs="Times New Roman"/>
      <w:b/>
      <w:bCs/>
      <w:sz w:val="24"/>
      <w:szCs w:val="24"/>
      <w:u w:val="single"/>
    </w:rPr>
  </w:style>
  <w:style w:type="paragraph" w:styleId="Style33">
    <w:name w:val="רשימה מתובלטת"/>
    <w:basedOn w:val="Normal"/>
    <w:qFormat/>
    <w:pPr>
      <w:numPr>
        <w:ilvl w:val="0"/>
        <w:numId w:val="2"/>
      </w:numPr>
      <w:spacing w:before="0" w:after="120"/>
      <w:ind w:hanging="0" w:start="360" w:end="0"/>
      <w:contextualSpacing/>
      <w:jc w:val="both"/>
    </w:pPr>
    <w:rPr>
      <w:rFonts w:ascii="David" w:hAnsi="David" w:cs="David"/>
    </w:rPr>
  </w:style>
  <w:style w:type="paragraph" w:styleId="Style210">
    <w:name w:val="Style2"/>
    <w:basedOn w:val="Style28"/>
    <w:qFormat/>
    <w:pPr>
      <w:ind w:hanging="0" w:start="0" w:end="0"/>
      <w:jc w:val="center"/>
    </w:pPr>
    <w:rPr/>
  </w:style>
  <w:style w:type="paragraph" w:styleId="Style34">
    <w:name w:val="כותרת"/>
    <w:qFormat/>
    <w:pPr>
      <w:widowControl/>
      <w:bidi w:val="1"/>
      <w:spacing w:lineRule="auto" w:line="276" w:before="0" w:after="240"/>
      <w:ind w:hanging="0" w:start="0" w:end="0"/>
      <w:jc w:val="center"/>
    </w:pPr>
    <w:rPr>
      <w:rFonts w:ascii="Arial" w:hAnsi="Arial" w:eastAsia="Calibri" w:cs="Arial"/>
      <w:b/>
      <w:bCs/>
      <w:color w:val="auto"/>
      <w:sz w:val="26"/>
      <w:szCs w:val="26"/>
      <w:lang w:bidi="he-IL" w:val="en-US" w:eastAsia="zh-CN"/>
    </w:rPr>
  </w:style>
  <w:style w:type="paragraph" w:styleId="15">
    <w:name w:val="גוף1"/>
    <w:basedOn w:val="BodyText"/>
    <w:qFormat/>
    <w:pPr>
      <w:spacing w:lineRule="auto" w:line="276" w:before="0" w:after="120"/>
      <w:ind w:hanging="0" w:start="0" w:end="0"/>
      <w:jc w:val="both"/>
    </w:pPr>
    <w:rPr>
      <w:rFonts w:ascii="David" w:hAnsi="David" w:eastAsia="Calibri" w:cs="David"/>
      <w:sz w:val="22"/>
    </w:rPr>
  </w:style>
  <w:style w:type="paragraph" w:styleId="body-david">
    <w:name w:val="body - david"/>
    <w:basedOn w:val="Normal"/>
    <w:qFormat/>
    <w:pPr>
      <w:ind w:hanging="0" w:start="0" w:end="0"/>
      <w:jc w:val="both"/>
    </w:pPr>
    <w:rPr>
      <w:rFonts w:ascii="David" w:hAnsi="David" w:cs="David"/>
    </w:rPr>
  </w:style>
  <w:style w:type="paragraph" w:styleId="Style35">
    <w:name w:val="כותרת סוגיא"/>
    <w:qFormat/>
    <w:pPr>
      <w:widowControl/>
      <w:bidi w:val="1"/>
      <w:spacing w:lineRule="auto" w:line="276"/>
      <w:ind w:hanging="0" w:start="0" w:end="0"/>
      <w:jc w:val="center"/>
    </w:pPr>
    <w:rPr>
      <w:rFonts w:ascii="Miriam" w:hAnsi="Miriam" w:eastAsia="Calibri" w:cs="David"/>
      <w:b/>
      <w:bCs/>
      <w:color w:val="auto"/>
      <w:sz w:val="34"/>
      <w:szCs w:val="34"/>
      <w:lang w:bidi="he-IL" w:val="en-US" w:eastAsia="zh-CN"/>
    </w:rPr>
  </w:style>
  <w:style w:type="paragraph" w:styleId="Style36">
    <w:name w:val="הערות שולים"/>
    <w:qFormat/>
    <w:pPr>
      <w:widowControl/>
      <w:bidi w:val="1"/>
      <w:ind w:hanging="0" w:start="0" w:end="0"/>
      <w:jc w:val="both"/>
    </w:pPr>
    <w:rPr>
      <w:rFonts w:ascii="Calibri" w:hAnsi="Calibri" w:eastAsia="Calibri" w:cs="Arial"/>
      <w:color w:val="auto"/>
      <w:sz w:val="16"/>
      <w:szCs w:val="16"/>
      <w:lang w:bidi="he-IL" w:val="en-US" w:eastAsia="zh-CN"/>
    </w:rPr>
  </w:style>
  <w:style w:type="paragraph" w:styleId="Style37">
    <w:name w:val="הערת שוליים"/>
    <w:basedOn w:val="FootnoteText"/>
    <w:qFormat/>
    <w:pPr>
      <w:ind w:hanging="0" w:start="0" w:end="0"/>
      <w:jc w:val="both"/>
    </w:pPr>
    <w:rPr>
      <w:rFonts w:ascii="Calibri" w:hAnsi="Calibri" w:eastAsia="Calibri" w:cs="Arial"/>
      <w:sz w:val="16"/>
      <w:szCs w:val="16"/>
    </w:rPr>
  </w:style>
  <w:style w:type="paragraph" w:styleId="Style38">
    <w:name w:val="הערות"/>
    <w:basedOn w:val="FootnoteText"/>
    <w:qFormat/>
    <w:pPr>
      <w:ind w:hanging="0" w:start="0" w:end="0"/>
      <w:jc w:val="both"/>
    </w:pPr>
    <w:rPr>
      <w:rFonts w:ascii="Calibri" w:hAnsi="Calibri" w:eastAsia="Calibri" w:cs="Arial"/>
      <w:sz w:val="16"/>
      <w:szCs w:val="16"/>
    </w:rPr>
  </w:style>
  <w:style w:type="paragraph" w:styleId="Style39">
    <w:name w:val="מספר הסימן"/>
    <w:basedOn w:val="Normal"/>
    <w:qFormat/>
    <w:pPr>
      <w:spacing w:before="0" w:after="0"/>
      <w:ind w:hanging="0" w:start="0" w:end="0"/>
      <w:jc w:val="center"/>
    </w:pPr>
    <w:rPr>
      <w:rFonts w:cs="David"/>
      <w:b/>
      <w:bCs/>
      <w:sz w:val="32"/>
      <w:szCs w:val="32"/>
    </w:rPr>
  </w:style>
  <w:style w:type="paragraph" w:styleId="Style40">
    <w:name w:val="שם סעיף"/>
    <w:basedOn w:val="Normal"/>
    <w:qFormat/>
    <w:pPr>
      <w:ind w:hanging="0" w:start="0" w:end="0"/>
      <w:jc w:val="both"/>
    </w:pPr>
    <w:rPr>
      <w:rFonts w:ascii="David" w:hAnsi="David" w:cs="David"/>
      <w:b/>
      <w:bCs/>
      <w:sz w:val="28"/>
      <w:szCs w:val="28"/>
    </w:rPr>
  </w:style>
  <w:style w:type="paragraph" w:styleId="Style41">
    <w:name w:val="סוגרים"/>
    <w:basedOn w:val="Normal"/>
    <w:qFormat/>
    <w:pPr>
      <w:ind w:hanging="0" w:start="0" w:end="0"/>
      <w:jc w:val="both"/>
    </w:pPr>
    <w:rPr>
      <w:rFonts w:cs="David"/>
      <w:sz w:val="18"/>
      <w:szCs w:val="18"/>
    </w:rPr>
  </w:style>
  <w:style w:type="paragraph" w:styleId="EndnoteText">
    <w:name w:val="endnote text"/>
    <w:basedOn w:val="Normal"/>
    <w:pPr>
      <w:spacing w:lineRule="auto" w:line="240" w:before="0" w:after="0"/>
      <w:ind w:hanging="0" w:start="0" w:end="0"/>
      <w:jc w:val="both"/>
    </w:pPr>
    <w:rPr>
      <w:rFonts w:ascii="David" w:hAnsi="David" w:cs="David"/>
      <w:sz w:val="20"/>
      <w:szCs w:val="20"/>
    </w:rPr>
  </w:style>
  <w:style w:type="paragraph" w:styleId="Style42">
    <w:name w:val="שם סימן"/>
    <w:basedOn w:val="Normal"/>
    <w:qFormat/>
    <w:pPr>
      <w:ind w:hanging="0" w:start="0" w:end="0"/>
      <w:jc w:val="center"/>
    </w:pPr>
    <w:rPr>
      <w:rFonts w:ascii="Aharoni" w:hAnsi="Aharoni" w:cs="David"/>
      <w:sz w:val="36"/>
      <w:szCs w:val="36"/>
    </w:rPr>
  </w:style>
  <w:style w:type="paragraph" w:styleId="21">
    <w:name w:val="סגנון2"/>
    <w:basedOn w:val="FootnoteText"/>
    <w:qFormat/>
    <w:pPr>
      <w:spacing w:lineRule="auto" w:line="276" w:before="0" w:after="120"/>
      <w:ind w:hanging="0" w:start="0" w:end="0"/>
      <w:jc w:val="both"/>
    </w:pPr>
    <w:rPr>
      <w:rFonts w:ascii="Calibri" w:hAnsi="Calibri" w:eastAsia="Calibri" w:cs="Calibri"/>
    </w:rPr>
  </w:style>
  <w:style w:type="paragraph" w:styleId="16">
    <w:name w:val="סגנון1"/>
    <w:basedOn w:val="Normal"/>
    <w:next w:val="Normal"/>
    <w:qFormat/>
    <w:pPr>
      <w:spacing w:lineRule="auto" w:line="360"/>
      <w:ind w:hanging="0" w:start="0" w:end="0"/>
      <w:jc w:val="both"/>
      <w:outlineLvl w:val="1"/>
    </w:pPr>
    <w:rPr>
      <w:rFonts w:ascii="Times New Roman" w:hAnsi="Times New Roman" w:cs="Times New Roman"/>
      <w:bCs/>
      <w:sz w:val="30"/>
      <w:szCs w:val="31"/>
    </w:rPr>
  </w:style>
  <w:style w:type="paragraph" w:styleId="Style43">
    <w:name w:val="טקסט רגיל"/>
    <w:basedOn w:val="Normal"/>
    <w:qFormat/>
    <w:pPr>
      <w:spacing w:lineRule="auto" w:line="240" w:before="0" w:after="0"/>
      <w:ind w:hanging="0" w:start="0" w:end="0"/>
      <w:jc w:val="start"/>
    </w:pPr>
    <w:rPr>
      <w:rFonts w:ascii="Courier New" w:hAnsi="Courier New" w:eastAsia="Times New Roman" w:cs="Courier New"/>
      <w:sz w:val="20"/>
      <w:szCs w:val="20"/>
    </w:rPr>
  </w:style>
  <w:style w:type="paragraph" w:styleId="Style44">
    <w:name w:val="ללא מרווח"/>
    <w:qFormat/>
    <w:pPr>
      <w:widowControl/>
      <w:bidi w:val="1"/>
      <w:ind w:hanging="0" w:start="0" w:end="0"/>
      <w:jc w:val="start"/>
    </w:pPr>
    <w:rPr>
      <w:rFonts w:ascii="Calibri" w:hAnsi="Calibri" w:eastAsia="Calibri" w:cs="FrankRuehl"/>
      <w:color w:val="auto"/>
      <w:sz w:val="22"/>
      <w:szCs w:val="22"/>
      <w:lang w:bidi="he-IL" w:val="en-US" w:eastAsia="zh-CN"/>
    </w:rPr>
  </w:style>
  <w:style w:type="paragraph" w:styleId="TOC4">
    <w:name w:val="toc 4"/>
    <w:basedOn w:val="Normal"/>
    <w:next w:val="Normal"/>
    <w:pPr>
      <w:spacing w:before="0" w:after="100"/>
      <w:ind w:hanging="0" w:start="660" w:end="0"/>
      <w:jc w:val="start"/>
    </w:pPr>
    <w:rPr>
      <w:rFonts w:eastAsia="Times New Roman" w:cs="Arial"/>
    </w:rPr>
  </w:style>
  <w:style w:type="paragraph" w:styleId="TOC5">
    <w:name w:val="toc 5"/>
    <w:basedOn w:val="Normal"/>
    <w:next w:val="Normal"/>
    <w:pPr>
      <w:spacing w:before="0" w:after="100"/>
      <w:ind w:hanging="0" w:start="880" w:end="0"/>
      <w:jc w:val="start"/>
    </w:pPr>
    <w:rPr>
      <w:rFonts w:eastAsia="Times New Roman" w:cs="Arial"/>
    </w:rPr>
  </w:style>
  <w:style w:type="paragraph" w:styleId="TOC6">
    <w:name w:val="toc 6"/>
    <w:basedOn w:val="Normal"/>
    <w:next w:val="Normal"/>
    <w:pPr>
      <w:spacing w:before="0" w:after="100"/>
      <w:ind w:hanging="0" w:start="1100" w:end="0"/>
      <w:jc w:val="start"/>
    </w:pPr>
    <w:rPr>
      <w:rFonts w:eastAsia="Times New Roman" w:cs="Arial"/>
    </w:rPr>
  </w:style>
  <w:style w:type="paragraph" w:styleId="TOC7">
    <w:name w:val="toc 7"/>
    <w:basedOn w:val="Normal"/>
    <w:next w:val="Normal"/>
    <w:pPr>
      <w:spacing w:before="0" w:after="100"/>
      <w:ind w:hanging="0" w:start="1320" w:end="0"/>
      <w:jc w:val="start"/>
    </w:pPr>
    <w:rPr>
      <w:rFonts w:eastAsia="Times New Roman" w:cs="Arial"/>
    </w:rPr>
  </w:style>
  <w:style w:type="paragraph" w:styleId="TOC8">
    <w:name w:val="toc 8"/>
    <w:basedOn w:val="Normal"/>
    <w:next w:val="Normal"/>
    <w:pPr>
      <w:spacing w:before="0" w:after="100"/>
      <w:ind w:hanging="0" w:start="1540" w:end="0"/>
      <w:jc w:val="start"/>
    </w:pPr>
    <w:rPr>
      <w:rFonts w:eastAsia="Times New Roman" w:cs="Arial"/>
    </w:rPr>
  </w:style>
  <w:style w:type="paragraph" w:styleId="TOC9">
    <w:name w:val="toc 9"/>
    <w:basedOn w:val="Normal"/>
    <w:next w:val="Normal"/>
    <w:pPr>
      <w:spacing w:before="0" w:after="100"/>
      <w:ind w:hanging="0" w:start="1760" w:end="0"/>
      <w:jc w:val="start"/>
    </w:pPr>
    <w:rPr>
      <w:rFonts w:eastAsia="Times New Roman" w:cs="Arial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2023-12-07T16:00:00Z</dcterms:created>
  <dc:creator>רפאל שמואלביץ</dc:creator>
  <dc:description/>
  <cp:keywords/>
  <dc:language>en-US</dc:language>
  <cp:lastModifiedBy>This User</cp:lastModifiedBy>
  <cp:lastPrinted>2019-12-20T09:22:00Z</cp:lastPrinted>
  <dcterms:modified xsi:type="dcterms:W3CDTF">2024-12-27T14:24:00Z</dcterms:modified>
  <cp:revision>10</cp:revision>
  <dc:subject/>
  <dc:title/>
</cp:coreProperties>
</file>