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0" w:after="0"/>
        <w:ind w:end="0"/>
        <w:jc w:val="center"/>
        <w:rPr/>
      </w:pPr>
      <w:r>
        <w:rPr>
          <w:rFonts w:hint="cs"/>
          <w:rtl w:val="true"/>
        </w:rPr>
        <w:t>טעם הא דמותר לאפות מיו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 לשבת כשהניח עירוב תבשילין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בעיקר הא דמותר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נחלקו בפסחים 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דדעת רבה דהוא משום דאמרינן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ודעת רב חסדא דהוא משום דמדאורייתא צרכי שבת נעשין ביו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ascii="FrankRuehl" w:hAnsi="FrankRuehl"/>
          <w:sz w:val="26"/>
          <w:szCs w:val="26"/>
          <w:rtl w:val="true"/>
        </w:rPr>
        <w:t xml:space="preserve"> ורבנן הוא דגזרו בי</w:t>
      </w:r>
      <w:r>
        <w:rPr>
          <w:rFonts w:ascii="FrankRuehl" w:hAnsi="FrankRuehl" w:hint="cs"/>
          <w:sz w:val="26"/>
          <w:szCs w:val="26"/>
          <w:rtl w:val="true"/>
        </w:rPr>
        <w:t>ה</w:t>
      </w:r>
      <w:r>
        <w:rPr>
          <w:rFonts w:ascii="FrankRuehl" w:hAnsi="FrankRuehl"/>
          <w:sz w:val="26"/>
          <w:szCs w:val="26"/>
          <w:rtl w:val="true"/>
        </w:rPr>
        <w:t xml:space="preserve"> </w:t>
      </w:r>
      <w:r>
        <w:rPr>
          <w:rFonts w:ascii="FrankRuehl" w:hAnsi="FrankRuehl" w:hint="cs"/>
          <w:sz w:val="26"/>
          <w:szCs w:val="26"/>
          <w:rtl w:val="true"/>
        </w:rPr>
        <w:t>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/>
          <w:sz w:val="26"/>
          <w:szCs w:val="26"/>
          <w:rtl w:val="true"/>
        </w:rPr>
        <w:t>וכיון דאצרכוה רבנן עירוב תבשילין אית לי</w:t>
      </w:r>
      <w:r>
        <w:rPr>
          <w:rFonts w:ascii="FrankRuehl" w:hAnsi="FrankRuehl" w:hint="cs"/>
          <w:sz w:val="26"/>
          <w:szCs w:val="26"/>
          <w:rtl w:val="true"/>
        </w:rPr>
        <w:t>ה</w:t>
      </w:r>
      <w:r>
        <w:rPr>
          <w:rFonts w:ascii="FrankRuehl" w:hAnsi="FrankRuehl"/>
          <w:sz w:val="26"/>
          <w:szCs w:val="26"/>
          <w:rtl w:val="true"/>
        </w:rPr>
        <w:t xml:space="preserve"> היכירא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ובדעת רבה דהא דשרי הוא משום דאמרינן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אף דמדרבנן לא סמכינן על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נחלקו הראשונים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דבפי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בפסחים שם כתב דהוא משום דהיכא דלא אפשר שרינן ליה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הבעה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שם דבשעת הדחק שרי רבה לכתחילה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והא דבעי עירוב תבשילין הוא כדי שיברור מנה יפה לשבת ומנה יפה ליו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cs="FrankRuehl" w:hint="cs" w:ascii="FrankRuehl" w:hAnsi="FrankRuehl"/>
          <w:sz w:val="26"/>
          <w:szCs w:val="26"/>
          <w:rtl w:val="true"/>
        </w:rPr>
        <w:t>),</w:t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הבעה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בהל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מחלוקת 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ד והרשב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בביצה 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 -  </w:t>
      </w:r>
      <w:r>
        <w:rPr>
          <w:rFonts w:ascii="FrankRuehl" w:hAnsi="FrankRuehl" w:hint="cs"/>
          <w:sz w:val="26"/>
          <w:szCs w:val="26"/>
          <w:rtl w:val="true"/>
        </w:rPr>
        <w:t>אך הרא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והריטב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בביצה ט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כתבו דהוא משום דמהני העירוב תבשילין להתיר לאיסור דרבנן זה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ן שם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ובפסחים שם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cs="FrankRuehl" w:ascii="FrankRuehl" w:hAnsi="FrankRuehl"/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אם מהני עירוב תבשילין להתיר לאיסור דרבנן היכא דליכא למימר הואיל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ונפ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רבתא בפלוגתא זו הוא אם במקום דליכא למימר הואיל מהני עירוב תבשילין להתיר איסור דרבנן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דלדעת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ודעימיה לא מצינו דהתירו איסור דרבנן 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י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שהרי עיקר הא דשרי הוא משום דאמרינן הואיל ובשעת הדחק שרי אפי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לכתחילה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אלא שהצריכו עירוב תבשילין מהטעמים שאמרו בביצה ט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ב</w:t>
      </w:r>
      <w:r>
        <w:rPr>
          <w:rFonts w:cs="FrankRuehl" w:hint="cs" w:ascii="FrankRuehl" w:hAnsi="FrankRuehl"/>
          <w:sz w:val="26"/>
          <w:szCs w:val="26"/>
          <w:rtl w:val="true"/>
        </w:rPr>
        <w:t>'),</w:t>
      </w:r>
      <w:r>
        <w:rPr>
          <w:rStyle w:val="FootnoteReference"/>
          <w:rFonts w:cs="FrankRuehl" w:ascii="FrankRuehl" w:hAnsi="FrankRuehl"/>
          <w:sz w:val="26"/>
          <w:szCs w:val="26"/>
          <w:vertAlign w:val="superscript"/>
          <w:rtl w:val="true"/>
        </w:rPr>
        <w:footnoteReference w:id="2"/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/>
          <w:sz w:val="26"/>
          <w:szCs w:val="26"/>
          <w:rtl w:val="true"/>
        </w:rPr>
        <w:t>אך לדעת הרא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ודעימיה 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דכ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דמהני עירוב תבשילין להתיר להאיסור דרבנן לבשל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נ מהני בשאר גווני דאין האיסור אלא מדרבנן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ג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ומצינו בכ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ד שנחלקו בזה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חדא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הוא במה שעמדו הרא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ן בביצה ט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בהא דביו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שחל בער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 אין מערבין לא עירובי תחומין ולא עירובי חצירות דמ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לא שרינן לזה 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י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וזה לטעמייהו דמהני עירוב תבשילין להתיר לאיסור דרבנן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אך לדעת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ודעימיה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 xml:space="preserve">אין מקום כלל שיועיל עירוב תבשילין להתיר לערב </w:t>
      </w:r>
      <w:bookmarkStart w:id="0" w:name="_Hlk71673400"/>
      <w:r>
        <w:rPr>
          <w:rFonts w:ascii="FrankRuehl" w:hAnsi="FrankRuehl" w:hint="cs"/>
          <w:sz w:val="26"/>
          <w:szCs w:val="26"/>
          <w:rtl w:val="true"/>
        </w:rPr>
        <w:t>עירוב תחומין ועירוב חצירות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כיון דלא חזיין כלל ליו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וליכא למימר בזה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ואף דעיקר האיסור לערב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אינו אלא מדרבנן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עירוב תבשילין להתיר לזה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הישועות יעקב בסימן שצ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ג סק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  <w:bookmarkEnd w:id="0"/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b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עוד מצינו 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הראבי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בסימן תשמ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שנסתפק בהא דביצה שנולדה ביו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אסורה בשבת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דכיון דאיסורה הוא משום הכנה מהני לזה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ועיי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 במש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בזה ובמש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האו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בסימן שמ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ג אות ט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והמכתם והריבב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ן בביצה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וכל מקום הנידון בזה הוא לדעת הסוברים דמהני עירוב תבשילין להתיר לאיסור דרבנן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אך לדעת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 xml:space="preserve">ח ודעימיה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ל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מ עירוב תבשילין כלל להתיר לאיסור דרבנן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, (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וכל הא דשרי לאפות מיו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ט לשבת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הוא משום דבמקום שא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א סמכינן על הואיל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),</w:t>
      </w:r>
      <w:r>
        <w:rPr>
          <w:rFonts w:cs="FrankRuehl" w:hint="cs" w:ascii="FrankRuehl" w:hAnsi="FrankRuehl"/>
          <w:b/>
          <w:rtl w:val="true"/>
        </w:rPr>
        <w:t xml:space="preserve">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הרי דבביצה שנולדה ביו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ט אסורה בשבת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אין להתיר כלל ע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י עירוב תבשילין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b/>
          <w:b/>
          <w:sz w:val="26"/>
          <w:szCs w:val="26"/>
          <w:rtl w:val="true"/>
        </w:rPr>
        <w:t>ה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עוד נפ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מ בזה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דהנה התור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פ בפסחים מ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ו ב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b/>
          <w:b/>
          <w:sz w:val="26"/>
          <w:szCs w:val="26"/>
          <w:rtl w:val="true"/>
        </w:rPr>
        <w:t>כתב דכיון דקי</w:t>
      </w:r>
      <w:r>
        <w:rPr>
          <w:rFonts w:cs="FrankRuehl" w:hint="cs" w:ascii="FrankRuehl" w:hAnsi="FrankRuehl"/>
          <w:b/>
          <w:sz w:val="26"/>
          <w:szCs w:val="26"/>
          <w:rtl w:val="true"/>
        </w:rPr>
        <w:t>"</w:t>
      </w:r>
      <w:r>
        <w:rPr>
          <w:rFonts w:ascii="FrankRuehl" w:hAnsi="FrankRuehl" w:hint="cs"/>
          <w:b/>
          <w:b/>
          <w:sz w:val="26"/>
          <w:szCs w:val="26"/>
          <w:rtl w:val="true"/>
        </w:rPr>
        <w:t xml:space="preserve">ל </w:t>
      </w:r>
      <w:bookmarkStart w:id="1" w:name="_Hlk70529669"/>
      <w:r>
        <w:rPr>
          <w:rFonts w:ascii="FrankRuehl" w:hAnsi="FrankRuehl" w:hint="cs"/>
          <w:sz w:val="26"/>
          <w:szCs w:val="26"/>
          <w:rtl w:val="true"/>
        </w:rPr>
        <w:t>כרבה דהא דאופין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הוא משום דאמרינן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/>
          <w:sz w:val="26"/>
          <w:szCs w:val="26"/>
          <w:rtl w:val="true"/>
        </w:rPr>
        <w:t>יש ליזהר שלא לעשות שום הכנה 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</w:t>
      </w:r>
      <w:r>
        <w:rPr>
          <w:rFonts w:ascii="FrankRuehl" w:hAnsi="FrankRuehl"/>
          <w:sz w:val="26"/>
          <w:szCs w:val="26"/>
          <w:rtl w:val="true"/>
        </w:rPr>
        <w:t xml:space="preserve"> סמוך לחשיכה שלא יוכלו אורחים לבא</w:t>
      </w:r>
      <w:r>
        <w:rPr>
          <w:rFonts w:ascii="FrankRuehl" w:hAnsi="FrankRuehl" w:hint="cs"/>
          <w:sz w:val="26"/>
          <w:szCs w:val="26"/>
          <w:rtl w:val="true"/>
        </w:rPr>
        <w:t xml:space="preserve">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הפוסקים בר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ס תקכ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</w:t>
      </w:r>
      <w:r>
        <w:rPr>
          <w:rFonts w:cs="FrankRuehl" w:hint="cs" w:ascii="FrankRuehl" w:hAnsi="FrankRuehl"/>
          <w:sz w:val="26"/>
          <w:szCs w:val="26"/>
          <w:rtl w:val="true"/>
        </w:rPr>
        <w:t>,</w:t>
      </w:r>
      <w:bookmarkEnd w:id="1"/>
      <w:r>
        <w:rPr>
          <w:rFonts w:cs="FrankRuehl" w:hint="cs" w:ascii="FrankRuehl" w:hAnsi="FrankRuehl"/>
          <w:sz w:val="26"/>
          <w:szCs w:val="26"/>
          <w:rtl w:val="true"/>
        </w:rPr>
        <w:t xml:space="preserve">  </w:t>
      </w:r>
      <w:r>
        <w:rPr>
          <w:rFonts w:ascii="FrankRuehl" w:hAnsi="FrankRuehl" w:hint="cs"/>
          <w:sz w:val="26"/>
          <w:szCs w:val="26"/>
          <w:rtl w:val="true"/>
        </w:rPr>
        <w:t>והאבנ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בסימן שצ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סק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כתב דכ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הוא במלאכות דאורייתא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אך דברים שאין איסורם אלא מדרבנן מותר לעשותן אף סמוך לחשיכה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דמהני עירוב תבשילין להתירן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 - 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הוא לדעת הרא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ודעימיה דמהני עירוב תבשילין להתיר לדבר האסור מדרבנן אף היכא דליכא למימר הואיל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כדחזינן ממה שדנו להתיר 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י עירוב תבשילין לערב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ולהתיר בשבת ביצה שנולדה ביו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cs="FrankRuehl" w:hint="cs" w:ascii="FrankRuehl" w:hAnsi="FrankRuehl"/>
          <w:sz w:val="26"/>
          <w:szCs w:val="26"/>
          <w:rtl w:val="true"/>
        </w:rPr>
        <w:t>),</w:t>
      </w:r>
      <w:r>
        <w:rPr>
          <w:rFonts w:cs="FrankRuehl" w:hint="cs" w:ascii="FrankRuehl" w:hAnsi="FrankRuehl"/>
          <w:rtl w:val="true"/>
        </w:rPr>
        <w:t xml:space="preserve">  </w:t>
      </w:r>
      <w:r>
        <w:rPr>
          <w:rFonts w:ascii="FrankRuehl" w:hAnsi="FrankRuehl" w:hint="cs"/>
          <w:sz w:val="26"/>
          <w:szCs w:val="26"/>
          <w:rtl w:val="true"/>
        </w:rPr>
        <w:t>אך לדעת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ודעימיה אף בדברים שאין איסורן אלא מדרבנן אין להתיר לעשותן סמוך לחשיכה דליכא למימר הואיל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8"/>
          <w:szCs w:val="26"/>
        </w:rPr>
      </w:pPr>
      <w:r>
        <w:rPr>
          <w:rFonts w:hint="cs"/>
          <w:sz w:val="28"/>
          <w:szCs w:val="26"/>
          <w:rtl w:val="true"/>
        </w:rPr>
        <w:t>ו</w:t>
      </w:r>
      <w:r>
        <w:rPr>
          <w:rFonts w:hint="cs"/>
          <w:sz w:val="28"/>
          <w:szCs w:val="26"/>
          <w:rtl w:val="true"/>
        </w:rPr>
        <w:t xml:space="preserve">] </w:t>
      </w:r>
      <w:r>
        <w:rPr>
          <w:rFonts w:hint="cs"/>
          <w:sz w:val="28"/>
          <w:szCs w:val="26"/>
          <w:rtl w:val="true"/>
        </w:rPr>
        <w:t>עוד נפ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מ בזה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דהנה בתשו</w:t>
      </w:r>
      <w:r>
        <w:rPr>
          <w:rFonts w:hint="cs"/>
          <w:sz w:val="28"/>
          <w:szCs w:val="26"/>
          <w:rtl w:val="true"/>
        </w:rPr>
        <w:t xml:space="preserve">' </w:t>
      </w:r>
      <w:r>
        <w:rPr>
          <w:rFonts w:hint="cs"/>
          <w:sz w:val="28"/>
          <w:szCs w:val="26"/>
          <w:rtl w:val="true"/>
        </w:rPr>
        <w:t>הגרע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א מהדו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ק סימן ה</w:t>
      </w:r>
      <w:r>
        <w:rPr>
          <w:rFonts w:hint="cs"/>
          <w:sz w:val="28"/>
          <w:szCs w:val="26"/>
          <w:rtl w:val="true"/>
        </w:rPr>
        <w:t xml:space="preserve">' </w:t>
      </w:r>
      <w:r>
        <w:rPr>
          <w:rFonts w:hint="cs"/>
          <w:sz w:val="28"/>
          <w:szCs w:val="26"/>
          <w:rtl w:val="true"/>
        </w:rPr>
        <w:t>הביא דעת השאג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א דאמרינן הואיל אף בדבר האסור מדרבנן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ונקט דלפ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ז שפיר מהני עירוב תבשילין בכה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ג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ולכאו</w:t>
      </w:r>
      <w:r>
        <w:rPr>
          <w:rFonts w:hint="cs"/>
          <w:sz w:val="28"/>
          <w:szCs w:val="26"/>
          <w:rtl w:val="true"/>
        </w:rPr>
        <w:t xml:space="preserve">' </w:t>
      </w:r>
      <w:r>
        <w:rPr>
          <w:rFonts w:hint="cs"/>
          <w:sz w:val="28"/>
          <w:szCs w:val="26"/>
          <w:rtl w:val="true"/>
        </w:rPr>
        <w:t>ד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ז תליא בפלוגתא זו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דהרי מסתברא מילתא דכל הא דאמרינן הואיל בדבר האסור מדרבנן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הוא מדאורייתא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אך מדרבנן ליכא למימר כלל הואיל בכה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ג</w:t>
      </w:r>
      <w:r>
        <w:rPr>
          <w:rFonts w:hint="cs"/>
          <w:sz w:val="28"/>
          <w:szCs w:val="26"/>
          <w:rtl w:val="true"/>
        </w:rPr>
        <w:t>, (</w:t>
      </w:r>
      <w:r>
        <w:rPr>
          <w:rFonts w:hint="cs"/>
          <w:sz w:val="28"/>
          <w:szCs w:val="26"/>
          <w:rtl w:val="true"/>
        </w:rPr>
        <w:t>אף אלמלי הא דמדרבנן לא סמכינן על הואיל</w:t>
      </w:r>
      <w:r>
        <w:rPr>
          <w:rFonts w:hint="cs"/>
          <w:sz w:val="28"/>
          <w:szCs w:val="26"/>
          <w:rtl w:val="true"/>
        </w:rPr>
        <w:t>),</w:t>
      </w:r>
      <w:r>
        <w:rPr>
          <w:rFonts w:hint="cs"/>
          <w:sz w:val="24"/>
          <w:rtl w:val="true"/>
        </w:rPr>
        <w:t xml:space="preserve"> </w:t>
      </w:r>
      <w:r>
        <w:rPr>
          <w:rFonts w:hint="cs"/>
          <w:sz w:val="28"/>
          <w:szCs w:val="26"/>
          <w:rtl w:val="true"/>
        </w:rPr>
        <w:t>כיון דמדרבנן הו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ל דבר שאינו ראוי</w:t>
      </w:r>
      <w:r>
        <w:rPr>
          <w:rFonts w:hint="cs"/>
          <w:sz w:val="28"/>
          <w:szCs w:val="26"/>
          <w:rtl w:val="true"/>
        </w:rPr>
        <w:t>, (</w:t>
      </w:r>
      <w:r>
        <w:rPr>
          <w:rFonts w:hint="cs"/>
          <w:sz w:val="28"/>
          <w:szCs w:val="26"/>
          <w:rtl w:val="true"/>
        </w:rPr>
        <w:t>וכ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ה דבדבר האסור מדאורייתא לא אמרינן הואיל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ה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נ מדרבנן לא אמרינן הואיל בדבר האסור מדרבנן</w:t>
      </w:r>
      <w:r>
        <w:rPr>
          <w:rFonts w:hint="cs"/>
          <w:sz w:val="28"/>
          <w:szCs w:val="26"/>
          <w:rtl w:val="true"/>
        </w:rPr>
        <w:t xml:space="preserve">), </w:t>
      </w:r>
      <w:r>
        <w:rPr>
          <w:rFonts w:hint="cs"/>
          <w:sz w:val="28"/>
          <w:szCs w:val="26"/>
          <w:rtl w:val="true"/>
        </w:rPr>
        <w:t>וכ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נ בד</w:t>
      </w:r>
      <w:r>
        <w:rPr>
          <w:rFonts w:hint="cs"/>
          <w:sz w:val="28"/>
          <w:szCs w:val="26"/>
          <w:rtl w:val="true"/>
        </w:rPr>
        <w:t xml:space="preserve">' </w:t>
      </w:r>
      <w:r>
        <w:rPr>
          <w:rFonts w:hint="cs"/>
          <w:sz w:val="28"/>
          <w:szCs w:val="26"/>
          <w:rtl w:val="true"/>
        </w:rPr>
        <w:t>הראשונים בכ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ד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ולפ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ז הרי דאין להתיר בזה ע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י עירוב תבשילין אלא לדעת הרא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ה ודעימיה דמהני עירוב תבשילין להתיר לכל איסור דרבנן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אך לדעת הר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ח ודעימיה ל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מ בכה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ג עירוב תבשילין</w:t>
      </w:r>
      <w:r>
        <w:rPr>
          <w:rFonts w:hint="cs"/>
          <w:sz w:val="28"/>
          <w:szCs w:val="26"/>
          <w:rtl w:val="true"/>
        </w:rPr>
        <w:t>, (</w:t>
      </w:r>
      <w:r>
        <w:rPr>
          <w:rFonts w:hint="cs"/>
          <w:sz w:val="28"/>
          <w:szCs w:val="26"/>
          <w:rtl w:val="true"/>
        </w:rPr>
        <w:t>דל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מ עירוב תבשילין אלא היכא דאף מדרבנן איכא למימר הואיל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דבשעת הדחק סמכינן ע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ז</w:t>
      </w:r>
      <w:r>
        <w:rPr>
          <w:rFonts w:hint="cs"/>
          <w:sz w:val="28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sz w:val="28"/>
          <w:szCs w:val="26"/>
        </w:rPr>
      </w:pPr>
      <w:r>
        <w:rPr>
          <w:sz w:val="28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גדר הא דמהני העירוב אף דמדרבנן לא אמרינן הואיל</w:t>
      </w:r>
    </w:p>
    <w:p>
      <w:pPr>
        <w:pStyle w:val="Normal"/>
        <w:spacing w:lineRule="exact" w:line="360" w:before="0" w:after="0"/>
        <w:ind w:end="0"/>
        <w:jc w:val="both"/>
        <w:rPr>
          <w:sz w:val="28"/>
          <w:szCs w:val="26"/>
        </w:rPr>
      </w:pPr>
      <w:r>
        <w:rPr>
          <w:rFonts w:hint="cs"/>
          <w:sz w:val="28"/>
          <w:szCs w:val="26"/>
          <w:rtl w:val="true"/>
        </w:rPr>
        <w:t>ז</w:t>
      </w:r>
      <w:r>
        <w:rPr>
          <w:rFonts w:hint="cs"/>
          <w:sz w:val="28"/>
          <w:szCs w:val="26"/>
          <w:rtl w:val="true"/>
        </w:rPr>
        <w:t xml:space="preserve">] </w:t>
      </w:r>
      <w:r>
        <w:rPr>
          <w:rFonts w:hint="cs"/>
          <w:sz w:val="28"/>
          <w:szCs w:val="26"/>
          <w:rtl w:val="true"/>
        </w:rPr>
        <w:t>ומד</w:t>
      </w:r>
      <w:r>
        <w:rPr>
          <w:rFonts w:hint="cs"/>
          <w:sz w:val="28"/>
          <w:szCs w:val="26"/>
          <w:rtl w:val="true"/>
        </w:rPr>
        <w:t xml:space="preserve">' </w:t>
      </w:r>
      <w:r>
        <w:rPr>
          <w:rFonts w:hint="cs"/>
          <w:sz w:val="28"/>
          <w:szCs w:val="26"/>
          <w:rtl w:val="true"/>
        </w:rPr>
        <w:t>כל הני רבוותא דמהני עירוב תבשילין להתיר אף לשאר איסורים דרבנן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יש ללמוד דעיקר הא דשרינן במקום עירוב תבשילין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לאו היינו דאף דמדרבנן לא אמרינן הואיל מ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מ כל שעירב הקילו לסמוך על הואיל</w:t>
      </w:r>
      <w:r>
        <w:rPr>
          <w:rFonts w:hint="cs"/>
          <w:sz w:val="28"/>
          <w:szCs w:val="26"/>
          <w:rtl w:val="true"/>
        </w:rPr>
        <w:t>, (</w:t>
      </w:r>
      <w:r>
        <w:rPr>
          <w:rFonts w:hint="cs"/>
          <w:sz w:val="28"/>
          <w:szCs w:val="26"/>
          <w:rtl w:val="true"/>
        </w:rPr>
        <w:t>דא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כ מהיכ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ת דגם בשאר דברים האסורין התירו</w:t>
      </w:r>
      <w:r>
        <w:rPr>
          <w:rFonts w:hint="cs"/>
          <w:sz w:val="28"/>
          <w:szCs w:val="26"/>
          <w:rtl w:val="true"/>
        </w:rPr>
        <w:t xml:space="preserve">), </w:t>
      </w:r>
      <w:r>
        <w:rPr>
          <w:rFonts w:hint="cs"/>
          <w:sz w:val="28"/>
          <w:szCs w:val="26"/>
          <w:rtl w:val="true"/>
        </w:rPr>
        <w:t>אלא היינו דאף דמדינא אין צרכי שבת נעשין ביו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ט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מ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מ כל שעירב נעשין צרכי שבת ביו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ט</w:t>
      </w:r>
      <w:r>
        <w:rPr>
          <w:rFonts w:hint="cs"/>
          <w:sz w:val="28"/>
          <w:szCs w:val="26"/>
          <w:rtl w:val="true"/>
        </w:rPr>
        <w:t>, (</w:t>
      </w:r>
      <w:r>
        <w:rPr>
          <w:rFonts w:hint="cs"/>
          <w:sz w:val="28"/>
          <w:szCs w:val="26"/>
          <w:rtl w:val="true"/>
        </w:rPr>
        <w:t>וי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 xml:space="preserve">ל דגדר הדברים </w:t>
      </w:r>
      <w:r>
        <w:rPr>
          <w:rFonts w:ascii="FrankRuehl" w:hAnsi="FrankRuehl" w:eastAsia="Times New Roman" w:hint="cs"/>
          <w:sz w:val="26"/>
          <w:szCs w:val="26"/>
          <w:rtl w:val="true"/>
        </w:rPr>
        <w:t>הוא דמכח העירוב חשבינן להשבת ויו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ט כקדושה אחת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וע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כ נעשין צרכי השבת ביו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ט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)</w:t>
      </w:r>
      <w:r>
        <w:rPr>
          <w:rFonts w:hint="cs"/>
          <w:sz w:val="28"/>
          <w:szCs w:val="26"/>
          <w:rtl w:val="true"/>
        </w:rPr>
        <w:t xml:space="preserve">, </w:t>
      </w:r>
      <w:r>
        <w:rPr>
          <w:rFonts w:hint="cs"/>
          <w:sz w:val="28"/>
          <w:szCs w:val="26"/>
          <w:rtl w:val="true"/>
        </w:rPr>
        <w:t>אלא דאי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ז מועיל להתיר איסור דאורייתא</w:t>
      </w:r>
      <w:r>
        <w:rPr>
          <w:rFonts w:hint="cs"/>
          <w:sz w:val="28"/>
          <w:szCs w:val="26"/>
          <w:rtl w:val="true"/>
        </w:rPr>
        <w:t>, (</w:t>
      </w:r>
      <w:r>
        <w:rPr>
          <w:rFonts w:hint="cs"/>
          <w:sz w:val="28"/>
          <w:szCs w:val="26"/>
          <w:rtl w:val="true"/>
        </w:rPr>
        <w:t>וכמו שאמרו בפסחים מ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ו ב</w:t>
      </w:r>
      <w:r>
        <w:rPr>
          <w:rFonts w:hint="cs"/>
          <w:sz w:val="28"/>
          <w:szCs w:val="26"/>
          <w:rtl w:val="true"/>
        </w:rPr>
        <w:t xml:space="preserve">' </w:t>
      </w:r>
      <w:r>
        <w:rPr>
          <w:rFonts w:hint="cs"/>
          <w:sz w:val="28"/>
          <w:szCs w:val="26"/>
          <w:rtl w:val="true"/>
        </w:rPr>
        <w:t>דמשום עירוב תבשילין ליכא למישרי איסור דאורייתא</w:t>
      </w:r>
      <w:r>
        <w:rPr>
          <w:rFonts w:hint="cs"/>
          <w:sz w:val="28"/>
          <w:szCs w:val="26"/>
          <w:rtl w:val="true"/>
        </w:rPr>
        <w:t xml:space="preserve">), </w:t>
      </w:r>
      <w:r>
        <w:rPr>
          <w:rFonts w:hint="cs"/>
          <w:sz w:val="28"/>
          <w:szCs w:val="26"/>
          <w:rtl w:val="true"/>
        </w:rPr>
        <w:t>וע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כ כל דמדאורייתא שרי משום דאמרינן הואיל או מטעמי אחריני מהני העירוב תבשילין שיהיו צרכי שבת נעשין ביו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ט</w:t>
      </w:r>
      <w:r>
        <w:rPr>
          <w:rFonts w:hint="cs"/>
          <w:sz w:val="28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8"/>
          <w:szCs w:val="26"/>
        </w:rPr>
      </w:pPr>
      <w:r>
        <w:rPr>
          <w:rFonts w:hint="cs"/>
          <w:sz w:val="28"/>
          <w:szCs w:val="26"/>
          <w:rtl w:val="true"/>
        </w:rPr>
        <w:t>ומה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>ט פשוט דכל הא דמהני עירוב תבשילין להתיר לאיסור דרבנן הוא בדבר שמותר לעשותו לצורך יו</w:t>
      </w:r>
      <w:r>
        <w:rPr>
          <w:rFonts w:hint="cs"/>
          <w:sz w:val="28"/>
          <w:szCs w:val="26"/>
          <w:rtl w:val="true"/>
        </w:rPr>
        <w:t>"</w:t>
      </w:r>
      <w:r>
        <w:rPr>
          <w:rFonts w:hint="cs"/>
          <w:sz w:val="28"/>
          <w:szCs w:val="26"/>
          <w:rtl w:val="true"/>
        </w:rPr>
        <w:t xml:space="preserve">ט </w:t>
      </w:r>
      <w:r>
        <w:rPr>
          <w:rFonts w:ascii="FrankRuehl" w:hAnsi="FrankRuehl" w:eastAsia="Times New Roman" w:hint="cs"/>
          <w:sz w:val="26"/>
          <w:szCs w:val="26"/>
          <w:rtl w:val="true"/>
        </w:rPr>
        <w:t>וכל הא דיש לאסרו הוא משום דעושהו לצורך שבת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ובזה מהני היתר העירוב דמכח זה נעשין צרכי שבת ביו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ט ולי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ב איסורא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אך דבר האסור מדרבנן אף כשעושהו ליומו ל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בזה היתר דעירוב תבשילין כלל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8"/>
          <w:szCs w:val="26"/>
        </w:rPr>
      </w:pPr>
      <w:r>
        <w:rPr>
          <w:sz w:val="28"/>
          <w:szCs w:val="26"/>
          <w:rtl w:val="true"/>
        </w:rPr>
      </w:r>
    </w:p>
    <w:p>
      <w:pPr>
        <w:pStyle w:val="Normal"/>
        <w:spacing w:lineRule="exact" w:line="360" w:before="0" w:after="0"/>
        <w:ind w:end="0"/>
        <w:jc w:val="center"/>
        <w:rPr>
          <w:rFonts w:ascii="FrankRuehl" w:hAnsi="FrankRuehl" w:cs="FrankRuehl"/>
          <w:b/>
          <w:bCs/>
          <w:sz w:val="30"/>
          <w:szCs w:val="30"/>
        </w:rPr>
      </w:pPr>
      <w:r>
        <w:rPr>
          <w:rFonts w:ascii="FrankRuehl" w:hAnsi="FrankRuehl" w:hint="cs"/>
          <w:b/>
          <w:b/>
          <w:bCs/>
          <w:sz w:val="30"/>
          <w:szCs w:val="30"/>
          <w:rtl w:val="true"/>
        </w:rPr>
        <w:t>בגדר האיסור לאפות מיו</w:t>
      </w:r>
      <w:r>
        <w:rPr>
          <w:rFonts w:cs="FrankRuehl" w:hint="cs" w:ascii="FrankRuehl" w:hAnsi="FrankRuehl"/>
          <w:b/>
          <w:bCs/>
          <w:sz w:val="30"/>
          <w:szCs w:val="30"/>
          <w:rtl w:val="true"/>
        </w:rPr>
        <w:t>"</w:t>
      </w:r>
      <w:r>
        <w:rPr>
          <w:rFonts w:ascii="FrankRuehl" w:hAnsi="FrankRuehl" w:hint="cs"/>
          <w:b/>
          <w:b/>
          <w:bCs/>
          <w:sz w:val="30"/>
          <w:szCs w:val="30"/>
          <w:rtl w:val="true"/>
        </w:rPr>
        <w:t>ט לשבת כשלא הניח עירוב תבשילין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ח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בביצה ט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מפרשינן דטעם הא דבעינן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הוא כדי שיברור מנה יפה ליו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ומנה יפה לשבת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או כדי שיאמרו אין אופין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לחול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ויש להסתפק אם היינו דלעולם עיקר האיסור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בלא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הוא משום איסור מלאכת 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אלא דמכח הני טעמי לא התירו לאיסור זה אלא 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י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או היינו דהוא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שתיקנו חכמים מכח הני טעמי לאסור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ולדעת הרא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ודעימיה ודאי דאי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אלא הוא משום דמדינא אסור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דמדרבנן לא סמכינן על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 xml:space="preserve">ומכח הני טעמי </w:t>
      </w:r>
      <w:r>
        <w:rPr>
          <w:rFonts w:cs="FrankRuehl" w:hint="cs" w:ascii="FrankRuehl" w:hAnsi="FrankRuehl"/>
          <w:sz w:val="26"/>
          <w:szCs w:val="26"/>
          <w:rtl w:val="true"/>
        </w:rPr>
        <w:t>(</w:t>
      </w:r>
      <w:r>
        <w:rPr>
          <w:rFonts w:ascii="FrankRuehl" w:hAnsi="FrankRuehl" w:hint="cs"/>
          <w:sz w:val="26"/>
          <w:szCs w:val="26"/>
          <w:rtl w:val="true"/>
        </w:rPr>
        <w:t>דכדי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או כדי שיאמרו וכו</w:t>
      </w:r>
      <w:r>
        <w:rPr>
          <w:rFonts w:cs="FrankRuehl" w:hint="cs" w:ascii="FrankRuehl" w:hAnsi="FrankRuehl"/>
          <w:sz w:val="26"/>
          <w:szCs w:val="26"/>
          <w:rtl w:val="true"/>
        </w:rPr>
        <w:t>')</w:t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/>
          <w:sz w:val="26"/>
          <w:szCs w:val="26"/>
          <w:rtl w:val="true"/>
        </w:rPr>
        <w:t>לא התירו לאיסור זה אלא 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י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מבו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ן שם 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'),  -  </w:t>
      </w:r>
      <w:r>
        <w:rPr>
          <w:rFonts w:ascii="FrankRuehl" w:hAnsi="FrankRuehl" w:hint="cs"/>
          <w:sz w:val="26"/>
          <w:szCs w:val="26"/>
          <w:rtl w:val="true"/>
        </w:rPr>
        <w:t>אך לדעת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ודעימיה יש להסתפק אם היינו דאף דמדינא סמכינן על הואיל היכא דלא אפשר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 xml:space="preserve">מ מכח הני טעמי </w:t>
      </w:r>
      <w:r>
        <w:rPr>
          <w:rFonts w:cs="FrankRuehl" w:hint="cs" w:ascii="FrankRuehl" w:hAnsi="FrankRuehl"/>
          <w:sz w:val="26"/>
          <w:szCs w:val="26"/>
          <w:rtl w:val="true"/>
        </w:rPr>
        <w:t>(</w:t>
      </w:r>
      <w:r>
        <w:rPr>
          <w:rFonts w:ascii="FrankRuehl" w:hAnsi="FrankRuehl" w:hint="cs"/>
          <w:sz w:val="26"/>
          <w:szCs w:val="26"/>
          <w:rtl w:val="true"/>
        </w:rPr>
        <w:t>דכדי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או כדי שיאמרו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') </w:t>
      </w:r>
      <w:r>
        <w:rPr>
          <w:rFonts w:ascii="FrankRuehl" w:hAnsi="FrankRuehl" w:hint="cs"/>
          <w:sz w:val="26"/>
          <w:szCs w:val="26"/>
          <w:rtl w:val="true"/>
        </w:rPr>
        <w:t>לא התירו לסמוך על הואיל אא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עירב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או הוא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שאסרו חכמים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ובד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השעה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בפ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ג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 xml:space="preserve">ט </w:t>
      </w:r>
      <w:r>
        <w:rPr>
          <w:rFonts w:cs="FrankRuehl" w:hint="cs" w:ascii="FrankRuehl" w:hAnsi="FrankRuehl"/>
          <w:sz w:val="26"/>
          <w:szCs w:val="26"/>
          <w:rtl w:val="true"/>
        </w:rPr>
        <w:t>(</w:t>
      </w:r>
      <w:r>
        <w:rPr>
          <w:rFonts w:ascii="FrankRuehl" w:hAnsi="FrankRuehl" w:hint="cs"/>
          <w:sz w:val="26"/>
          <w:szCs w:val="26"/>
          <w:rtl w:val="true"/>
        </w:rPr>
        <w:t>ד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וראיתי למורינו</w:t>
      </w:r>
      <w:r>
        <w:rPr>
          <w:rFonts w:cs="FrankRuehl" w:hint="cs" w:ascii="FrankRuehl" w:hAnsi="FrankRuehl"/>
          <w:rtl w:val="true"/>
        </w:rPr>
        <w:t xml:space="preserve">) </w:t>
      </w:r>
      <w:r>
        <w:rPr>
          <w:rFonts w:ascii="FrankRuehl" w:hAnsi="FrankRuehl" w:hint="cs"/>
          <w:sz w:val="26"/>
          <w:szCs w:val="26"/>
          <w:rtl w:val="true"/>
        </w:rPr>
        <w:t>מבו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דאף לדעת הבעה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הא דאין אופין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הוא משום דבכה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ג לא סמכינן על הואיל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עיי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 -  </w:t>
      </w:r>
      <w:r>
        <w:rPr>
          <w:rFonts w:ascii="FrankRuehl" w:hAnsi="FrankRuehl" w:hint="cs"/>
          <w:sz w:val="26"/>
          <w:szCs w:val="26"/>
          <w:rtl w:val="true"/>
        </w:rPr>
        <w:t>אך 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הראש יוסף בביצה שם משמע דלמ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ד דטעמא דעירוב הוא 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הוי זה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שאסרו עליו מכח שעבר על תקנ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ובהגה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ברוך טעם למג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סימן רס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ג סק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נקט דגם למ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ד דטעמא דעירוב הוא כדי שיאמרו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הוי זה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שאסרו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וע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אף דבמלאכת שבת ליכא לדין שליחות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באיסור זה 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דשייך דין שליחות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),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הראשל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צ בביצה 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דאין האיסור</w:t>
      </w:r>
      <w:r>
        <w:rPr>
          <w:rFonts w:ascii="FrankRuehl" w:hAnsi="FrankRuehl"/>
          <w:sz w:val="26"/>
          <w:szCs w:val="26"/>
          <w:rtl w:val="true"/>
        </w:rPr>
        <w:t xml:space="preserve"> בגוף המעשה שמבשל לשבת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אלא דהוא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שאסרו חכמים כדי שלא יטעה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עיי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י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והנה השאג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בסימן 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הק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דאי נימא דבר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אין בו משום שמחת 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ואין בו אלא איסור תענית בלבד ככל 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דעלמא 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כיון דטעמא דתיקנו עירוב תבשילין ליו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הוא כדי שיברור מנה יפה לשבת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מה יום מיומים לתקן עירוב תבשילין זה בר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זה של תשרי יותר משאר כל 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שחל בע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 שלא תיקנו עירוב תבשילין ולא חיישינן לכדי שיברור מנה יפה לשבת וכו</w:t>
      </w:r>
      <w:r>
        <w:rPr>
          <w:rFonts w:cs="FrankRuehl" w:hint="cs" w:ascii="FrankRuehl" w:hAnsi="FrankRuehl"/>
          <w:sz w:val="26"/>
          <w:szCs w:val="26"/>
          <w:rtl w:val="true"/>
        </w:rPr>
        <w:t>'.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ולכאו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לדעת הרא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ודעימיה ניחא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שהרי לדעתם לא חידשו חכמים איסור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בלא עירוב תבשילין 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אלא הוא משום דמדרבנן לא סמכינן על הואיל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והא דבעינן לה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דכדי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היינו דמה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לא התירו לאיסור זה אלא 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י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),</w:t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/>
          <w:sz w:val="26"/>
          <w:szCs w:val="26"/>
          <w:rtl w:val="true"/>
        </w:rPr>
        <w:t>אך בר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שחל בער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 דמדינא מותר לאפות ממנו לשבת אין מקום להצריך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 -  </w:t>
      </w:r>
      <w:r>
        <w:rPr>
          <w:rFonts w:ascii="FrankRuehl" w:hAnsi="FrankRuehl" w:hint="cs"/>
          <w:sz w:val="26"/>
          <w:szCs w:val="26"/>
          <w:rtl w:val="true"/>
        </w:rPr>
        <w:t>וגם לדעת הר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ודעימיה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הרי דאי נימא דלא אסרו איסור חדש מכח 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דכדי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אלא מכח זה לא התירו לסמוך על הואיל אא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עירב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הרי דבר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שחל בער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 דמדינא מותר לאפות ממנו לשבת אין מקום להצריך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 -  </w:t>
      </w:r>
      <w:r>
        <w:rPr>
          <w:rFonts w:ascii="FrankRuehl" w:hAnsi="FrankRuehl" w:hint="cs"/>
          <w:sz w:val="26"/>
          <w:szCs w:val="26"/>
          <w:rtl w:val="true"/>
        </w:rPr>
        <w:t>אך מד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השאג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מבו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דמכח 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דכדי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אסרו חכמים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לאפות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בלא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שפיר היה מקום לאסור אף לאפות מר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לשבת בלא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אך 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השאג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בסו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ס ס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ד משמע דלא כן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וצ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</w:t>
      </w:r>
      <w:r>
        <w:rPr>
          <w:rFonts w:cs="FrankRuehl" w:hint="cs" w:ascii="FrankRuehl" w:hAnsi="FrankRuehl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cs="FrankRuehl" w:ascii="FrankRuehl" w:hAnsi="FrankRuehl"/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עירוב תבשילין לדבר שאינו צרכי סעודה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יא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נחלקו רבוותא אם מהני עירוב תבשילין לדבר שאינו מצרכי סעודה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והא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ר בסימן 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סק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כתב בשם המהרש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דמותר לקפל טלית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כשהניח עירוב תבשילין ומבו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בדבריו דמהני עירוב תבשילין לדבר שאינו מצרכי סעודה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והדע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ת בסימן תקכ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הק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דד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המהרש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סותרים למש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ביש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 בביצה פ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סימן 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דל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עירוב תבשילין לדברים שאינם מצרכי הסעודה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עיי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ולכאו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בזה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דהנה בעיקר מה שנקט המהרש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דאסור לקפל טלית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בלא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יש להעיר ממש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בגל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הגרע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למג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 סימן 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סק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דמותר להציע המיטות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אף כשלא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שהרי לדעת ר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יהושע בשבת קי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ג 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מציעין את המטות מיוהכ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פ לשבת כיון דקדושתו חמורה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דפליג הוא משום דס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דחלבי שבת אין קריבין ביוהכ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פ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אך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שרי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שהרי חלבי שבת קריבין ביו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cs="FrankRuehl" w:hint="cs" w:ascii="FrankRuehl" w:hAnsi="FrankRuehl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וי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בדעת המהרש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דאף דמדינא לא היה לנו לאסור לקפל טלית משבת ליו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מכח תקנת עירוב תבשילין נאסר לקפל הטלית כשלא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וזה למש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נ לעיל די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דבתקנת עירוב תבשילין נתחדש איסור בפנ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לבשל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כשלא הניח עירוב תבשילין 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 -  </w:t>
      </w:r>
      <w:r>
        <w:rPr>
          <w:rFonts w:ascii="FrankRuehl" w:hAnsi="FrankRuehl" w:hint="cs"/>
          <w:sz w:val="26"/>
          <w:szCs w:val="26"/>
          <w:rtl w:val="true"/>
        </w:rPr>
        <w:t>ולפ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נראה דמה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הוא דכל שהניח עירוב תבשילין שרי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דכל הא דל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עירוב תבשילין להתיר דבר שאינו מצרכי סעודה הוא רק בגוונא שיש לנו לאסור מדינא לעשותו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ובאנו לדון דיועיל העירוב תבשילין להתירו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אך בקיפול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דמדינא 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לנו לאסרו כלל וכל הא דאסרינן ליה הוא משום שלא הניח עירוב תבשילין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הרי דכל שהניח עירוב תבשילין אין מקום לאסרו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שהרי 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שהעירוב תבשילין יתיר לקפל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אלא כל שהניח עירוב תבשילין אין מקום כלל לאסור עליו לקפל</w:t>
      </w:r>
      <w:r>
        <w:rPr>
          <w:rFonts w:cs="FrankRuehl" w:hint="cs" w:ascii="FrankRuehl" w:hAnsi="FrankRuehl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אך לפ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נתחדש דבתקנת עירוב תבשילין נכלל תרתי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חדא דדבר האסור מדינא לעשותו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 מהני העירוב תבשילין להתירו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ועוד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דגם דבר המותר מדינא לעשותו מיו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לשבת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אסרו לעשותו בלא עירוב תבשילין כדי שיברור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', </w:t>
      </w:r>
      <w:r>
        <w:rPr>
          <w:rFonts w:ascii="FrankRuehl" w:hAnsi="FrankRuehl" w:hint="cs"/>
          <w:sz w:val="26"/>
          <w:szCs w:val="26"/>
          <w:rtl w:val="true"/>
        </w:rPr>
        <w:t>וצ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sectPr>
      <w:headerReference w:type="default" r:id="rId2"/>
      <w:footnotePr>
        <w:numFmt w:val="hebrew1"/>
      </w:footnotePr>
      <w:type w:val="nextPage"/>
      <w:pgSz w:w="11906" w:h="16838"/>
      <w:pgMar w:left="1134" w:right="1134" w:gutter="0" w:header="850" w:top="1276" w:footer="0" w:bottom="1134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FrankRuehl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Aharoni"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Miriam"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exact" w:line="300" w:before="0" w:after="120"/>
        <w:ind w:end="0"/>
        <w:jc w:val="both"/>
        <w:rPr>
          <w:rFonts w:hint="cs"/>
          <w:sz w:val="24"/>
          <w:szCs w:val="22"/>
        </w:rPr>
      </w:pPr>
      <w:r>
        <w:rPr>
          <w:rStyle w:val="FootnoteCharacters"/>
        </w:rPr>
        <w:footnoteRef/>
      </w:r>
      <w:r>
        <w:rPr>
          <w:rFonts w:hint="cs"/>
          <w:sz w:val="22"/>
          <w:rtl w:val="true"/>
        </w:rPr>
        <w:t xml:space="preserve"> </w:t>
      </w:r>
      <w:r>
        <w:rPr>
          <w:rFonts w:hint="cs"/>
          <w:sz w:val="24"/>
          <w:szCs w:val="22"/>
          <w:rtl w:val="true"/>
        </w:rPr>
        <w:t>וכ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ה מבו</w:t>
      </w:r>
      <w:r>
        <w:rPr>
          <w:rFonts w:hint="cs"/>
          <w:sz w:val="24"/>
          <w:szCs w:val="22"/>
          <w:rtl w:val="true"/>
        </w:rPr>
        <w:t xml:space="preserve">' </w:t>
      </w:r>
      <w:r>
        <w:rPr>
          <w:rFonts w:hint="cs"/>
          <w:sz w:val="24"/>
          <w:szCs w:val="22"/>
          <w:rtl w:val="true"/>
        </w:rPr>
        <w:t>להדיא בד</w:t>
      </w:r>
      <w:r>
        <w:rPr>
          <w:rFonts w:hint="cs"/>
          <w:sz w:val="24"/>
          <w:szCs w:val="22"/>
          <w:rtl w:val="true"/>
        </w:rPr>
        <w:t xml:space="preserve">' </w:t>
      </w:r>
      <w:r>
        <w:rPr>
          <w:rFonts w:hint="cs"/>
          <w:sz w:val="24"/>
          <w:szCs w:val="22"/>
          <w:rtl w:val="true"/>
        </w:rPr>
        <w:t>הבעה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מ בפסחים שם</w:t>
      </w:r>
      <w:r>
        <w:rPr>
          <w:rFonts w:hint="cs"/>
          <w:sz w:val="24"/>
          <w:szCs w:val="22"/>
          <w:rtl w:val="true"/>
        </w:rPr>
        <w:t xml:space="preserve">, </w:t>
      </w:r>
      <w:r>
        <w:rPr>
          <w:rFonts w:hint="cs"/>
          <w:sz w:val="24"/>
          <w:szCs w:val="22"/>
          <w:rtl w:val="true"/>
        </w:rPr>
        <w:t>דמש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כ שם דבשעת הדחק אמרינן הואיל לכתחילה יש ללמוד כן מהא דשרי לאפות מיו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ט לשבת</w:t>
      </w:r>
      <w:r>
        <w:rPr>
          <w:rFonts w:hint="cs"/>
          <w:sz w:val="24"/>
          <w:szCs w:val="22"/>
          <w:rtl w:val="true"/>
        </w:rPr>
        <w:t xml:space="preserve">, </w:t>
      </w:r>
      <w:r>
        <w:rPr>
          <w:rFonts w:hint="cs"/>
          <w:sz w:val="24"/>
          <w:szCs w:val="22"/>
          <w:rtl w:val="true"/>
        </w:rPr>
        <w:t>והרי דאילו היה בזה איסור דרבנן</w:t>
      </w:r>
      <w:r>
        <w:rPr>
          <w:rFonts w:hint="cs"/>
          <w:sz w:val="24"/>
          <w:szCs w:val="22"/>
          <w:rtl w:val="true"/>
        </w:rPr>
        <w:t xml:space="preserve">, </w:t>
      </w:r>
      <w:r>
        <w:rPr>
          <w:rFonts w:hint="cs"/>
          <w:sz w:val="24"/>
          <w:szCs w:val="22"/>
          <w:rtl w:val="true"/>
        </w:rPr>
        <w:t>ל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ה שרינן לאפות מיו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ט לשבת אף שעירב עירוב תבשילין</w:t>
      </w:r>
      <w:r>
        <w:rPr>
          <w:rFonts w:hint="cs"/>
          <w:sz w:val="24"/>
          <w:szCs w:val="22"/>
          <w:rtl w:val="true"/>
        </w:rPr>
        <w:t>, (</w:t>
      </w:r>
      <w:r>
        <w:rPr>
          <w:rFonts w:hint="cs"/>
          <w:sz w:val="24"/>
          <w:szCs w:val="22"/>
          <w:rtl w:val="true"/>
        </w:rPr>
        <w:t>וכ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ה גם משמעות ד</w:t>
      </w:r>
      <w:r>
        <w:rPr>
          <w:rFonts w:hint="cs"/>
          <w:sz w:val="24"/>
          <w:szCs w:val="22"/>
          <w:rtl w:val="true"/>
        </w:rPr>
        <w:t xml:space="preserve">' </w:t>
      </w:r>
      <w:r>
        <w:rPr>
          <w:rFonts w:hint="cs"/>
          <w:sz w:val="24"/>
          <w:szCs w:val="22"/>
          <w:rtl w:val="true"/>
        </w:rPr>
        <w:t>ש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ר דקיימי בדעה זו</w:t>
      </w:r>
      <w:r>
        <w:rPr>
          <w:rFonts w:hint="cs"/>
          <w:sz w:val="24"/>
          <w:szCs w:val="22"/>
          <w:rtl w:val="true"/>
        </w:rPr>
        <w:t xml:space="preserve">, </w:t>
      </w:r>
      <w:r>
        <w:rPr>
          <w:rFonts w:hint="cs"/>
          <w:sz w:val="24"/>
          <w:szCs w:val="22"/>
          <w:rtl w:val="true"/>
        </w:rPr>
        <w:t>דכל הא דשרי  למי שהניח ע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ת לאפות מיו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ט לשבת</w:t>
      </w:r>
      <w:r>
        <w:rPr>
          <w:rFonts w:hint="cs"/>
          <w:sz w:val="24"/>
          <w:szCs w:val="22"/>
          <w:rtl w:val="true"/>
        </w:rPr>
        <w:t xml:space="preserve">, </w:t>
      </w:r>
      <w:r>
        <w:rPr>
          <w:rFonts w:hint="cs"/>
          <w:sz w:val="24"/>
          <w:szCs w:val="22"/>
          <w:rtl w:val="true"/>
        </w:rPr>
        <w:t>הוא רק משום דבמקום דאי אפשר ובמקום מצוה אמרינן הואיל לכתחילה</w:t>
      </w:r>
      <w:r>
        <w:rPr>
          <w:rFonts w:hint="cs"/>
          <w:sz w:val="24"/>
          <w:szCs w:val="22"/>
          <w:rtl w:val="true"/>
        </w:rPr>
        <w:t xml:space="preserve">), </w:t>
      </w:r>
      <w:r>
        <w:rPr>
          <w:rFonts w:hint="cs"/>
          <w:sz w:val="24"/>
          <w:szCs w:val="22"/>
          <w:rtl w:val="true"/>
        </w:rPr>
        <w:t>ולפ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ז הרי דבגוונא דל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ש הואיל</w:t>
      </w:r>
      <w:r>
        <w:rPr>
          <w:rFonts w:hint="cs"/>
          <w:sz w:val="24"/>
          <w:szCs w:val="22"/>
          <w:rtl w:val="true"/>
        </w:rPr>
        <w:t xml:space="preserve">, </w:t>
      </w:r>
      <w:r>
        <w:rPr>
          <w:rFonts w:hint="cs"/>
          <w:sz w:val="24"/>
          <w:szCs w:val="22"/>
          <w:rtl w:val="true"/>
        </w:rPr>
        <w:t>ל</w:t>
      </w:r>
      <w:r>
        <w:rPr>
          <w:rFonts w:hint="cs"/>
          <w:sz w:val="24"/>
          <w:szCs w:val="22"/>
          <w:rtl w:val="true"/>
        </w:rPr>
        <w:t>"</w:t>
      </w:r>
      <w:r>
        <w:rPr>
          <w:rFonts w:hint="cs"/>
          <w:sz w:val="24"/>
          <w:szCs w:val="22"/>
          <w:rtl w:val="true"/>
        </w:rPr>
        <w:t>מ עירוב תבשילין להתיר אף לאיסור דרבנן</w:t>
      </w:r>
      <w:r>
        <w:rPr>
          <w:rFonts w:hint="cs"/>
          <w:sz w:val="24"/>
          <w:szCs w:val="22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start"/>
      <w:rPr/>
    </w:pPr>
    <w:r>
      <w:rPr>
        <w:rtl w:val="true"/>
      </w:rPr>
      <w:t>בס</w:t>
    </w:r>
    <w:r>
      <w:rPr>
        <w:rtl w:val="true"/>
      </w:rPr>
      <w:t>"</w:t>
    </w:r>
    <w:r>
      <w:rPr>
        <w:rtl w:val="true"/>
      </w:rPr>
      <w:t>ד</w:t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column">
                <wp:align>left</wp:align>
              </wp:positionH>
              <wp:positionV relativeFrom="paragraph">
                <wp:posOffset>635</wp:posOffset>
              </wp:positionV>
              <wp:extent cx="70485" cy="1606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4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55pt;height:12.65pt;mso-wrap-distance-left:0pt;mso-wrap-distance-right:0pt;mso-wrap-distance-top:0pt;mso-wrap-distance-bottom:0pt;margin-top:0.05pt;mso-position-vertical-relative:text;margin-left:0pt;mso-position-horizontal:left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4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6"/>
  <w:gutterAtTop/>
  <w:defaultTabStop w:val="720"/>
  <w:autoHyphenation w:val="true"/>
  <w:hyphenationZone w:val="0"/>
  <w:footnotePr>
    <w:numFmt w:val="hebrew1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FrankRuehl"/>
      <w:color w:val="auto"/>
      <w:sz w:val="22"/>
      <w:szCs w:val="22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ind w:hanging="0" w:start="0" w:end="0"/>
      <w:jc w:val="center"/>
      <w:outlineLvl w:val="0"/>
    </w:pPr>
    <w:rPr>
      <w:rFonts w:ascii="Cambria" w:hAnsi="Cambria" w:eastAsia="Times New Roman" w:cs="Times New Roman"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360" w:before="40" w:after="0"/>
      <w:ind w:hanging="0" w:start="0" w:end="0"/>
      <w:jc w:val="center"/>
      <w:outlineLvl w:val="1"/>
    </w:pPr>
    <w:rPr>
      <w:rFonts w:ascii="FrankRuehl" w:hAnsi="FrankRuehl" w:eastAsia="Times New Roman" w:cs="FrankRuehl"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360" w:before="40" w:after="120"/>
      <w:ind w:hanging="0" w:start="360" w:end="0"/>
      <w:jc w:val="center"/>
      <w:outlineLvl w:val="2"/>
    </w:pPr>
    <w:rPr>
      <w:rFonts w:ascii="Cambria" w:hAnsi="Cambria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40" w:after="0"/>
      <w:ind w:hanging="0" w:start="0" w:end="0"/>
      <w:jc w:val="center"/>
      <w:outlineLvl w:val="3"/>
    </w:pPr>
    <w:rPr>
      <w:rFonts w:ascii="Cambria" w:hAnsi="Cambria" w:eastAsia="Times New Roman" w:cs="Times New Roman"/>
      <w:b/>
      <w:bCs/>
      <w:i/>
      <w:color w:val="000000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ind w:hanging="0" w:start="0" w:end="0"/>
      <w:jc w:val="both"/>
      <w:outlineLvl w:val="4"/>
    </w:pPr>
    <w:rPr>
      <w:rFonts w:ascii="Cambria" w:hAnsi="Cambria" w:eastAsia="Times New Roman" w:cs="Times New Roman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ind w:hanging="0" w:start="0" w:end="0"/>
      <w:jc w:val="both"/>
      <w:outlineLvl w:val="5"/>
    </w:pPr>
    <w:rPr>
      <w:rFonts w:ascii="Cambria" w:hAnsi="Cambria" w:eastAsia="Times New Roman" w:cs="Times New Roman"/>
      <w:i/>
      <w:iCs/>
      <w:color w:val="243F6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Calibri" w:hAnsi="Calibri" w:eastAsia="Calibri" w:cs="FrankRueh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sz w:val="8"/>
      <w:szCs w:val="26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/>
      <w:bCs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b/>
      <w:sz w:val="22"/>
    </w:rPr>
  </w:style>
  <w:style w:type="character" w:styleId="WW8Num11z0">
    <w:name w:val="WW8Num11z0"/>
    <w:qFormat/>
    <w:rPr>
      <w:rFonts w:ascii="FrankRuehl" w:hAnsi="FrankRuehl" w:eastAsia="Times New Roman" w:cs="FrankRueh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alibri" w:hAnsi="Calibri" w:eastAsia="Calibri" w:cs="David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alibri" w:hAnsi="Calibri" w:eastAsia="Calibri" w:cs="FrankRueh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alibri" w:hAnsi="Calibri" w:eastAsia="Calibri" w:cs="FrankRueh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Style8">
    <w:name w:val="גופן ברירת המחדל של פיסקה"/>
    <w:qFormat/>
    <w:rPr/>
  </w:style>
  <w:style w:type="character" w:styleId="Style9">
    <w:name w:val="כותרת עליונה תו"/>
    <w:qFormat/>
    <w:rPr>
      <w:rFonts w:ascii="Times New Roman" w:hAnsi="Times New Roman" w:eastAsia="SimSun;宋体" w:cs="Times New Roman"/>
      <w:sz w:val="22"/>
      <w:szCs w:val="22"/>
    </w:rPr>
  </w:style>
  <w:style w:type="character" w:styleId="1">
    <w:name w:val="כותרת עליונה תו1"/>
    <w:qFormat/>
    <w:rPr>
      <w:sz w:val="22"/>
      <w:szCs w:val="22"/>
    </w:rPr>
  </w:style>
  <w:style w:type="character" w:styleId="PageNumber">
    <w:name w:val="page number"/>
    <w:rPr/>
  </w:style>
  <w:style w:type="character" w:styleId="Style10">
    <w:name w:val="טקסט הערת שוליים תו"/>
    <w:qFormat/>
    <w:rPr>
      <w:rFonts w:ascii="Times New Roman" w:hAnsi="Times New Roman" w:eastAsia="SimSun;宋体" w:cs="Times New Roman"/>
    </w:rPr>
  </w:style>
  <w:style w:type="character" w:styleId="FootnoteCharacters">
    <w:name w:val="Footnote Characters"/>
    <w:qFormat/>
    <w:rPr>
      <w:vertAlign w:val="superscript"/>
    </w:rPr>
  </w:style>
  <w:style w:type="character" w:styleId="Style11">
    <w:name w:val="כותרת תחתונה תו"/>
    <w:qFormat/>
    <w:rPr>
      <w:sz w:val="22"/>
      <w:szCs w:val="22"/>
    </w:rPr>
  </w:style>
  <w:style w:type="character" w:styleId="11">
    <w:name w:val="כותרת 1 תו"/>
    <w:qFormat/>
    <w:rPr>
      <w:rFonts w:ascii="Cambria" w:hAnsi="Cambria" w:eastAsia="Times New Roman" w:cs="Times New Roman"/>
      <w:bCs/>
      <w:sz w:val="32"/>
      <w:szCs w:val="32"/>
    </w:rPr>
  </w:style>
  <w:style w:type="character" w:styleId="2">
    <w:name w:val="כותרת 2 תו"/>
    <w:qFormat/>
    <w:rPr>
      <w:rFonts w:ascii="FrankRuehl" w:hAnsi="FrankRuehl" w:eastAsia="Times New Roman" w:cs="FrankRuehl"/>
      <w:bCs/>
      <w:sz w:val="30"/>
      <w:szCs w:val="30"/>
    </w:rPr>
  </w:style>
  <w:style w:type="character" w:styleId="3">
    <w:name w:val="כותרת 3 תו"/>
    <w:qFormat/>
    <w:rPr>
      <w:rFonts w:ascii="Cambria" w:hAnsi="Cambria" w:eastAsia="Times New Roman" w:cs="Times New Roman"/>
      <w:b/>
      <w:bCs/>
      <w:color w:val="000000"/>
      <w:sz w:val="24"/>
      <w:szCs w:val="24"/>
    </w:rPr>
  </w:style>
  <w:style w:type="character" w:styleId="4">
    <w:name w:val="כותרת 4 תו"/>
    <w:qFormat/>
    <w:rPr>
      <w:rFonts w:ascii="Cambria" w:hAnsi="Cambria" w:eastAsia="Times New Roman" w:cs="Times New Roman"/>
      <w:b/>
      <w:bCs/>
      <w:i/>
      <w:color w:val="000000"/>
      <w:sz w:val="22"/>
      <w:szCs w:val="22"/>
    </w:rPr>
  </w:style>
  <w:style w:type="character" w:styleId="Style12">
    <w:name w:val="כותרת משנה תו"/>
    <w:qFormat/>
    <w:rPr>
      <w:rFonts w:eastAsia="Times New Roman" w:cs="Arial"/>
      <w:color w:val="5A5A5A"/>
      <w:spacing w:val="15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טקסט בלונים תו"/>
    <w:qFormat/>
    <w:rPr>
      <w:rFonts w:ascii="Tahoma" w:hAnsi="Tahoma" w:cs="Tahoma"/>
      <w:sz w:val="18"/>
      <w:szCs w:val="18"/>
    </w:rPr>
  </w:style>
  <w:style w:type="character" w:styleId="Style14">
    <w:name w:val="הפניה להערה"/>
    <w:qFormat/>
    <w:rPr>
      <w:sz w:val="16"/>
      <w:szCs w:val="16"/>
    </w:rPr>
  </w:style>
  <w:style w:type="character" w:styleId="Style15">
    <w:name w:val="טקסט הערה תו"/>
    <w:qFormat/>
    <w:rPr>
      <w:rFonts w:ascii="Times New Roman" w:hAnsi="Times New Roman" w:eastAsia="Times New Roman" w:cs="Times New Roman"/>
    </w:rPr>
  </w:style>
  <w:style w:type="character" w:styleId="Style16">
    <w:name w:val="נושא הערה תו"/>
    <w:qFormat/>
    <w:rPr>
      <w:rFonts w:ascii="Times New Roman" w:hAnsi="Times New Roman" w:eastAsia="Times New Roman" w:cs="Times New Roman"/>
      <w:b/>
      <w:bCs/>
    </w:rPr>
  </w:style>
  <w:style w:type="character" w:styleId="5">
    <w:name w:val="כותרת 5 תו"/>
    <w:qFormat/>
    <w:rPr>
      <w:rFonts w:ascii="Cambria" w:hAnsi="Cambria" w:eastAsia="Times New Roman" w:cs="Times New Roman"/>
      <w:color w:val="243F60"/>
      <w:sz w:val="22"/>
      <w:szCs w:val="22"/>
    </w:rPr>
  </w:style>
  <w:style w:type="character" w:styleId="6">
    <w:name w:val="כותרת 6 תו"/>
    <w:qFormat/>
    <w:rPr>
      <w:rFonts w:ascii="Cambria" w:hAnsi="Cambria" w:eastAsia="Times New Roman" w:cs="Times New Roman"/>
      <w:i/>
      <w:iCs/>
      <w:color w:val="243F60"/>
      <w:sz w:val="22"/>
      <w:szCs w:val="22"/>
    </w:rPr>
  </w:style>
  <w:style w:type="character" w:styleId="12">
    <w:name w:val="טקסט הערת שוליים תו1"/>
    <w:basedOn w:val="Style8"/>
    <w:qFormat/>
    <w:rPr/>
  </w:style>
  <w:style w:type="character" w:styleId="Style17">
    <w:name w:val="גוף טקסט תו"/>
    <w:qFormat/>
    <w:rPr>
      <w:rFonts w:ascii="Times New Roman" w:hAnsi="Times New Roman" w:eastAsia="Times New Roman" w:cs="Miriam"/>
      <w:szCs w:val="22"/>
    </w:rPr>
  </w:style>
  <w:style w:type="character" w:styleId="-">
    <w:name w:val="מראה מקומות - ביאורים"/>
    <w:qFormat/>
    <w:rPr>
      <w:rFonts w:ascii="David" w:hAnsi="David" w:cs="David"/>
      <w:sz w:val="18"/>
      <w:szCs w:val="18"/>
    </w:rPr>
  </w:style>
  <w:style w:type="character" w:styleId="--">
    <w:name w:val="מ&quot;מ - הערות - ביאורים"/>
    <w:qFormat/>
    <w:rPr>
      <w:sz w:val="8"/>
      <w:szCs w:val="12"/>
    </w:rPr>
  </w:style>
  <w:style w:type="character" w:styleId="Style18">
    <w:name w:val="סוגריים"/>
    <w:qFormat/>
    <w:rPr>
      <w:rFonts w:ascii="David" w:hAnsi="David" w:cs="David"/>
      <w:sz w:val="18"/>
      <w:szCs w:val="18"/>
    </w:rPr>
  </w:style>
  <w:style w:type="character" w:styleId="Style19">
    <w:name w:val="אות גדולה"/>
    <w:qFormat/>
    <w:rPr>
      <w:rFonts w:cs="Aharoni"/>
      <w:sz w:val="28"/>
      <w:szCs w:val="28"/>
    </w:rPr>
  </w:style>
  <w:style w:type="character" w:styleId="Style20">
    <w:name w:val="אות קטנה"/>
    <w:qFormat/>
    <w:rPr>
      <w:rFonts w:ascii="Aharoni" w:hAnsi="Aharoni" w:cs="Aharoni"/>
      <w:b/>
      <w:bCs/>
      <w:sz w:val="24"/>
      <w:szCs w:val="24"/>
    </w:rPr>
  </w:style>
  <w:style w:type="character" w:styleId="13">
    <w:name w:val="ציטוט1"/>
    <w:qFormat/>
    <w:rPr>
      <w:rFonts w:ascii="Times New Roman" w:hAnsi="Times New Roman" w:cs="Times New Roman"/>
      <w:b/>
      <w:bCs/>
    </w:rPr>
  </w:style>
  <w:style w:type="character" w:styleId="Char">
    <w:name w:val="מספר הסימן Char"/>
    <w:qFormat/>
    <w:rPr>
      <w:rFonts w:cs="David"/>
      <w:b/>
      <w:bCs/>
      <w:sz w:val="32"/>
      <w:szCs w:val="32"/>
    </w:rPr>
  </w:style>
  <w:style w:type="character" w:styleId="Style31">
    <w:name w:val="Style3"/>
    <w:qFormat/>
    <w:rPr>
      <w:rFonts w:ascii="Aharoni" w:hAnsi="Aharoni" w:cs="David"/>
      <w:b/>
      <w:bCs/>
      <w:sz w:val="24"/>
    </w:rPr>
  </w:style>
  <w:style w:type="character" w:styleId="Style21">
    <w:name w:val="טקסט הערת סיום תו"/>
    <w:qFormat/>
    <w:rPr>
      <w:rFonts w:ascii="David" w:hAnsi="David" w:cs="David"/>
    </w:rPr>
  </w:style>
  <w:style w:type="character" w:styleId="14">
    <w:name w:val="טקסט הערת סיום תו1"/>
    <w:basedOn w:val="Style8"/>
    <w:qFormat/>
    <w:rPr/>
  </w:style>
  <w:style w:type="character" w:styleId="Style22">
    <w:name w:val="טקסט רגיל תו"/>
    <w:qFormat/>
    <w:rPr>
      <w:rFonts w:ascii="Courier New" w:hAnsi="Courier New" w:eastAsia="Times New Roman" w:cs="Courier New"/>
    </w:rPr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  <w:ind w:hanging="0" w:start="0" w:end="0"/>
      <w:jc w:val="both"/>
    </w:pPr>
    <w:rPr>
      <w:rFonts w:ascii="Times New Roman" w:hAnsi="Times New Roman" w:eastAsia="Times New Roman" w:cs="Miriam"/>
      <w:sz w:val="20"/>
    </w:rPr>
  </w:style>
  <w:style w:type="paragraph" w:styleId="List">
    <w:name w:val="List"/>
    <w:basedOn w:val="Normal"/>
    <w:pPr>
      <w:spacing w:before="0" w:after="120"/>
      <w:ind w:hanging="360" w:start="360" w:end="0"/>
      <w:contextualSpacing/>
      <w:jc w:val="both"/>
    </w:pPr>
    <w:rPr>
      <w:rFonts w:ascii="David" w:hAnsi="David" w:cs="David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ind w:hanging="0" w:start="0" w:end="0"/>
      <w:jc w:val="start"/>
    </w:pPr>
    <w:rPr>
      <w:rFonts w:ascii="Times New Roman" w:hAnsi="Times New Roman" w:eastAsia="SimSun;宋体" w:cs="Times New Roman"/>
    </w:rPr>
  </w:style>
  <w:style w:type="paragraph" w:styleId="FootnoteText">
    <w:name w:val="footnote text"/>
    <w:basedOn w:val="Normal"/>
    <w:pPr>
      <w:spacing w:lineRule="auto" w:line="240" w:before="0" w:after="0"/>
      <w:ind w:hanging="0" w:start="0" w:end="0"/>
      <w:jc w:val="start"/>
    </w:pPr>
    <w:rPr>
      <w:rFonts w:ascii="Times New Roman" w:hAnsi="Times New Roman" w:eastAsia="SimSun;宋体" w:cs="Times New Roman"/>
      <w:sz w:val="20"/>
      <w:szCs w:val="20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160"/>
      <w:ind w:hanging="0" w:start="0" w:end="0"/>
      <w:jc w:val="center"/>
    </w:pPr>
    <w:rPr>
      <w:rFonts w:ascii="Calibri" w:hAnsi="Calibri" w:eastAsia="Times New Roman" w:cs="Arial"/>
      <w:color w:val="5A5A5A"/>
      <w:spacing w:val="15"/>
    </w:rPr>
  </w:style>
  <w:style w:type="paragraph" w:styleId="Style23">
    <w:name w:val="כותרת תוכן עניינים"/>
    <w:basedOn w:val="Heading1"/>
    <w:next w:val="Normal"/>
    <w:qFormat/>
    <w:pPr>
      <w:numPr>
        <w:ilvl w:val="0"/>
        <w:numId w:val="0"/>
      </w:numPr>
      <w:spacing w:lineRule="auto" w:line="257"/>
      <w:ind w:hanging="0" w:start="0" w:end="0"/>
      <w:jc w:val="start"/>
      <w:outlineLvl w:val="9"/>
    </w:pPr>
    <w:rPr>
      <w:rFonts w:ascii="Cambria" w:hAnsi="Cambria" w:eastAsia="Times New Roman" w:cs="Times New Roman"/>
      <w:bCs w:val="false"/>
      <w:color w:val="365F91"/>
    </w:rPr>
  </w:style>
  <w:style w:type="paragraph" w:styleId="TOC1">
    <w:name w:val="toc 1"/>
    <w:basedOn w:val="Normal"/>
    <w:next w:val="Normal"/>
    <w:pPr>
      <w:spacing w:before="0" w:after="100"/>
      <w:ind w:hanging="0" w:start="0" w:end="0"/>
      <w:jc w:val="both"/>
    </w:pPr>
    <w:rPr>
      <w:rFonts w:ascii="Calibri" w:hAnsi="Calibri" w:eastAsia="Calibri" w:cs="Arial"/>
    </w:rPr>
  </w:style>
  <w:style w:type="paragraph" w:styleId="TOC2">
    <w:name w:val="toc 2"/>
    <w:basedOn w:val="Normal"/>
    <w:next w:val="Normal"/>
    <w:pPr>
      <w:spacing w:before="0" w:after="100"/>
      <w:ind w:hanging="0" w:start="220" w:end="0"/>
      <w:jc w:val="both"/>
    </w:pPr>
    <w:rPr>
      <w:rFonts w:ascii="Calibri" w:hAnsi="Calibri" w:eastAsia="Calibri" w:cs="Arial"/>
    </w:rPr>
  </w:style>
  <w:style w:type="paragraph" w:styleId="TOC3">
    <w:name w:val="toc 3"/>
    <w:basedOn w:val="Normal"/>
    <w:next w:val="Normal"/>
    <w:pPr>
      <w:spacing w:before="0" w:after="100"/>
      <w:ind w:hanging="0" w:start="440" w:end="0"/>
      <w:jc w:val="both"/>
    </w:pPr>
    <w:rPr>
      <w:rFonts w:ascii="Calibri" w:hAnsi="Calibri" w:eastAsia="Calibri" w:cs="Arial"/>
    </w:rPr>
  </w:style>
  <w:style w:type="paragraph" w:styleId="Style24">
    <w:name w:val="טקסט בלונים"/>
    <w:basedOn w:val="Normal"/>
    <w:qFormat/>
    <w:pPr>
      <w:spacing w:lineRule="auto" w:line="240" w:before="0" w:after="0"/>
      <w:ind w:hanging="0" w:start="0" w:end="0"/>
      <w:jc w:val="both"/>
    </w:pPr>
    <w:rPr>
      <w:rFonts w:ascii="Tahoma" w:hAnsi="Tahoma" w:eastAsia="Calibri" w:cs="Tahoma"/>
      <w:sz w:val="18"/>
      <w:szCs w:val="18"/>
    </w:rPr>
  </w:style>
  <w:style w:type="paragraph" w:styleId="Style25">
    <w:name w:val="פיסקת רשימה"/>
    <w:basedOn w:val="Normal"/>
    <w:qFormat/>
    <w:pPr>
      <w:spacing w:lineRule="auto" w:line="257" w:before="0" w:after="160"/>
      <w:ind w:hanging="0" w:start="720" w:end="0"/>
      <w:contextualSpacing/>
      <w:jc w:val="both"/>
    </w:pPr>
    <w:rPr>
      <w:rFonts w:ascii="Calibri" w:hAnsi="Calibri" w:eastAsia="Calibri" w:cs="Arial"/>
    </w:rPr>
  </w:style>
  <w:style w:type="paragraph" w:styleId="Style26">
    <w:name w:val="טקסט הערה"/>
    <w:basedOn w:val="Normal"/>
    <w:qFormat/>
    <w:pPr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sz w:val="20"/>
      <w:szCs w:val="20"/>
    </w:rPr>
  </w:style>
  <w:style w:type="paragraph" w:styleId="Style27">
    <w:name w:val="נושא הערה"/>
    <w:basedOn w:val="Style26"/>
    <w:next w:val="Style26"/>
    <w:qFormat/>
    <w:pPr>
      <w:ind w:hanging="0" w:start="0" w:end="0"/>
      <w:jc w:val="start"/>
    </w:pPr>
    <w:rPr>
      <w:b/>
      <w:bCs/>
    </w:rPr>
  </w:style>
  <w:style w:type="paragraph" w:styleId="Style28">
    <w:name w:val="שם דף"/>
    <w:basedOn w:val="Normal"/>
    <w:qFormat/>
    <w:pPr>
      <w:spacing w:before="0" w:after="120"/>
      <w:ind w:hanging="0" w:start="0" w:end="0"/>
      <w:jc w:val="center"/>
    </w:pPr>
    <w:rPr>
      <w:rFonts w:ascii="David" w:hAnsi="David" w:cs="David"/>
      <w:b/>
      <w:bCs/>
      <w:sz w:val="32"/>
      <w:szCs w:val="32"/>
      <w:u w:val="single"/>
    </w:rPr>
  </w:style>
  <w:style w:type="paragraph" w:styleId="Style29">
    <w:name w:val="כותרת משנית"/>
    <w:basedOn w:val="Normal"/>
    <w:qFormat/>
    <w:pPr>
      <w:spacing w:before="0" w:after="0"/>
      <w:ind w:hanging="0" w:start="0" w:end="0"/>
      <w:jc w:val="center"/>
    </w:pPr>
    <w:rPr>
      <w:rFonts w:ascii="David" w:hAnsi="David" w:cs="David"/>
      <w:b/>
      <w:bCs/>
      <w:sz w:val="20"/>
      <w:szCs w:val="20"/>
      <w:u w:val="single"/>
    </w:rPr>
  </w:style>
  <w:style w:type="paragraph" w:styleId="Style30">
    <w:name w:val="הערות שוליים"/>
    <w:basedOn w:val="FootnoteText"/>
    <w:qFormat/>
    <w:pPr>
      <w:ind w:hanging="0" w:start="0" w:end="0"/>
      <w:jc w:val="both"/>
    </w:pPr>
    <w:rPr>
      <w:rFonts w:ascii="Arial" w:hAnsi="Arial" w:eastAsia="Calibri" w:cs="Arial"/>
      <w:sz w:val="16"/>
      <w:szCs w:val="16"/>
    </w:rPr>
  </w:style>
  <w:style w:type="paragraph" w:styleId="-1">
    <w:name w:val="הערות שולים - גוף"/>
    <w:basedOn w:val="FootnoteText"/>
    <w:qFormat/>
    <w:pPr>
      <w:spacing w:before="0" w:after="200"/>
      <w:ind w:hanging="0" w:start="0" w:end="0"/>
      <w:jc w:val="both"/>
    </w:pPr>
    <w:rPr>
      <w:rFonts w:ascii="Calibri" w:hAnsi="Calibri" w:eastAsia="Calibri" w:cs="Times New Roman"/>
      <w:sz w:val="12"/>
      <w:szCs w:val="16"/>
    </w:rPr>
  </w:style>
  <w:style w:type="paragraph" w:styleId="Style110">
    <w:name w:val="Style1"/>
    <w:basedOn w:val="Normal"/>
    <w:qFormat/>
    <w:pPr>
      <w:spacing w:before="0" w:after="120"/>
      <w:ind w:hanging="0" w:start="0" w:end="0"/>
      <w:jc w:val="both"/>
    </w:pPr>
    <w:rPr>
      <w:rFonts w:ascii="David" w:hAnsi="David" w:cs="David"/>
      <w:bCs/>
      <w:sz w:val="36"/>
      <w:szCs w:val="28"/>
    </w:rPr>
  </w:style>
  <w:style w:type="paragraph" w:styleId="Style32">
    <w:name w:val="ערך משנית"/>
    <w:basedOn w:val="Normal"/>
    <w:qFormat/>
    <w:pPr>
      <w:spacing w:before="0" w:after="120"/>
      <w:ind w:hanging="0" w:start="0" w:end="0"/>
      <w:jc w:val="both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styleId="Style33">
    <w:name w:val="רשימה מתובלטת"/>
    <w:basedOn w:val="Normal"/>
    <w:qFormat/>
    <w:pPr>
      <w:numPr>
        <w:ilvl w:val="0"/>
        <w:numId w:val="2"/>
      </w:numPr>
      <w:spacing w:before="0" w:after="120"/>
      <w:ind w:hanging="0" w:start="360" w:end="0"/>
      <w:contextualSpacing/>
      <w:jc w:val="both"/>
    </w:pPr>
    <w:rPr>
      <w:rFonts w:ascii="David" w:hAnsi="David" w:cs="David"/>
    </w:rPr>
  </w:style>
  <w:style w:type="paragraph" w:styleId="Style210">
    <w:name w:val="Style2"/>
    <w:basedOn w:val="Style28"/>
    <w:qFormat/>
    <w:pPr>
      <w:ind w:hanging="0" w:start="0" w:end="0"/>
      <w:jc w:val="center"/>
    </w:pPr>
    <w:rPr/>
  </w:style>
  <w:style w:type="paragraph" w:styleId="Style34">
    <w:name w:val="כותרת"/>
    <w:qFormat/>
    <w:pPr>
      <w:widowControl/>
      <w:bidi w:val="1"/>
      <w:spacing w:lineRule="auto" w:line="276" w:before="0" w:after="240"/>
      <w:ind w:hanging="0" w:start="0" w:end="0"/>
      <w:jc w:val="center"/>
    </w:pPr>
    <w:rPr>
      <w:rFonts w:ascii="Arial" w:hAnsi="Arial" w:eastAsia="Calibri" w:cs="Arial"/>
      <w:b/>
      <w:bCs/>
      <w:color w:val="auto"/>
      <w:sz w:val="26"/>
      <w:szCs w:val="26"/>
      <w:lang w:bidi="he-IL" w:val="en-US" w:eastAsia="zh-CN"/>
    </w:rPr>
  </w:style>
  <w:style w:type="paragraph" w:styleId="15">
    <w:name w:val="גוף1"/>
    <w:basedOn w:val="BodyText"/>
    <w:qFormat/>
    <w:pPr>
      <w:spacing w:lineRule="auto" w:line="276" w:before="0" w:after="120"/>
      <w:ind w:hanging="0" w:start="0" w:end="0"/>
      <w:jc w:val="both"/>
    </w:pPr>
    <w:rPr>
      <w:rFonts w:ascii="David" w:hAnsi="David" w:eastAsia="Calibri" w:cs="David"/>
      <w:sz w:val="22"/>
    </w:rPr>
  </w:style>
  <w:style w:type="paragraph" w:styleId="body-david">
    <w:name w:val="body - david"/>
    <w:basedOn w:val="Normal"/>
    <w:qFormat/>
    <w:pPr>
      <w:ind w:hanging="0" w:start="0" w:end="0"/>
      <w:jc w:val="both"/>
    </w:pPr>
    <w:rPr>
      <w:rFonts w:ascii="David" w:hAnsi="David" w:cs="David"/>
    </w:rPr>
  </w:style>
  <w:style w:type="paragraph" w:styleId="Style35">
    <w:name w:val="כותרת סוגיא"/>
    <w:qFormat/>
    <w:pPr>
      <w:widowControl/>
      <w:bidi w:val="1"/>
      <w:spacing w:lineRule="auto" w:line="276"/>
      <w:ind w:hanging="0" w:start="0" w:end="0"/>
      <w:jc w:val="center"/>
    </w:pPr>
    <w:rPr>
      <w:rFonts w:ascii="Miriam" w:hAnsi="Miriam" w:eastAsia="Calibri" w:cs="David"/>
      <w:b/>
      <w:bCs/>
      <w:color w:val="auto"/>
      <w:sz w:val="34"/>
      <w:szCs w:val="34"/>
      <w:lang w:bidi="he-IL" w:val="en-US" w:eastAsia="zh-CN"/>
    </w:rPr>
  </w:style>
  <w:style w:type="paragraph" w:styleId="Style36">
    <w:name w:val="הערות שולים"/>
    <w:qFormat/>
    <w:pPr>
      <w:widowControl/>
      <w:bidi w:val="1"/>
      <w:ind w:hanging="0" w:start="0" w:end="0"/>
      <w:jc w:val="both"/>
    </w:pPr>
    <w:rPr>
      <w:rFonts w:ascii="Calibri" w:hAnsi="Calibri" w:eastAsia="Calibri" w:cs="Arial"/>
      <w:color w:val="auto"/>
      <w:sz w:val="16"/>
      <w:szCs w:val="16"/>
      <w:lang w:bidi="he-IL" w:val="en-US" w:eastAsia="zh-CN"/>
    </w:rPr>
  </w:style>
  <w:style w:type="paragraph" w:styleId="Style37">
    <w:name w:val="הערת שוליים"/>
    <w:basedOn w:val="FootnoteText"/>
    <w:qFormat/>
    <w:pPr>
      <w:ind w:hanging="0" w:start="0" w:end="0"/>
      <w:jc w:val="both"/>
    </w:pPr>
    <w:rPr>
      <w:rFonts w:ascii="Calibri" w:hAnsi="Calibri" w:eastAsia="Calibri" w:cs="Arial"/>
      <w:sz w:val="16"/>
      <w:szCs w:val="16"/>
    </w:rPr>
  </w:style>
  <w:style w:type="paragraph" w:styleId="Style38">
    <w:name w:val="הערות"/>
    <w:basedOn w:val="FootnoteText"/>
    <w:qFormat/>
    <w:pPr>
      <w:ind w:hanging="0" w:start="0" w:end="0"/>
      <w:jc w:val="both"/>
    </w:pPr>
    <w:rPr>
      <w:rFonts w:ascii="Calibri" w:hAnsi="Calibri" w:eastAsia="Calibri" w:cs="Arial"/>
      <w:sz w:val="16"/>
      <w:szCs w:val="16"/>
    </w:rPr>
  </w:style>
  <w:style w:type="paragraph" w:styleId="Style39">
    <w:name w:val="מספר הסימן"/>
    <w:basedOn w:val="Normal"/>
    <w:qFormat/>
    <w:pPr>
      <w:spacing w:before="0" w:after="0"/>
      <w:ind w:hanging="0" w:start="0" w:end="0"/>
      <w:jc w:val="center"/>
    </w:pPr>
    <w:rPr>
      <w:rFonts w:cs="David"/>
      <w:b/>
      <w:bCs/>
      <w:sz w:val="32"/>
      <w:szCs w:val="32"/>
    </w:rPr>
  </w:style>
  <w:style w:type="paragraph" w:styleId="Style40">
    <w:name w:val="שם סעיף"/>
    <w:basedOn w:val="Normal"/>
    <w:qFormat/>
    <w:pPr>
      <w:ind w:hanging="0" w:start="0" w:end="0"/>
      <w:jc w:val="both"/>
    </w:pPr>
    <w:rPr>
      <w:rFonts w:ascii="David" w:hAnsi="David" w:cs="David"/>
      <w:b/>
      <w:bCs/>
      <w:sz w:val="28"/>
      <w:szCs w:val="28"/>
    </w:rPr>
  </w:style>
  <w:style w:type="paragraph" w:styleId="Style41">
    <w:name w:val="סוגרים"/>
    <w:basedOn w:val="Normal"/>
    <w:qFormat/>
    <w:pPr>
      <w:ind w:hanging="0" w:start="0" w:end="0"/>
      <w:jc w:val="both"/>
    </w:pPr>
    <w:rPr>
      <w:rFonts w:cs="David"/>
      <w:sz w:val="18"/>
      <w:szCs w:val="18"/>
    </w:rPr>
  </w:style>
  <w:style w:type="paragraph" w:styleId="EndnoteText">
    <w:name w:val="endnote text"/>
    <w:basedOn w:val="Normal"/>
    <w:pPr>
      <w:spacing w:lineRule="auto" w:line="240" w:before="0" w:after="0"/>
      <w:ind w:hanging="0" w:start="0" w:end="0"/>
      <w:jc w:val="both"/>
    </w:pPr>
    <w:rPr>
      <w:rFonts w:ascii="David" w:hAnsi="David" w:cs="David"/>
      <w:sz w:val="20"/>
      <w:szCs w:val="20"/>
    </w:rPr>
  </w:style>
  <w:style w:type="paragraph" w:styleId="Style42">
    <w:name w:val="שם סימן"/>
    <w:basedOn w:val="Normal"/>
    <w:qFormat/>
    <w:pPr>
      <w:ind w:hanging="0" w:start="0" w:end="0"/>
      <w:jc w:val="center"/>
    </w:pPr>
    <w:rPr>
      <w:rFonts w:ascii="Aharoni" w:hAnsi="Aharoni" w:cs="David"/>
      <w:sz w:val="36"/>
      <w:szCs w:val="36"/>
    </w:rPr>
  </w:style>
  <w:style w:type="paragraph" w:styleId="21">
    <w:name w:val="סגנון2"/>
    <w:basedOn w:val="FootnoteText"/>
    <w:qFormat/>
    <w:pPr>
      <w:spacing w:lineRule="auto" w:line="276" w:before="0" w:after="120"/>
      <w:ind w:hanging="0" w:start="0" w:end="0"/>
      <w:jc w:val="both"/>
    </w:pPr>
    <w:rPr>
      <w:rFonts w:ascii="Calibri" w:hAnsi="Calibri" w:eastAsia="Calibri" w:cs="Calibri"/>
    </w:rPr>
  </w:style>
  <w:style w:type="paragraph" w:styleId="16">
    <w:name w:val="סגנון1"/>
    <w:basedOn w:val="Normal"/>
    <w:next w:val="Normal"/>
    <w:qFormat/>
    <w:pPr>
      <w:spacing w:lineRule="auto" w:line="360"/>
      <w:ind w:hanging="0" w:start="0" w:end="0"/>
      <w:jc w:val="both"/>
      <w:outlineLvl w:val="1"/>
    </w:pPr>
    <w:rPr>
      <w:rFonts w:ascii="Times New Roman" w:hAnsi="Times New Roman" w:cs="Times New Roman"/>
      <w:bCs/>
      <w:sz w:val="30"/>
      <w:szCs w:val="31"/>
    </w:rPr>
  </w:style>
  <w:style w:type="paragraph" w:styleId="Style43">
    <w:name w:val="טקסט רגיל"/>
    <w:basedOn w:val="Normal"/>
    <w:qFormat/>
    <w:pPr>
      <w:spacing w:lineRule="auto" w:line="240" w:before="0" w:after="0"/>
      <w:ind w:hanging="0" w:start="0" w:end="0"/>
      <w:jc w:val="start"/>
    </w:pPr>
    <w:rPr>
      <w:rFonts w:ascii="Courier New" w:hAnsi="Courier New" w:eastAsia="Times New Roman" w:cs="Courier New"/>
      <w:sz w:val="20"/>
      <w:szCs w:val="20"/>
    </w:rPr>
  </w:style>
  <w:style w:type="paragraph" w:styleId="Style44">
    <w:name w:val="ללא מרווח"/>
    <w:qFormat/>
    <w:pPr>
      <w:widowControl/>
      <w:bidi w:val="1"/>
      <w:ind w:hanging="0" w:start="0" w:end="0"/>
      <w:jc w:val="start"/>
    </w:pPr>
    <w:rPr>
      <w:rFonts w:ascii="Calibri" w:hAnsi="Calibri" w:eastAsia="Calibri" w:cs="FrankRuehl"/>
      <w:color w:val="auto"/>
      <w:sz w:val="22"/>
      <w:szCs w:val="22"/>
      <w:lang w:bidi="he-IL" w:val="en-US" w:eastAsia="zh-CN"/>
    </w:rPr>
  </w:style>
  <w:style w:type="paragraph" w:styleId="TOC4">
    <w:name w:val="toc 4"/>
    <w:basedOn w:val="Normal"/>
    <w:next w:val="Normal"/>
    <w:pPr>
      <w:spacing w:before="0" w:after="100"/>
      <w:ind w:hanging="0" w:start="660" w:end="0"/>
      <w:jc w:val="start"/>
    </w:pPr>
    <w:rPr>
      <w:rFonts w:eastAsia="Times New Roman" w:cs="Arial"/>
    </w:rPr>
  </w:style>
  <w:style w:type="paragraph" w:styleId="TOC5">
    <w:name w:val="toc 5"/>
    <w:basedOn w:val="Normal"/>
    <w:next w:val="Normal"/>
    <w:pPr>
      <w:spacing w:before="0" w:after="100"/>
      <w:ind w:hanging="0" w:start="880" w:end="0"/>
      <w:jc w:val="start"/>
    </w:pPr>
    <w:rPr>
      <w:rFonts w:eastAsia="Times New Roman" w:cs="Arial"/>
    </w:rPr>
  </w:style>
  <w:style w:type="paragraph" w:styleId="TOC6">
    <w:name w:val="toc 6"/>
    <w:basedOn w:val="Normal"/>
    <w:next w:val="Normal"/>
    <w:pPr>
      <w:spacing w:before="0" w:after="100"/>
      <w:ind w:hanging="0" w:start="1100" w:end="0"/>
      <w:jc w:val="start"/>
    </w:pPr>
    <w:rPr>
      <w:rFonts w:eastAsia="Times New Roman" w:cs="Arial"/>
    </w:rPr>
  </w:style>
  <w:style w:type="paragraph" w:styleId="TOC7">
    <w:name w:val="toc 7"/>
    <w:basedOn w:val="Normal"/>
    <w:next w:val="Normal"/>
    <w:pPr>
      <w:spacing w:before="0" w:after="100"/>
      <w:ind w:hanging="0" w:start="1320" w:end="0"/>
      <w:jc w:val="start"/>
    </w:pPr>
    <w:rPr>
      <w:rFonts w:eastAsia="Times New Roman" w:cs="Arial"/>
    </w:rPr>
  </w:style>
  <w:style w:type="paragraph" w:styleId="TOC8">
    <w:name w:val="toc 8"/>
    <w:basedOn w:val="Normal"/>
    <w:next w:val="Normal"/>
    <w:pPr>
      <w:spacing w:before="0" w:after="100"/>
      <w:ind w:hanging="0" w:start="1540" w:end="0"/>
      <w:jc w:val="start"/>
    </w:pPr>
    <w:rPr>
      <w:rFonts w:eastAsia="Times New Roman" w:cs="Arial"/>
    </w:rPr>
  </w:style>
  <w:style w:type="paragraph" w:styleId="TOC9">
    <w:name w:val="toc 9"/>
    <w:basedOn w:val="Normal"/>
    <w:next w:val="Normal"/>
    <w:pPr>
      <w:spacing w:before="0" w:after="100"/>
      <w:ind w:hanging="0" w:start="1760" w:end="0"/>
      <w:jc w:val="start"/>
    </w:pPr>
    <w:rPr>
      <w:rFonts w:eastAsia="Times New Roman" w:cs="Arial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2023-05-19T00:40:00Z</dcterms:created>
  <dc:creator>רפאל שמואלביץ</dc:creator>
  <dc:description/>
  <cp:keywords/>
  <dc:language>en-US</dc:language>
  <cp:lastModifiedBy>1</cp:lastModifiedBy>
  <cp:lastPrinted>2019-12-20T09:22:00Z</cp:lastPrinted>
  <dcterms:modified xsi:type="dcterms:W3CDTF">2023-05-19T01:22:00Z</dcterms:modified>
  <cp:revision>3</cp:revision>
  <dc:subject/>
  <dc:title/>
</cp:coreProperties>
</file>