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3"/>
        <w:rPr/>
      </w:pPr>
      <w:r>
        <w:rPr>
          <w:rtl w:val="true"/>
        </w:rPr>
        <w:t>בס</w:t>
      </w:r>
      <w:r>
        <w:rPr>
          <w:rtl w:val="true"/>
        </w:rPr>
        <w:t>"</w:t>
      </w:r>
      <w:r>
        <w:rPr>
          <w:rtl w:val="true"/>
        </w:rPr>
        <w:t>ד</w:t>
      </w:r>
      <w:r>
        <w:rPr>
          <w:rtl w:val="true"/>
        </w:rPr>
        <w:t xml:space="preserve">. </w:t>
      </w:r>
      <w:r>
        <w:rPr>
          <w:rtl w:val="true"/>
        </w:rPr>
        <w:t>שיעור הגר</w:t>
      </w:r>
      <w:r>
        <w:rPr>
          <w:rtl w:val="true"/>
        </w:rPr>
        <w:t>"</w:t>
      </w:r>
      <w:r>
        <w:rPr>
          <w:rtl w:val="true"/>
        </w:rPr>
        <w:t>א עוזר שליט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 xml:space="preserve">- </w:t>
      </w:r>
      <w:r>
        <w:rPr>
          <w:rtl w:val="true"/>
        </w:rPr>
        <w:t>קטז</w:t>
      </w:r>
      <w:r>
        <w:rPr>
          <w:rtl w:val="true"/>
        </w:rPr>
        <w:t xml:space="preserve">. </w:t>
      </w:r>
      <w:r>
        <w:rPr>
          <w:rtl w:val="true"/>
        </w:rPr>
        <w:t>נמסר בש</w:t>
      </w:r>
      <w:r>
        <w:rPr>
          <w:rtl w:val="true"/>
        </w:rPr>
        <w:t>"</w:t>
      </w:r>
      <w:r>
        <w:rPr>
          <w:rtl w:val="true"/>
        </w:rPr>
        <w:t>ק בהעלתך ה</w:t>
      </w:r>
      <w:r>
        <w:rPr>
          <w:rtl w:val="true"/>
        </w:rPr>
        <w:t>'</w:t>
      </w:r>
      <w:r>
        <w:rPr>
          <w:rtl w:val="true"/>
        </w:rPr>
        <w:t>תשס</w:t>
      </w:r>
      <w:r>
        <w:rPr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</w:t>
      </w:r>
    </w:p>
    <w:p>
      <w:pPr>
        <w:pStyle w:val="Style13"/>
        <w:rPr/>
      </w:pPr>
      <w:r>
        <w:rPr>
          <w:rtl w:val="true"/>
        </w:rPr>
      </w:r>
    </w:p>
    <w:p>
      <w:pPr>
        <w:pStyle w:val="Style13"/>
        <w:rPr/>
      </w:pPr>
      <w:r>
        <w:rPr>
          <w:rtl w:val="true"/>
        </w:rPr>
      </w:r>
    </w:p>
    <w:p>
      <w:pPr>
        <w:pStyle w:val="Style13"/>
        <w:jc w:val="center"/>
        <w:rPr>
          <w:szCs w:val="28"/>
        </w:rPr>
      </w:pPr>
      <w:r>
        <w:rPr>
          <w:szCs w:val="28"/>
          <w:rtl w:val="true"/>
        </w:rPr>
        <w:t>קטן בקרבן פסח</w:t>
      </w:r>
    </w:p>
    <w:p>
      <w:pPr>
        <w:pStyle w:val="Style13"/>
        <w:jc w:val="center"/>
        <w:rPr>
          <w:b/>
          <w:bCs/>
        </w:rPr>
      </w:pP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בקיצור נמרץ</w:t>
      </w:r>
      <w:r>
        <w:rPr>
          <w:b/>
          <w:bCs/>
          <w:rtl w:val="true"/>
        </w:rPr>
        <w:t>)</w:t>
      </w:r>
    </w:p>
    <w:p>
      <w:pPr>
        <w:pStyle w:val="Style13"/>
        <w:rPr/>
      </w:pPr>
      <w:r>
        <w:rPr>
          <w:b/>
          <w:bCs/>
          <w:rtl w:val="true"/>
        </w:rPr>
      </w:r>
    </w:p>
    <w:p>
      <w:pPr>
        <w:pStyle w:val="Style13"/>
        <w:rPr>
          <w:lang w:val="en-US"/>
        </w:rPr>
      </w:pPr>
      <w:r>
        <w:rPr>
          <w:rtl w:val="true"/>
        </w:rPr>
        <w:t>א</w:t>
      </w:r>
      <w:r>
        <w:rPr>
          <w:rtl w:val="true"/>
        </w:rPr>
        <w:t xml:space="preserve">) 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 ק</w:t>
      </w:r>
      <w:r>
        <w:rPr>
          <w:rtl w:val="true"/>
        </w:rPr>
        <w:t>"</w:t>
      </w:r>
      <w:r>
        <w:rPr>
          <w:rtl w:val="true"/>
        </w:rPr>
        <w:t>פ ה</w:t>
      </w:r>
      <w:r>
        <w:rPr>
          <w:rtl w:val="true"/>
        </w:rPr>
        <w:t>,</w:t>
      </w:r>
      <w:r>
        <w:rPr>
          <w:rtl w:val="true"/>
        </w:rPr>
        <w:t>ז קטן שהגדיל בין שני פסחים</w:t>
      </w:r>
      <w:r>
        <w:rPr>
          <w:rtl w:val="true"/>
        </w:rPr>
        <w:t xml:space="preserve">, </w:t>
      </w:r>
      <w:r>
        <w:rPr>
          <w:rtl w:val="true"/>
        </w:rPr>
        <w:t>אם שחטו עליו בראשון יצא</w:t>
      </w:r>
      <w:r>
        <w:rPr>
          <w:rtl w:val="true"/>
        </w:rPr>
        <w:t xml:space="preserve">. </w:t>
      </w:r>
      <w:r>
        <w:rPr>
          <w:rtl w:val="true"/>
        </w:rPr>
        <w:t>דין זה אינו מבואר בגמרא</w:t>
      </w:r>
      <w:r>
        <w:rPr>
          <w:rtl w:val="true"/>
        </w:rPr>
        <w:t xml:space="preserve">. </w:t>
      </w:r>
      <w:r>
        <w:rPr>
          <w:rtl w:val="true"/>
        </w:rPr>
        <w:t>והקשה הכס</w:t>
      </w:r>
      <w:r>
        <w:rPr>
          <w:rtl w:val="true"/>
        </w:rPr>
        <w:t>"</w:t>
      </w:r>
      <w:r>
        <w:rPr>
          <w:rtl w:val="true"/>
        </w:rPr>
        <w:t>מ כיצד קיומו בעודו קטן מועיל לפוטרו כשהוא גדול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הרחיב בטו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כח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להקשות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הסוגיא שם דשוטה שעשה מצוה ונשתפה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לא יצא ידי חובתו וחייב לעשותה שוב בתורת חיוב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[</w:t>
      </w:r>
      <w:r>
        <w:rPr>
          <w:rtl w:val="true"/>
          <w:lang w:val="en-US"/>
        </w:rPr>
        <w:t>הנחה זו שהניחו דמעשה מצוה של קטן לא מהני לכשיגדל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כשוטה שנשתפה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יש מהאחרונים שפקפקו בדבר</w:t>
      </w:r>
      <w:r>
        <w:rPr>
          <w:rStyle w:val="FootnoteCharacters"/>
          <w:rStyle w:val="FootnoteReference"/>
          <w:rtl w:val="true"/>
          <w:lang w:val="en-US"/>
        </w:rPr>
        <w:footnoteReference w:id="2"/>
      </w:r>
      <w:r>
        <w:rPr>
          <w:rtl w:val="true"/>
          <w:lang w:val="en-US"/>
        </w:rPr>
        <w:t xml:space="preserve">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הסוגיא בסנהדרין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נה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דבהמה שנרבעת 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קטן נסקלת דאיכא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תקלה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הרי דקטן שייך במצוות ועבירות ורק דחס רחמנא עליה מעונשין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הביא בתבו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יו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לבאר הא דשחיטת קטן כשרה כשגדול עוע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שלא כנכרי שאינו בתורת זביחה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ופירש הש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ך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סקכ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משום דקטן אסור לספותו אבר מן החי ונבלה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על כן חשיב ישנו בתורת זביחה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ודלא כדעת הלבוש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 xml:space="preserve">והיינו כמבואר בסנהדרין דיש שם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עבירה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בקטן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וכן הוציאו האחרונים מהך סוגיא שקטן שעבר איסור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ראוי לו שיעשה תשובה על כך לכשהגדיל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מ שם עבירה על מעשהו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מג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סוס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שמג וערש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סנהדרין שם לענין קטן שחבל והזיק</w:t>
      </w:r>
      <w:r>
        <w:rPr>
          <w:rtl w:val="true"/>
          <w:lang w:val="en-US"/>
        </w:rPr>
        <w:t>).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ואולם המחוור הוא כהנחה הפשוטה של הכס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והטו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בקושיתם דמעשה מצוה של קטן לאו כלום הוא מדאוריתא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דהנה כבר הקשה האחרונים מאי שנא לענין שחיטה דקטן חשיב ישנו בזביחה כנ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ואילו לענין תפלין קיי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ל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לט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דפסול לכתיבה משום דאינו בקשירה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ונשאר בצ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והמחוור בזה כמש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בחלק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ובקה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יבמות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לחלק בין מצוות עשה ואיסורין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דאמנם שם עבירה איכא שלכך אסורין לספותו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ולכן מהניא לגביו השחיטה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מצות עשה ליתא בקטן ולכן חשיב לאו בר קשירה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ובאור החילוק דהנה הקשה המשכנו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מז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 xml:space="preserve">בהא דאמרינן ביבמות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לג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לענין איסור חל על איסור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דקטן זר או טמא שהגדיל בשבת ועבד במקדש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חלים שני האיסורים בבת אחת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והלא בסנהדרין מבואר דשם עבירה איכא עוד בעודו קטן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איסו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 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וחלק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א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יצאו לחדש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מש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החת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ס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בתשו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קפד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דבב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 ליכא שיעור גדלות קבוע בשנים וסימנים אלא כל שהגיע לכלל דעת מסוימת חייב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כתב הרא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שבן 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 למצוות מכלל השיעורים הוא שניתנו הלמ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לישראל נאמרו ולא לב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וחידשו האחרונים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ל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וכבר קדמום 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ספקטור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נחל יצחק ז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אויערבך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דברי חיים נזקי ממון יא</w:t>
      </w:r>
      <w:r>
        <w:rPr>
          <w:rtl w:val="true"/>
          <w:lang w:val="en-US"/>
        </w:rPr>
        <w:t xml:space="preserve">)] </w:t>
      </w:r>
      <w:r>
        <w:rPr>
          <w:rtl w:val="true"/>
          <w:lang w:val="en-US"/>
        </w:rPr>
        <w:t>דבאיסורין שב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 מוזהרים עליהם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גם ישראל קטן מוזהר עליהם אלא דפטרו רחמנא מעונש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איסורא איכא דהא ליכא מידי דלישראל שרי ולב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נ אסור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כבסנהדרין נט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ההיא דסנהדרין דמיירי ברביעה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שפיר אף בקטן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בר דעת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איכא תקלה והבהמה נסקלת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נ נמי מוזהר על הרביעה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שם נח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משא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ביבמות דמיירי באיסורין שרק ישראל מוזהר עליהם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לכך לא חיילי על הקטן כלל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אך ההסבר היותר פשוט בישוב הסוגיות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הוא כמוש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הגרשש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ק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שער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א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דלעולם הקטן עצמו אינו מוזהר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אינו בר מצוה</w:t>
      </w:r>
      <w:r>
        <w:rPr>
          <w:rStyle w:val="FootnoteCharacters"/>
          <w:rStyle w:val="FootnoteReference"/>
          <w:rtl w:val="true"/>
          <w:lang w:val="en-US"/>
        </w:rPr>
        <w:footnoteReference w:id="3"/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אלא שהמעשה מצד עצמו הואיל והוא מתועב בעיני המקום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הוי מעשה עבירה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הלכך שם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תקלה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איכא על המעשה הגם שהגברא אינו מצווה ולא חל עליו האיסור עד שיגדל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ולפי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מוטעם חילוק החלק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בין מצוות לעבירות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דהקטן שייך בעבירות מצד שהמעשה מתועב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ולכך השחיטה שפיר מועילה לו להוציאו מידי עבירה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הגם שהוא אינו מוזהר</w:t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משא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מעשה מצוה שכל עיקרו תלוי בקיום הגברא והואיל והקטן אינו מצווה אין כאן מעשה מצוה כלל</w:t>
      </w:r>
      <w:r>
        <w:rPr>
          <w:rStyle w:val="FootnoteCharacters"/>
          <w:rStyle w:val="FootnoteReference"/>
          <w:rtl w:val="true"/>
          <w:lang w:val="en-US"/>
        </w:rPr>
        <w:footnoteReference w:id="4"/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הלכך חשיב שפיר דאינו בקשירה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עכ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פ מוכח מהא דפסלינן קטן לכתיבת תפלין משום דאינו בר קשירה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כהנחת הכס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והטו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דאין לקטן מעשה מצוה כלל מאוריתא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וזה ברור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והביא הכס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מר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קורקוס לתרץ דהואיל ונתרבה קטן ששוחטים עליו וממנים אותו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נפטר בכך מפסח שני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 xml:space="preserve">וקשה הלא מסקנת הסוגיא בנדרים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לו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כדר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זירא דשה לבית אבות לאו 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וכפי שפירשו הראשונים דאין בו תורת מינוי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מ אין בו איסורא דשלא למנוייו כיון שאינו ראוי להימנות ואינו במצות תכוסו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ן ותוס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נדרים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או משום מצות חינוך מאכלינן ליה אעפ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שאינו מנוי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כדברי התוס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בפסחים פח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ופירש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מפרש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לאו דאוריתא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לענין החיוב קאמר אבל תורת מינוי יש אף על הקטנים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ופירוש הגמ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בנדרים בהא דקאמר שה לבית אבות לאו דאוריתא שלכך אין קושיא מהא דשוחטים פסח על הקטנים להא דאריו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הכל צריכים דעת חוץ ממחוסרי כפרה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דאדם מביא עבור בניו ובנותיו הקטנים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ובנדרים לה דרשינן לה מקרא</w:t>
      </w:r>
      <w:r>
        <w:rPr>
          <w:rtl w:val="true"/>
          <w:lang w:val="en-US"/>
        </w:rPr>
        <w:t xml:space="preserve">] - </w:t>
      </w:r>
      <w:r>
        <w:rPr>
          <w:rtl w:val="true"/>
          <w:lang w:val="en-US"/>
        </w:rPr>
        <w:t>דכיון דאין הקטנים בכלל חיובא דפסח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הגם שממנים ושוחטים עליהם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לא חשיב הפסח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קרבן חובה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אצלם כיון דשה לבית אבות לאו בחיובא 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ודוקא בקרבן חובה בעינן דעת חברו מלבד במחוסרי כפרה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כדדייק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מלשון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 מחו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ויסוד לפירושו זה הביא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מהסוגיא דפסחים פח דתנן יתום ששחטו עליו אפוטרופסין יאכל במקום שהוא רוצה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ופרכינן 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יש ברירה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ומשני 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זירא שה לבית מכל מקום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ופרש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דלא בעינן דעתו כלל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וקשה הא 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גופיה 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בנדרים שה לבית לאו דאוריתא ול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מינוי לקטנים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והתוס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דחקו לפרש דהיא היא דקאמר 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התם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שה לבית 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כיון דלאו דאוריתא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וקשה דא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כ הלא יכול לאכול גם מפסחים אחרים ומהו דתנן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יאכל במקום שהוא רוצה</w:t>
      </w:r>
      <w:r>
        <w:rPr>
          <w:rtl w:val="true"/>
          <w:lang w:val="en-US"/>
        </w:rPr>
        <w:t>'</w:t>
      </w:r>
      <w:r>
        <w:rPr>
          <w:rStyle w:val="FootnoteCharacters"/>
          <w:rStyle w:val="FootnoteReference"/>
          <w:rtl w:val="true"/>
          <w:lang w:val="en-US"/>
        </w:rPr>
        <w:footnoteReference w:id="5"/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ומזה הוציא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לפרש דלעולם יש בקטנים תורת מינוי מדאוריתא אלא דהחיוב אינו מדאוריתא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וכיון שכן הרי מובן שאם שחטו על הקטן בראשון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הרי הוקרב עבורו הפסח ואינו מביא פסח שני הגם דאין בו מעשה מצוה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דאין אני קורא בו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וחדל לעשות הפסח</w:t>
      </w:r>
      <w:r>
        <w:rPr>
          <w:rtl w:val="true"/>
          <w:lang w:val="en-US"/>
        </w:rPr>
        <w:t xml:space="preserve">'. </w:t>
      </w:r>
      <w:r>
        <w:rPr>
          <w:rtl w:val="true"/>
          <w:lang w:val="en-US"/>
        </w:rPr>
        <w:t>ועוד יתכן דאף קיום מצוה איכא הכא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כיון שסוף סוף הוקרב הפסח עבורו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ובזה נתקיימה מצוותו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עד כאן מדברי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ואמנם כן מבואר ברמב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בהלכה הקודמת שיש תורת מינוי אף לקטנים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וכן מורים דברי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בכ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בפ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יעו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ש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שאף קטן צריך המנאה ואסור להאכילו מפסח שאינו מנוי עליו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וכן מוכח ממש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דשייך המנאה בעבד ואמה העבריים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ואם נמנו עם קרבן אחר אינם אוכלים משל רבם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והלא אמה עבריה לעולם קטנה היא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הרי מבואר דאף קטנים אינם אוכלים בלא מינוי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וע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חדושי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סטנסיל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וזה תואם עם פירוש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דדוקא לענין החיוב נתמעט הקטן מפסח אבל תורת מינוי יש להם לשיטת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דלא כשאר הראשונים</w:t>
      </w:r>
      <w:r>
        <w:rPr>
          <w:rtl w:val="true"/>
          <w:lang w:val="en-US"/>
        </w:rPr>
        <w:t>.</w:t>
      </w:r>
      <w:r>
        <w:rPr>
          <w:rStyle w:val="FootnoteCharacters"/>
          <w:rStyle w:val="FootnoteReference"/>
          <w:rtl w:val="true"/>
          <w:lang w:val="en-US"/>
        </w:rPr>
        <w:footnoteReference w:id="6"/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אך במה שכתב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דדוקא בקרבנות חובה בעינן דעת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כבר הקשה 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להגרי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זכרון שמואל עח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הלא מקור הדבר הוא מ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לרצונו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דכתיב גבי עולת נדבה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ערכין כא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ואמר לו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דאפשר לתרץ דקרא מיירי בנדר דוקא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דכבר חייל עליה חובה אכתפיה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הוסיף דא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צ לזה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דאף אי מיירי בנדבה כפשטיה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וכפרש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בחומש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ל דשפיר חשיב זה קרבן חובה שהרי לאחר שנדב מחויב להביאנו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וזה תואם עם היסוד שהרחבנו בכ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מהגריי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והגרא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דבכל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הרי זו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פתיך ביה נדר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הרי עלי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להביא את הנדבה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כמבואר הדבר בתמורה יג וברש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אלא דפשט דברי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מורה דדוקא בקרבנות חובה ממש בעינן דעתו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ולא בקרבנות נדבה</w:t>
      </w:r>
      <w:r>
        <w:rPr>
          <w:rStyle w:val="FootnoteCharacters"/>
          <w:rStyle w:val="FootnoteReference"/>
          <w:rtl w:val="true"/>
          <w:lang w:val="en-US"/>
        </w:rPr>
        <w:footnoteReference w:id="7"/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הדרה קושיא לדוכתה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עוד עמד 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ק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במשנת 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אהרן קדשים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כיצד תתפרש הסוגיא בפסחים שם להגר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סו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ס כיון דבעינן מינוי אף בקטנים הרי באנו לשאלת ברירה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אין נמנים על שני פסחים כאחת וצריך להימנות על אחד מהם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ונקדים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דהנה יש כמה סוגי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בעלים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בקרבן</w:t>
      </w:r>
      <w:r>
        <w:rPr>
          <w:rtl w:val="true"/>
          <w:lang w:val="en-US"/>
        </w:rPr>
        <w:t>:</w:t>
      </w:r>
    </w:p>
    <w:p>
      <w:pPr>
        <w:pStyle w:val="Style13"/>
        <w:rPr>
          <w:lang w:val="en-US"/>
        </w:rPr>
      </w:pPr>
      <w:r>
        <w:rPr>
          <w:spacing w:val="20"/>
          <w:rtl w:val="true"/>
          <w:lang w:val="en-US"/>
        </w:rPr>
        <w:t>'</w:t>
      </w:r>
      <w:r>
        <w:rPr>
          <w:spacing w:val="20"/>
          <w:rtl w:val="true"/>
          <w:lang w:val="en-US"/>
        </w:rPr>
        <w:t>מתכפר</w:t>
      </w:r>
      <w:r>
        <w:rPr>
          <w:spacing w:val="20"/>
          <w:rtl w:val="true"/>
          <w:lang w:val="en-US"/>
        </w:rPr>
        <w:t>'</w:t>
      </w:r>
      <w:r>
        <w:rPr>
          <w:rtl w:val="true"/>
          <w:lang w:val="en-US"/>
        </w:rPr>
        <w:t xml:space="preserve"> - </w:t>
      </w:r>
      <w:r>
        <w:rPr>
          <w:rtl w:val="true"/>
          <w:lang w:val="en-US"/>
        </w:rPr>
        <w:t>הוא הבעלים העיקרי לדיני הקרבן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ולכך מתכפר עושה תמורה</w:t>
      </w:r>
      <w:r>
        <w:rPr>
          <w:rtl w:val="true"/>
          <w:lang w:val="en-US"/>
        </w:rPr>
        <w:t>;</w:t>
      </w:r>
    </w:p>
    <w:p>
      <w:pPr>
        <w:pStyle w:val="Style13"/>
        <w:rPr>
          <w:lang w:val="en-US"/>
        </w:rPr>
      </w:pPr>
      <w:r>
        <w:rPr>
          <w:spacing w:val="20"/>
          <w:rtl w:val="true"/>
          <w:lang w:val="en-US"/>
        </w:rPr>
        <w:t>'</w:t>
      </w:r>
      <w:r>
        <w:rPr>
          <w:spacing w:val="20"/>
          <w:rtl w:val="true"/>
          <w:lang w:val="en-US"/>
        </w:rPr>
        <w:t>מקדיש</w:t>
      </w:r>
      <w:r>
        <w:rPr>
          <w:spacing w:val="20"/>
          <w:rtl w:val="true"/>
          <w:lang w:val="en-US"/>
        </w:rPr>
        <w:t>'</w:t>
      </w:r>
      <w:r>
        <w:rPr>
          <w:rtl w:val="true"/>
          <w:lang w:val="en-US"/>
        </w:rPr>
        <w:t xml:space="preserve"> - </w:t>
      </w:r>
      <w:r>
        <w:rPr>
          <w:rtl w:val="true"/>
          <w:lang w:val="en-US"/>
        </w:rPr>
        <w:t>ונפ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שהוא המוסיף חומש בפדיונו</w:t>
      </w:r>
      <w:r>
        <w:rPr>
          <w:rtl w:val="true"/>
          <w:lang w:val="en-US"/>
        </w:rPr>
        <w:t>;</w:t>
      </w:r>
    </w:p>
    <w:p>
      <w:pPr>
        <w:pStyle w:val="Style13"/>
        <w:rPr>
          <w:lang w:val="en-US"/>
        </w:rPr>
      </w:pPr>
      <w:r>
        <w:rPr>
          <w:spacing w:val="20"/>
          <w:rtl w:val="true"/>
          <w:lang w:val="en-US"/>
        </w:rPr>
        <w:t>בעלים ממוני</w:t>
      </w:r>
      <w:r>
        <w:rPr>
          <w:rtl w:val="true"/>
          <w:lang w:val="en-US"/>
        </w:rPr>
        <w:t xml:space="preserve"> על אכילת הבשר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כגון במוכר עולתו ושלמיו לריה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שכתב הקצוה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תו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דמהני רק לענין בעלות ממונית על אכילת הבשר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לא לענין המתכפר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וכמבואר בב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 יג בתודה שהזיקה דגובה מבשרה אבל מזיק מביא לחם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דהוא נשאר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מתכפר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ורק לענין בעלות על אכילת הבשר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הוחלט השור לניזק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ועוד כתב 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בהל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פ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דבקרבן פסח הבעלות על הבשר מעכבת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והוא הוא גדר דין מנויים בק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פ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ונתבאר באורך בשיעור מא</w:t>
      </w:r>
      <w:r>
        <w:rPr>
          <w:rtl w:val="true"/>
          <w:lang w:val="en-US"/>
        </w:rPr>
        <w:t xml:space="preserve">). 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ויש סוג רביעי של בעלות שחידשו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בסטנסיל מו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 טו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מנחות נא</w:t>
      </w:r>
      <w:r>
        <w:rPr>
          <w:rtl w:val="true"/>
          <w:lang w:val="en-US"/>
        </w:rPr>
        <w:t xml:space="preserve">) - </w:t>
      </w:r>
      <w:r>
        <w:rPr>
          <w:rtl w:val="true"/>
          <w:lang w:val="en-US"/>
        </w:rPr>
        <w:t xml:space="preserve">הוא </w:t>
      </w:r>
      <w:r>
        <w:rPr>
          <w:spacing w:val="20"/>
          <w:rtl w:val="true"/>
          <w:lang w:val="en-US"/>
        </w:rPr>
        <w:t>ה</w:t>
      </w:r>
      <w:r>
        <w:rPr>
          <w:spacing w:val="20"/>
          <w:rtl w:val="true"/>
          <w:lang w:val="en-US"/>
        </w:rPr>
        <w:t>'</w:t>
      </w:r>
      <w:r>
        <w:rPr>
          <w:spacing w:val="20"/>
          <w:rtl w:val="true"/>
          <w:lang w:val="en-US"/>
        </w:rPr>
        <w:t>מביא</w:t>
      </w:r>
      <w:r>
        <w:rPr>
          <w:spacing w:val="20"/>
          <w:rtl w:val="true"/>
          <w:lang w:val="en-US"/>
        </w:rPr>
        <w:t>'.</w:t>
      </w:r>
      <w:r>
        <w:rPr>
          <w:rtl w:val="true"/>
          <w:lang w:val="en-US"/>
        </w:rPr>
        <w:t xml:space="preserve"> </w:t>
      </w:r>
      <w:r>
        <w:rPr>
          <w:rtl w:val="true"/>
          <w:lang w:val="en-US"/>
        </w:rPr>
        <w:t>ובזה ביארו דהמוצא קרבן מעיקר הדין מביא נסכיו משלו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הגם דאינו המתכפר ולא המקדיש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 xml:space="preserve">אלא שיש עליו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הלכך עליו מוטלת חובת הנסכים מעיקר דינא</w:t>
      </w:r>
      <w:r>
        <w:rPr>
          <w:rtl w:val="true"/>
          <w:lang w:val="en-US"/>
        </w:rPr>
        <w:t>. (</w:t>
      </w:r>
      <w:r>
        <w:rPr>
          <w:rtl w:val="true"/>
          <w:lang w:val="en-US"/>
        </w:rPr>
        <w:t>וכנראה זו כוונת המקד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סי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סי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יד</w:t>
      </w:r>
      <w:r>
        <w:rPr>
          <w:rtl w:val="true"/>
          <w:lang w:val="en-US"/>
        </w:rPr>
        <w:t xml:space="preserve">). </w:t>
      </w:r>
      <w:r>
        <w:rPr>
          <w:rtl w:val="true"/>
          <w:lang w:val="en-US"/>
        </w:rPr>
        <w:t>וערש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בסוטה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כג</w:t>
      </w:r>
      <w:r>
        <w:rPr>
          <w:rtl w:val="true"/>
          <w:lang w:val="en-US"/>
        </w:rPr>
        <w:t xml:space="preserve">.) </w:t>
      </w:r>
      <w:r>
        <w:rPr>
          <w:rtl w:val="true"/>
          <w:lang w:val="en-US"/>
        </w:rPr>
        <w:t xml:space="preserve">כתב דמנחת אשת כהן אינה נאכלת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ומ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אינה נשרפת כמנחת כהן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דס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ס היא המתכפר ולא בעלה הכהן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והתוס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תמהו עליו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הבאור דלדעת 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הבעל יש לו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בקרבנות אשתו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והרי הוא בעלים מצד זה ופתיך כאן צד כהן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והארכנו בכ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במק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Style w:val="FootnoteCharacters"/>
          <w:rStyle w:val="FootnoteReference"/>
          <w:rtl w:val="true"/>
          <w:lang w:val="en-US"/>
        </w:rPr>
        <w:footnoteReference w:id="8"/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והנה במקדיש 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שיתכפר בו חברו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נקטו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והגרי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זכרון שמואל עח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דהבעלים על אכילת הבשר הוא המתכפר ולא המקדיש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וכן לענין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- </w:t>
      </w:r>
      <w:r>
        <w:rPr>
          <w:rtl w:val="true"/>
          <w:lang w:val="en-US"/>
        </w:rPr>
        <w:t>המתכפר הוא המביא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נטה מזה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אך פשטא דמלתא מ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כהגרי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וכמו לענין קדשי עכו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דמבואר במנחות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עג</w:t>
      </w:r>
      <w:r>
        <w:rPr>
          <w:rtl w:val="true"/>
          <w:lang w:val="en-US"/>
        </w:rPr>
        <w:t xml:space="preserve">:) </w:t>
      </w:r>
      <w:r>
        <w:rPr>
          <w:rtl w:val="true"/>
          <w:lang w:val="en-US"/>
        </w:rPr>
        <w:t>דגוי מפריש שלמים שיתכפר בו ישראל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והישראל אוכל הבשר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הגם שלנכרי אין תורת שלמים כלל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הרי דהמתכפר הוא הבעלים העיקרי כאמור</w:t>
      </w:r>
      <w:r>
        <w:rPr>
          <w:rtl w:val="true"/>
          <w:lang w:val="en-US"/>
        </w:rPr>
        <w:t>. [</w:t>
      </w:r>
      <w:r>
        <w:rPr>
          <w:rtl w:val="true"/>
          <w:lang w:val="en-US"/>
        </w:rPr>
        <w:t>והגרש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צדד לדחות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דהואיל והעכו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אסור באכילת קדשים ול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בו זכיה בבשר מש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ה זוכה הישראל ממילא</w:t>
      </w:r>
      <w:r>
        <w:rPr>
          <w:rtl w:val="true"/>
          <w:lang w:val="en-US"/>
        </w:rPr>
        <w:t>].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והנה בערכין כא מסקינן לשמואל דעולה צריכה דעת בעלים בשעת הפרשה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וחטאת ואשם צריכים דעת בין בשעת הפרשה בין בשעת הקרבה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ג ותוס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שם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וכן הראה באו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בקונטרס בענין מקואות יא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מהאו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משמע שבעצם גם בעולה צריך דעת בהקרבה אלא דסגי בגילוי דעתו בתחילה דמסתמא ניח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בהקרבה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ברמב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מעה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 יד</w:t>
      </w:r>
      <w:r>
        <w:rPr>
          <w:rtl w:val="true"/>
          <w:lang w:val="en-US"/>
        </w:rPr>
        <w:t>,</w:t>
      </w:r>
      <w:r>
        <w:rPr>
          <w:rtl w:val="true"/>
          <w:lang w:val="en-US"/>
        </w:rPr>
        <w:t>י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דאפילו בעל כרחו ממש בשעת ההקרבה סגי</w:t>
      </w:r>
      <w:r>
        <w:rPr>
          <w:rStyle w:val="FootnoteCharacters"/>
          <w:rStyle w:val="FootnoteReference"/>
          <w:rtl w:val="true"/>
          <w:lang w:val="en-US"/>
        </w:rPr>
        <w:footnoteReference w:id="9"/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והקשה המנח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ב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טו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הלא מקור הך דינא הוא מ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לרצונו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ושם בעולה מיירי קרא ובהקרבה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דכתיב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יקריב אותו לרצונו</w:t>
      </w:r>
      <w:r>
        <w:rPr>
          <w:rtl w:val="true"/>
          <w:lang w:val="en-US"/>
        </w:rPr>
        <w:t>' [</w:t>
      </w:r>
      <w:r>
        <w:rPr>
          <w:rtl w:val="true"/>
          <w:lang w:val="en-US"/>
        </w:rPr>
        <w:t>ומבואר להדיא בר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ה ו דמיירי הך קרא בהקרבה ממש</w:t>
      </w:r>
      <w:r>
        <w:rPr>
          <w:rtl w:val="true"/>
          <w:lang w:val="en-US"/>
        </w:rPr>
        <w:t xml:space="preserve">]. </w:t>
      </w:r>
      <w:r>
        <w:rPr>
          <w:rtl w:val="true"/>
          <w:lang w:val="en-US"/>
        </w:rPr>
        <w:t>ותירץ 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מה שהניח דהמקדיש הוא הבעלים על ההבאה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דלעולם בעינן דעת המביא מתחילה ועד סוף אף בעולה כדכתיב קרא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רק שזה בעולה דעלמא שהמתכפר הוא המביא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אבל 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דמיירי במקדיש שיתכפר בו חברו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שם המביא הוא המקדיש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ובזה סגי בדעתו דידיה 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צ דעת המתכפר בשעת הקרבה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דדוקא בחטאת בעינן דעת מתכפר בהקרבה אבל בעולה סגי בדעת המביא בשעת ההקרבה ואילו דעת מתכפר סגי בשעת הפרשה בלבד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אולם כאמור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פשטא דמלתא נראה דהמתכפר הוא המביא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קושית המנח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ב אינה מיושבת בזה</w:t>
      </w:r>
      <w:r>
        <w:rPr>
          <w:rStyle w:val="FootnoteCharacters"/>
          <w:rStyle w:val="FootnoteReference"/>
          <w:rtl w:val="true"/>
          <w:lang w:val="en-US"/>
        </w:rPr>
        <w:footnoteReference w:id="10"/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נראה לקיים הדברים לענין קרבן פסח מיהת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דהנה מצינו להגרא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י מטלז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הודפס בספר הזכרון לגר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אברמסקי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שיצא לחדש דבקרבן פסח הבעלים והמתכפר הוא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בית</w:t>
      </w:r>
      <w:r>
        <w:rPr>
          <w:rtl w:val="true"/>
          <w:lang w:val="en-US"/>
        </w:rPr>
        <w:t>' [</w:t>
      </w:r>
      <w:r>
        <w:rPr>
          <w:rtl w:val="true"/>
          <w:lang w:val="en-US"/>
        </w:rPr>
        <w:t xml:space="preserve">וכדוגמת גדר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ציבור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שהוא ישות בפנ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ולא כקרבן השותפין כמוש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הגרשש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 והגרא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והארכנו במק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א</w:t>
      </w:r>
      <w:r>
        <w:rPr>
          <w:rStyle w:val="FootnoteCharacters"/>
          <w:rStyle w:val="FootnoteReference"/>
          <w:rtl w:val="true"/>
          <w:lang w:val="en-US"/>
        </w:rPr>
        <w:footnoteReference w:id="11"/>
      </w:r>
      <w:r>
        <w:rPr>
          <w:rtl w:val="true"/>
          <w:lang w:val="en-US"/>
        </w:rPr>
        <w:t xml:space="preserve">], </w:t>
      </w:r>
      <w:r>
        <w:rPr>
          <w:rtl w:val="true"/>
          <w:lang w:val="en-US"/>
        </w:rPr>
        <w:t>וכפשטא דקרא דויקחו להם איש שה לבית אבות שה לבית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והנה אף שדבריו מחודשים דהא סוף סוף חיובא דכל יחיד ויחיד הוא כשאר קרבנות יחיד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מ נראה לנו לקיים דבריו במקצת ולומר דנהי דה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מתכפר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בפסח הוא כל יחיד ויחיד שקרב הקרבן עבורו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מ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מיהת יש על הבית כולו כישות אחת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וכפשטא דקרא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והנה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ח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סטנסיל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הראה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הירושלמי והרמב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ם דאין עושים חבורה שכולה קטנים מדאוריתא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ואין שוחטים על הקטנים אלא כשיש גדול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ופירש דלעולם הקטן בפסח אינו אלא בגדר נטפל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ובאור הדבר מובן 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דהואיל והמקריב והמביא של קרבן פסח הוא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בית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 xml:space="preserve">לכך צריך גדולים דוקא וכדכתיב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איש שה לבית אבות שה לבית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ואילו הקטנים הנם רק נטפלים לבית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ועי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ז שפיר חשיבו כמתכפרים ומנויים אבל תורת מביא בפנ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אין להם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ד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והשתא מיושבות שתי הקושיות הנ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על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הקושיא דמשמע מדבריו דדוקא בקרבנות חובה בעינן דעת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והלא קרא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לרצונו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מיירי בעולת נדבה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זה מיושב כדברי הגרש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ר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דודאי דעת המביא מיהת בעינן אף בקרבנות שאינן חובה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ולא אמר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דבעינן קרבן חובה אלא לענין דעת המתכפר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ומה דבפסח מקריב אדם עבור הקטן הגם שאין לו דעת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זה מיושב ממ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נ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דמצד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מתכפר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הלא אין זה קרבן חובה דשה לבית אבות לאו דאוריתא וכמו שפירש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דלאו תורת קרבן חובה הוא לקטנים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ומצד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 xml:space="preserve">דבעינן דעת אפילו בקרבנות נדבה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 xml:space="preserve">הלא הקטן אינו מביא את הפסח אלא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הבית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בכלל הוא המביא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וכן קושית הגרא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 מהסוגיא בפסחים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הלא להגר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דגם לקטן יש המנאה 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כ סוף סוף תליא בדין ברירה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ל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ק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דלפי האמור אמנם אין הקטן אוכל בלא מינוי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שלכך אין לו לאכול מפסחים אחרים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כדברי הגר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</w:t>
      </w:r>
      <w:r>
        <w:rPr>
          <w:rtl w:val="true"/>
          <w:lang w:val="en-US"/>
        </w:rPr>
        <w:t xml:space="preserve">), </w:t>
      </w:r>
      <w:r>
        <w:rPr>
          <w:rtl w:val="true"/>
          <w:lang w:val="en-US"/>
        </w:rPr>
        <w:t>אבל כשהקריבו עליו האפוטרופסים הלא יש בו תורת הקרבה של הבית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וכלפי זה הקטן רק נטפל לבית ואינו צריך להיות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לעצמו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יכול לאכול מאיזה פסח שירצה מאותם ששחטו האפוטרופסין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 xml:space="preserve">וזהו דקאמר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שה לבית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מ </w:t>
      </w:r>
      <w:r>
        <w:rPr>
          <w:rtl w:val="true"/>
          <w:lang w:val="en-US"/>
        </w:rPr>
        <w:t xml:space="preserve">- </w:t>
      </w:r>
      <w:r>
        <w:rPr>
          <w:rtl w:val="true"/>
          <w:lang w:val="en-US"/>
        </w:rPr>
        <w:t>דרבי רחמנא דהקטן נטפל לקרבן הבית ואין צריך לסיים לו קרבן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דהא דאין נמנין על שני פסחים כאחת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זהו משום תורת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 xml:space="preserve">אבל מצד היותו 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מתכפר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יכול להיות בזה ובזה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כ קטן שאינו בעלים על ההבאה אלא נטפל הוא ל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בית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יכול לאכול מזה ומזה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ובזה יש ליישב גם כן מהא דאף בעבדים כנענים אמרו רצה מזה אוכל רצה מזה אוכל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והרי התם פשיטא שאינם יכולים לאכול מקרבן שאינם מנויים עליו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 xml:space="preserve">ואף מחויבים הם בהקרבה </w:t>
      </w:r>
      <w:r>
        <w:rPr>
          <w:rtl w:val="true"/>
          <w:lang w:val="en-US"/>
        </w:rPr>
        <w:t>[</w:t>
      </w:r>
      <w:r>
        <w:rPr>
          <w:rtl w:val="true"/>
          <w:lang w:val="en-US"/>
        </w:rPr>
        <w:t>למ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ד נשים בראשון חובה</w:t>
      </w:r>
      <w:r>
        <w:rPr>
          <w:rtl w:val="true"/>
          <w:lang w:val="en-US"/>
        </w:rPr>
        <w:t xml:space="preserve">] </w:t>
      </w:r>
      <w:r>
        <w:rPr>
          <w:rtl w:val="true"/>
          <w:lang w:val="en-US"/>
        </w:rPr>
        <w:t>ופשיטא דשה לבית דאוריתא כלפי עבדים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ועוד הקשה בקר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 xml:space="preserve">א </w:t>
      </w:r>
      <w:r>
        <w:rPr>
          <w:rtl w:val="true"/>
          <w:lang w:val="en-US"/>
        </w:rPr>
        <w:t>(</w:t>
      </w:r>
      <w:r>
        <w:rPr>
          <w:rtl w:val="true"/>
          <w:lang w:val="en-US"/>
        </w:rPr>
        <w:t>נדרים לו</w:t>
      </w:r>
      <w:r>
        <w:rPr>
          <w:rtl w:val="true"/>
          <w:lang w:val="en-US"/>
        </w:rPr>
        <w:t xml:space="preserve">) </w:t>
      </w:r>
      <w:r>
        <w:rPr>
          <w:rtl w:val="true"/>
          <w:lang w:val="en-US"/>
        </w:rPr>
        <w:t>אמאי לא הקשו בגמ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דממה שהאדון מפריש שלא מדעת עבדו מוכח דא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צ דעת בקרבנות</w:t>
      </w:r>
      <w:r>
        <w:rPr>
          <w:rtl w:val="true"/>
          <w:lang w:val="en-US"/>
        </w:rPr>
        <w:t>.</w:t>
      </w:r>
    </w:p>
    <w:p>
      <w:pPr>
        <w:pStyle w:val="Style13"/>
        <w:rPr>
          <w:lang w:val="en-US"/>
        </w:rPr>
      </w:pPr>
      <w:r>
        <w:rPr>
          <w:rtl w:val="true"/>
          <w:lang w:val="en-US"/>
        </w:rPr>
        <w:t>אך להאמור א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ש דהנה בגמ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יליף שהרב ממנה את עבדיו שלא מדעתם מקרא ד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שה לבית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והיינו אותה ילפותא דיליף ר</w:t>
      </w:r>
      <w:r>
        <w:rPr>
          <w:rtl w:val="true"/>
          <w:lang w:val="en-US"/>
        </w:rPr>
        <w:t xml:space="preserve">' </w:t>
      </w:r>
      <w:r>
        <w:rPr>
          <w:rtl w:val="true"/>
          <w:lang w:val="en-US"/>
        </w:rPr>
        <w:t>זירא בקטן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ובגדר הדברים 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ל דאף שהעבדים חייבים בפסח ודלא כהקטנים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ריבתה תורה שהם יוצאים י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ח גם בטפלות גרידא לקרבן רבם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ואעפ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שהם יכולים להביא פסח בפני עצמם מעיקר דינא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ורק משום פריצותא אין עושים חבורה שכולה עבדים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ובאופן זה שהביאו בפנ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ע אז הם ה</w:t>
      </w:r>
      <w:r>
        <w:rPr>
          <w:rtl w:val="true"/>
          <w:lang w:val="en-US"/>
        </w:rPr>
        <w:t>'</w:t>
      </w:r>
      <w:r>
        <w:rPr>
          <w:rtl w:val="true"/>
          <w:lang w:val="en-US"/>
        </w:rPr>
        <w:t>מביא</w:t>
      </w:r>
      <w:r>
        <w:rPr>
          <w:rtl w:val="true"/>
          <w:lang w:val="en-US"/>
        </w:rPr>
        <w:t xml:space="preserve">', </w:t>
      </w:r>
      <w:r>
        <w:rPr>
          <w:rtl w:val="true"/>
          <w:lang w:val="en-US"/>
        </w:rPr>
        <w:t>אבל חידשה תורה שהם יוצאים גם בלא תורת מביא עצמי אלא ע</w:t>
      </w:r>
      <w:r>
        <w:rPr>
          <w:rtl w:val="true"/>
          <w:lang w:val="en-US"/>
        </w:rPr>
        <w:t>"</w:t>
      </w:r>
      <w:r>
        <w:rPr>
          <w:rtl w:val="true"/>
          <w:lang w:val="en-US"/>
        </w:rPr>
        <w:t>י שנטפלים לקרבן רבם</w:t>
      </w:r>
      <w:r>
        <w:rPr>
          <w:rtl w:val="true"/>
          <w:lang w:val="en-US"/>
        </w:rPr>
        <w:t xml:space="preserve">. </w:t>
      </w:r>
      <w:r>
        <w:rPr>
          <w:rtl w:val="true"/>
          <w:lang w:val="en-US"/>
        </w:rPr>
        <w:t>ועל כן לא אכפת לן לברורי מאיזה פסח מסויים הם אוכלים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וגם אין הוכחה מזה לענין דעת בקרבנות</w:t>
      </w:r>
      <w:r>
        <w:rPr>
          <w:rtl w:val="true"/>
          <w:lang w:val="en-US"/>
        </w:rPr>
        <w:t xml:space="preserve">, </w:t>
      </w:r>
      <w:r>
        <w:rPr>
          <w:rtl w:val="true"/>
          <w:lang w:val="en-US"/>
        </w:rPr>
        <w:t>דהכא שאני דכשאוכלים משל רבם אין הם המביאים</w:t>
      </w:r>
      <w:r>
        <w:rPr>
          <w:rtl w:val="true"/>
          <w:lang w:val="en-US"/>
        </w:rPr>
        <w:t>.</w:t>
      </w:r>
    </w:p>
    <w:sectPr>
      <w:footerReference w:type="default" r:id="rId2"/>
      <w:footnotePr>
        <w:numFmt w:val="upperRoman"/>
      </w:footnotePr>
      <w:type w:val="nextPage"/>
      <w:pgSz w:w="11906" w:h="16838"/>
      <w:pgMar w:left="1800" w:right="1800" w:gutter="0" w:header="0" w:top="1440" w:footer="720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  <w:r>
      <mc:AlternateContent>
        <mc:Choice Requires="wps">
          <w:drawing>
            <wp:anchor distT="0" distB="0" distL="0" distR="0" simplePos="0" relativeHeight="8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1280" cy="22860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280" cy="2286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  <w:rtl w:val="true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t>7</w:t>
                          </w:r>
                          <w:r>
                            <w:rPr>
                              <w:rStyle w:val="PageNumber"/>
                              <w:rtl w:val="true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4pt;height:18pt;mso-wrap-distance-left:0pt;mso-wrap-distance-right:0pt;mso-wrap-distance-top:0pt;mso-wrap-distance-bottom:0pt;margin-top:0.05pt;mso-position-vertical-relative:text;margin-left:204.4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  <w:rtl w:val="true"/>
                      </w:rPr>
                      <w:fldChar w:fldCharType="begin"/>
                    </w:r>
                    <w:r>
                      <w:rPr>
                        <w:rStyle w:val="PageNumber"/>
                        <w:rtl w:val="true"/>
                      </w:rPr>
                      <w:instrText xml:space="preserve"> PAGE </w:instrText>
                    </w:r>
                    <w:r>
                      <w:rPr>
                        <w:rStyle w:val="PageNumber"/>
                        <w:rtl w:val="true"/>
                      </w:rPr>
                      <w:fldChar w:fldCharType="separate"/>
                    </w:r>
                    <w:r>
                      <w:rPr>
                        <w:rStyle w:val="PageNumber"/>
                        <w:rtl w:val="true"/>
                      </w:rPr>
                      <w:t>7</w:t>
                    </w:r>
                    <w:r>
                      <w:rPr>
                        <w:rStyle w:val="PageNumber"/>
                        <w:rtl w:val="true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בכתבי קה</w:t>
      </w:r>
      <w:r>
        <w:rPr>
          <w:rtl w:val="true"/>
        </w:rPr>
        <w:t>"</w:t>
      </w:r>
      <w:r>
        <w:rPr>
          <w:rtl w:val="true"/>
        </w:rPr>
        <w:t>י החדשים סוס</w:t>
      </w:r>
      <w:r>
        <w:rPr>
          <w:rtl w:val="true"/>
        </w:rPr>
        <w:t>"</w:t>
      </w:r>
      <w:r>
        <w:rPr>
          <w:rtl w:val="true"/>
        </w:rPr>
        <w:t>י צח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אג</w:t>
      </w:r>
      <w:r>
        <w:rPr>
          <w:rtl w:val="true"/>
        </w:rPr>
        <w:t>"</w:t>
      </w:r>
      <w:r>
        <w:rPr>
          <w:rtl w:val="true"/>
        </w:rPr>
        <w:t>מ יו</w:t>
      </w:r>
      <w:r>
        <w:rPr>
          <w:rtl w:val="true"/>
        </w:rPr>
        <w:t>"</w:t>
      </w:r>
      <w:r>
        <w:rPr>
          <w:rtl w:val="true"/>
        </w:rPr>
        <w:t>ד ח</w:t>
      </w:r>
      <w:r>
        <w:rPr>
          <w:rtl w:val="true"/>
        </w:rPr>
        <w:t>"</w:t>
      </w:r>
      <w:r>
        <w:rPr>
          <w:rtl w:val="true"/>
        </w:rPr>
        <w:t>א ג ה</w:t>
      </w:r>
      <w:r>
        <w:rPr>
          <w:rtl w:val="true"/>
        </w:rPr>
        <w:t xml:space="preserve">; </w:t>
      </w:r>
      <w:r>
        <w:rPr>
          <w:rtl w:val="true"/>
        </w:rPr>
        <w:t>אבנ</w:t>
      </w:r>
      <w:r>
        <w:rPr>
          <w:rtl w:val="true"/>
        </w:rPr>
        <w:t>"</w:t>
      </w:r>
      <w:r>
        <w:rPr>
          <w:rtl w:val="true"/>
        </w:rPr>
        <w:t>ז יו</w:t>
      </w:r>
      <w:r>
        <w:rPr>
          <w:rtl w:val="true"/>
        </w:rPr>
        <w:t>"</w:t>
      </w:r>
      <w:r>
        <w:rPr>
          <w:rtl w:val="true"/>
        </w:rPr>
        <w:t>ד שיג</w:t>
      </w:r>
      <w:r>
        <w:rPr>
          <w:rtl w:val="true"/>
        </w:rPr>
        <w:t>,</w:t>
      </w:r>
      <w:r>
        <w:rPr>
          <w:rtl w:val="true"/>
        </w:rPr>
        <w:t>ז</w:t>
      </w:r>
      <w:r>
        <w:rPr>
          <w:rtl w:val="true"/>
        </w:rPr>
        <w:t>).</w:t>
      </w:r>
    </w:p>
    <w:p>
      <w:pPr>
        <w:pStyle w:val="Style12"/>
        <w:rPr/>
      </w:pPr>
      <w:r>
        <w:rPr>
          <w:rtl w:val="true"/>
        </w:rPr>
      </w:r>
    </w:p>
  </w:footnote>
  <w:footnote w:id="3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שעל כן משמע בפוסקים שאין בהכשלת קטן משום לאו דלפני עור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תמורה ב</w:t>
      </w:r>
      <w:r>
        <w:rPr>
          <w:rtl w:val="true"/>
        </w:rPr>
        <w:t xml:space="preserve">: </w:t>
      </w:r>
      <w:r>
        <w:rPr>
          <w:rtl w:val="true"/>
        </w:rPr>
        <w:t>ורש</w:t>
      </w:r>
      <w:r>
        <w:rPr>
          <w:rtl w:val="true"/>
        </w:rPr>
        <w:t>"</w:t>
      </w:r>
      <w:r>
        <w:rPr>
          <w:rtl w:val="true"/>
        </w:rPr>
        <w:t>י שאינו מוזהר כלל מדאוריתא ב</w:t>
      </w:r>
      <w:r>
        <w:rPr>
          <w:rtl w:val="true"/>
        </w:rPr>
        <w:t>'</w:t>
      </w:r>
      <w:r>
        <w:rPr>
          <w:rtl w:val="true"/>
        </w:rPr>
        <w:t>לא יחליפנו ולא ימיר</w:t>
      </w:r>
      <w:r>
        <w:rPr>
          <w:rtl w:val="true"/>
        </w:rPr>
        <w:t xml:space="preserve">', </w:t>
      </w:r>
      <w:r>
        <w:rPr>
          <w:rtl w:val="true"/>
        </w:rPr>
        <w:t>ולא רק שאינו בר עונשין</w:t>
      </w:r>
      <w:r>
        <w:rPr>
          <w:rtl w:val="true"/>
        </w:rPr>
        <w:t xml:space="preserve">. </w:t>
      </w:r>
      <w:r>
        <w:rPr>
          <w:rtl w:val="true"/>
        </w:rPr>
        <w:t>וכן יש מביאים מכריתות טז</w:t>
      </w:r>
      <w:r>
        <w:rPr>
          <w:rtl w:val="true"/>
        </w:rPr>
        <w:t xml:space="preserve">. </w:t>
      </w:r>
      <w:r>
        <w:rPr>
          <w:rtl w:val="true"/>
        </w:rPr>
        <w:t>הבא על הקטנות יוכיח שאי</w:t>
      </w:r>
      <w:r>
        <w:rPr>
          <w:rtl w:val="true"/>
        </w:rPr>
        <w:t>"</w:t>
      </w:r>
      <w:r>
        <w:rPr>
          <w:rtl w:val="true"/>
        </w:rPr>
        <w:t>ב אלא אזהרה אחת</w:t>
      </w:r>
      <w:r>
        <w:rPr>
          <w:rtl w:val="true"/>
        </w:rPr>
        <w:t>. 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 בדף ו בערול</w:t>
      </w:r>
      <w:r>
        <w:rPr>
          <w:rtl w:val="true"/>
        </w:rPr>
        <w:t>"</w:t>
      </w:r>
      <w:r>
        <w:rPr>
          <w:rtl w:val="true"/>
        </w:rPr>
        <w:t>נ ושפ</w:t>
      </w:r>
      <w:r>
        <w:rPr>
          <w:rtl w:val="true"/>
        </w:rPr>
        <w:t>"</w:t>
      </w:r>
      <w:r>
        <w:rPr>
          <w:rtl w:val="true"/>
        </w:rPr>
        <w:t xml:space="preserve">א שחקרו אי קטן בכלל </w:t>
      </w:r>
      <w:r>
        <w:rPr>
          <w:rtl w:val="true"/>
        </w:rPr>
        <w:t>'</w:t>
      </w:r>
      <w:r>
        <w:rPr>
          <w:rtl w:val="true"/>
        </w:rPr>
        <w:t>בל יסך</w:t>
      </w:r>
      <w:r>
        <w:rPr>
          <w:rtl w:val="true"/>
        </w:rPr>
        <w:t xml:space="preserve">'). </w:t>
      </w:r>
    </w:p>
    <w:p>
      <w:pPr>
        <w:pStyle w:val="Style12"/>
        <w:rPr/>
      </w:pPr>
      <w:r>
        <w:rPr>
          <w:rtl w:val="true"/>
        </w:rPr>
      </w:r>
    </w:p>
  </w:footnote>
  <w:footnote w:id="4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דשם מצוה תלוי בקיום האדם דעל כן למ</w:t>
      </w:r>
      <w:r>
        <w:rPr>
          <w:rtl w:val="true"/>
        </w:rPr>
        <w:t>"</w:t>
      </w:r>
      <w:r>
        <w:rPr>
          <w:rtl w:val="true"/>
        </w:rPr>
        <w:t>ד בעי כוונה</w:t>
      </w:r>
      <w:r>
        <w:rPr>
          <w:rtl w:val="true"/>
        </w:rPr>
        <w:t xml:space="preserve">, </w:t>
      </w:r>
      <w:r>
        <w:rPr>
          <w:rtl w:val="true"/>
        </w:rPr>
        <w:t>ולכו</w:t>
      </w:r>
      <w:r>
        <w:rPr>
          <w:rtl w:val="true"/>
        </w:rPr>
        <w:t>"</w:t>
      </w:r>
      <w:r>
        <w:rPr>
          <w:rtl w:val="true"/>
        </w:rPr>
        <w:t>ע בעי רצון עכ</w:t>
      </w:r>
      <w:r>
        <w:rPr>
          <w:rtl w:val="true"/>
        </w:rPr>
        <w:t>"</w:t>
      </w:r>
      <w:r>
        <w:rPr>
          <w:rtl w:val="true"/>
        </w:rPr>
        <w:t>פ לצאת ידי חובתו</w:t>
      </w:r>
      <w:r>
        <w:rPr>
          <w:rtl w:val="true"/>
        </w:rPr>
        <w:t xml:space="preserve">, </w:t>
      </w:r>
      <w:r>
        <w:rPr>
          <w:rtl w:val="true"/>
        </w:rPr>
        <w:t>דאין המעשה עומד בפנ</w:t>
      </w:r>
      <w:r>
        <w:rPr>
          <w:rtl w:val="true"/>
        </w:rPr>
        <w:t>"</w:t>
      </w:r>
      <w:r>
        <w:rPr>
          <w:rtl w:val="true"/>
        </w:rPr>
        <w:t>ע כמעשה עבירה המתועב מצד עצמו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ויל</w:t>
      </w:r>
      <w:r>
        <w:rPr>
          <w:rtl w:val="true"/>
        </w:rPr>
        <w:t>"</w:t>
      </w:r>
      <w:r>
        <w:rPr>
          <w:rtl w:val="true"/>
        </w:rPr>
        <w:t>ע לפי מה שנראה מדברי הרמב</w:t>
      </w:r>
      <w:r>
        <w:rPr>
          <w:rtl w:val="true"/>
        </w:rPr>
        <w:t>"</w:t>
      </w:r>
      <w:r>
        <w:rPr>
          <w:rtl w:val="true"/>
        </w:rPr>
        <w:t xml:space="preserve">ם </w:t>
      </w:r>
      <w:r>
        <w:rPr>
          <w:rtl w:val="true"/>
        </w:rPr>
        <w:t>(</w:t>
      </w:r>
      <w:r>
        <w:rPr>
          <w:rtl w:val="true"/>
        </w:rPr>
        <w:t>מלכים י</w:t>
      </w:r>
      <w:r>
        <w:rPr>
          <w:rtl w:val="true"/>
        </w:rPr>
        <w:t>,</w:t>
      </w:r>
      <w:r>
        <w:rPr>
          <w:rtl w:val="true"/>
        </w:rPr>
        <w:t>י ע</w:t>
      </w:r>
      <w:r>
        <w:rPr>
          <w:rtl w:val="true"/>
        </w:rPr>
        <w:t>"</w:t>
      </w:r>
      <w:r>
        <w:rPr>
          <w:rtl w:val="true"/>
        </w:rPr>
        <w:t>ש ברדב</w:t>
      </w:r>
      <w:r>
        <w:rPr>
          <w:rtl w:val="true"/>
        </w:rPr>
        <w:t>"</w:t>
      </w:r>
      <w:r>
        <w:rPr>
          <w:rtl w:val="true"/>
        </w:rPr>
        <w:t>ז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כ באבי עזרי ת</w:t>
      </w:r>
      <w:r>
        <w:rPr>
          <w:rtl w:val="true"/>
        </w:rPr>
        <w:t>"</w:t>
      </w:r>
      <w:r>
        <w:rPr>
          <w:rtl w:val="true"/>
        </w:rPr>
        <w:t>ת א</w:t>
      </w:r>
      <w:r>
        <w:rPr>
          <w:rtl w:val="true"/>
        </w:rPr>
        <w:t>,</w:t>
      </w:r>
      <w:r>
        <w:rPr>
          <w:rtl w:val="true"/>
        </w:rPr>
        <w:t>יג</w:t>
      </w:r>
      <w:r>
        <w:rPr>
          <w:rtl w:val="true"/>
        </w:rPr>
        <w:t xml:space="preserve">. </w:t>
      </w:r>
      <w:r>
        <w:rPr>
          <w:rtl w:val="true"/>
        </w:rPr>
        <w:t>וכן מפורש בתשובת הרמב</w:t>
      </w:r>
      <w:r>
        <w:rPr>
          <w:rtl w:val="true"/>
        </w:rPr>
        <w:t>"</w:t>
      </w:r>
      <w:r>
        <w:rPr>
          <w:rtl w:val="true"/>
        </w:rPr>
        <w:t>ם קמח אודות מילת גוי</w:t>
      </w:r>
      <w:r>
        <w:rPr>
          <w:rtl w:val="true"/>
        </w:rPr>
        <w:t xml:space="preserve">) </w:t>
      </w:r>
      <w:r>
        <w:rPr>
          <w:rtl w:val="true"/>
        </w:rPr>
        <w:t>דנכרי שעושה מצוה מקבל שכר כאינו מצווה ועושה</w:t>
      </w:r>
      <w:r>
        <w:rPr>
          <w:rtl w:val="true"/>
        </w:rPr>
        <w:t xml:space="preserve">, </w:t>
      </w:r>
      <w:r>
        <w:rPr>
          <w:rtl w:val="true"/>
        </w:rPr>
        <w:t xml:space="preserve">הגם דאינו בתורת מצוה כלל </w:t>
      </w:r>
      <w:r>
        <w:rPr>
          <w:rtl w:val="true"/>
        </w:rPr>
        <w:t xml:space="preserve">- </w:t>
      </w:r>
      <w:r>
        <w:rPr>
          <w:rtl w:val="true"/>
        </w:rPr>
        <w:t>מזה נראה שאף במצוות המעשה רצוי מצד עצמו</w:t>
      </w:r>
      <w:r>
        <w:rPr>
          <w:rtl w:val="true"/>
        </w:rPr>
        <w:t xml:space="preserve">. </w:t>
      </w:r>
      <w:r>
        <w:rPr>
          <w:rtl w:val="true"/>
        </w:rPr>
        <w:t xml:space="preserve">ויתכן שאמנם במצוות התלויים בתוצאה כגון מילה </w:t>
      </w:r>
      <w:r>
        <w:rPr>
          <w:rtl w:val="true"/>
        </w:rPr>
        <w:t>(</w:t>
      </w:r>
      <w:r>
        <w:rPr>
          <w:rtl w:val="true"/>
        </w:rPr>
        <w:t>דבה מיירי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.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מ בב</w:t>
      </w:r>
      <w:r>
        <w:rPr>
          <w:rtl w:val="true"/>
        </w:rPr>
        <w:t>"</w:t>
      </w:r>
      <w:r>
        <w:rPr>
          <w:rtl w:val="true"/>
        </w:rPr>
        <w:t>ר מו</w:t>
      </w:r>
      <w:r>
        <w:rPr>
          <w:rtl w:val="true"/>
        </w:rPr>
        <w:t>,</w:t>
      </w:r>
      <w:r>
        <w:rPr>
          <w:rtl w:val="true"/>
        </w:rPr>
        <w:t>י במעשה בגויים שמלו עצמם וקבלו שכר על כך</w:t>
      </w:r>
      <w:r>
        <w:rPr>
          <w:rtl w:val="true"/>
        </w:rPr>
        <w:t xml:space="preserve">, </w:t>
      </w:r>
      <w:r>
        <w:rPr>
          <w:rtl w:val="true"/>
        </w:rPr>
        <w:t>וכ</w:t>
      </w:r>
      <w:r>
        <w:rPr>
          <w:rtl w:val="true"/>
        </w:rPr>
        <w:t>"</w:t>
      </w:r>
      <w:r>
        <w:rPr>
          <w:rtl w:val="true"/>
        </w:rPr>
        <w:t>מ במעשה דקטיעא בר שלום ע</w:t>
      </w:r>
      <w:r>
        <w:rPr>
          <w:rtl w:val="true"/>
        </w:rPr>
        <w:t>"</w:t>
      </w:r>
      <w:r>
        <w:rPr>
          <w:rtl w:val="true"/>
        </w:rPr>
        <w:t>ז י</w:t>
      </w:r>
      <w:r>
        <w:rPr>
          <w:rtl w:val="true"/>
        </w:rPr>
        <w:t xml:space="preserve">: </w:t>
      </w:r>
      <w:r>
        <w:rPr>
          <w:rtl w:val="true"/>
        </w:rPr>
        <w:t>וצ</w:t>
      </w:r>
      <w:r>
        <w:rPr>
          <w:rtl w:val="true"/>
        </w:rPr>
        <w:t>"</w:t>
      </w:r>
      <w:r>
        <w:rPr>
          <w:rtl w:val="true"/>
        </w:rPr>
        <w:t>ע במש</w:t>
      </w:r>
      <w:r>
        <w:rPr>
          <w:rtl w:val="true"/>
        </w:rPr>
        <w:t>"</w:t>
      </w:r>
      <w:r>
        <w:rPr>
          <w:rtl w:val="true"/>
        </w:rPr>
        <w:t>כ האג</w:t>
      </w:r>
      <w:r>
        <w:rPr>
          <w:rtl w:val="true"/>
        </w:rPr>
        <w:t>"</w:t>
      </w:r>
      <w:r>
        <w:rPr>
          <w:rtl w:val="true"/>
        </w:rPr>
        <w:t>מ יו</w:t>
      </w:r>
      <w:r>
        <w:rPr>
          <w:rtl w:val="true"/>
        </w:rPr>
        <w:t>"</w:t>
      </w:r>
      <w:r>
        <w:rPr>
          <w:rtl w:val="true"/>
        </w:rPr>
        <w:t>ד ח</w:t>
      </w:r>
      <w:r>
        <w:rPr>
          <w:rtl w:val="true"/>
        </w:rPr>
        <w:t>"</w:t>
      </w:r>
      <w:r>
        <w:rPr>
          <w:rtl w:val="true"/>
        </w:rPr>
        <w:t>ב ז</w:t>
      </w:r>
      <w:r>
        <w:rPr>
          <w:rtl w:val="true"/>
        </w:rPr>
        <w:t xml:space="preserve">) </w:t>
      </w:r>
      <w:r>
        <w:rPr>
          <w:rtl w:val="true"/>
        </w:rPr>
        <w:t>או צדקה וכד</w:t>
      </w:r>
      <w:r>
        <w:rPr>
          <w:rtl w:val="true"/>
        </w:rPr>
        <w:t xml:space="preserve">', </w:t>
      </w:r>
      <w:r>
        <w:rPr>
          <w:rtl w:val="true"/>
        </w:rPr>
        <w:t xml:space="preserve">ושמא אף בכל מצוה שכלית כגון כבוד אב ואדם </w:t>
      </w:r>
      <w:r>
        <w:rPr>
          <w:rtl w:val="true"/>
        </w:rPr>
        <w:t>(</w:t>
      </w:r>
      <w:r>
        <w:rPr>
          <w:rtl w:val="true"/>
        </w:rPr>
        <w:t>בקדושין לא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ז כד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 xml:space="preserve">' </w:t>
      </w:r>
      <w:r>
        <w:rPr>
          <w:rtl w:val="true"/>
        </w:rPr>
        <w:t>גם בהסכמת הנצי</w:t>
      </w:r>
      <w:r>
        <w:rPr>
          <w:rtl w:val="true"/>
        </w:rPr>
        <w:t>"</w:t>
      </w:r>
      <w:r>
        <w:rPr>
          <w:rtl w:val="true"/>
        </w:rPr>
        <w:t>ב לספר אהבת חסד</w:t>
      </w:r>
      <w:r>
        <w:rPr>
          <w:rtl w:val="true"/>
        </w:rPr>
        <w:t xml:space="preserve">), </w:t>
      </w:r>
      <w:r>
        <w:rPr>
          <w:rtl w:val="true"/>
        </w:rPr>
        <w:t>שם מעשה מצוה יש עליהם אף בלא קיום כגון בקטן ובנכרי</w:t>
      </w:r>
      <w:r>
        <w:rPr>
          <w:rtl w:val="true"/>
        </w:rPr>
        <w:t xml:space="preserve">, </w:t>
      </w:r>
      <w:r>
        <w:rPr>
          <w:rtl w:val="true"/>
        </w:rPr>
        <w:t>דהמעשה מצד עצמו רצוי</w:t>
      </w:r>
      <w:r>
        <w:rPr>
          <w:rtl w:val="true"/>
        </w:rPr>
        <w:t xml:space="preserve">, </w:t>
      </w:r>
      <w:r>
        <w:rPr>
          <w:rtl w:val="true"/>
        </w:rPr>
        <w:t>ובהם יש שכר אף בלא כוונה ורצון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5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לכאו</w:t>
      </w:r>
      <w:r>
        <w:rPr>
          <w:rtl w:val="true"/>
        </w:rPr>
        <w:t xml:space="preserve">' </w:t>
      </w:r>
      <w:r>
        <w:rPr>
          <w:rtl w:val="true"/>
        </w:rPr>
        <w:t>י</w:t>
      </w:r>
      <w:r>
        <w:rPr>
          <w:rtl w:val="true"/>
        </w:rPr>
        <w:t>"</w:t>
      </w:r>
      <w:r>
        <w:rPr>
          <w:rtl w:val="true"/>
        </w:rPr>
        <w:t>ל שלא התירו לו לאכול מפסחים אחרים דאין זה חינוך</w:t>
      </w:r>
      <w:r>
        <w:rPr>
          <w:rtl w:val="true"/>
        </w:rPr>
        <w:t xml:space="preserve">, </w:t>
      </w:r>
      <w:r>
        <w:rPr>
          <w:rtl w:val="true"/>
        </w:rPr>
        <w:t xml:space="preserve">להרגילו לאכול בלא מינוי </w:t>
      </w:r>
      <w:r>
        <w:rPr>
          <w:rtl w:val="true"/>
        </w:rPr>
        <w:t>(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שיעור ל</w:t>
      </w:r>
      <w:r>
        <w:rPr>
          <w:rtl w:val="true"/>
        </w:rPr>
        <w:t>,</w:t>
      </w:r>
      <w:r>
        <w:rPr>
          <w:rtl w:val="true"/>
        </w:rPr>
        <w:t>ג</w:t>
      </w:r>
      <w:r>
        <w:rPr>
          <w:rtl w:val="true"/>
        </w:rPr>
        <w:t xml:space="preserve">), </w:t>
      </w:r>
      <w:r>
        <w:rPr>
          <w:rtl w:val="true"/>
        </w:rPr>
        <w:t xml:space="preserve">ורק מפסח שלו התירו דאמנם אין כאן מינוי ממש אבל מדרבנן ממנהו </w:t>
      </w:r>
      <w:r>
        <w:rPr>
          <w:rtl w:val="true"/>
        </w:rPr>
        <w:t>[</w:t>
      </w:r>
      <w:r>
        <w:rPr>
          <w:rtl w:val="true"/>
        </w:rPr>
        <w:t>בדומה למקנה לולב לקטן ביום ראשון</w:t>
      </w:r>
      <w:r>
        <w:rPr>
          <w:rtl w:val="true"/>
        </w:rPr>
        <w:t xml:space="preserve">, </w:t>
      </w:r>
      <w:r>
        <w:rPr>
          <w:rtl w:val="true"/>
        </w:rPr>
        <w:t>לדעות הראשונים שאין מועיל מהתורה דעת אחרת מקנה</w:t>
      </w:r>
      <w:r>
        <w:rPr>
          <w:rtl w:val="true"/>
        </w:rPr>
        <w:t xml:space="preserve">, </w:t>
      </w:r>
      <w:r>
        <w:rPr>
          <w:rtl w:val="true"/>
        </w:rPr>
        <w:t>ואעפי</w:t>
      </w:r>
      <w:r>
        <w:rPr>
          <w:rtl w:val="true"/>
        </w:rPr>
        <w:t>"</w:t>
      </w:r>
      <w:r>
        <w:rPr>
          <w:rtl w:val="true"/>
        </w:rPr>
        <w:t>כ מברך עליו כאילו היה שלו</w:t>
      </w:r>
      <w:r>
        <w:rPr>
          <w:rtl w:val="true"/>
        </w:rPr>
        <w:t xml:space="preserve">, </w:t>
      </w:r>
      <w:r>
        <w:rPr>
          <w:rtl w:val="true"/>
        </w:rPr>
        <w:t>כי מדרבנן קונהו</w:t>
      </w:r>
      <w:r>
        <w:rPr>
          <w:rtl w:val="true"/>
        </w:rPr>
        <w:t xml:space="preserve">]. </w:t>
      </w:r>
      <w:r>
        <w:rPr>
          <w:rtl w:val="true"/>
        </w:rPr>
        <w:t>וכן משמע מרש</w:t>
      </w:r>
      <w:r>
        <w:rPr>
          <w:rtl w:val="true"/>
        </w:rPr>
        <w:t>"</w:t>
      </w:r>
      <w:r>
        <w:rPr>
          <w:rtl w:val="true"/>
        </w:rPr>
        <w:t>י סוכה מב</w:t>
      </w:r>
      <w:r>
        <w:rPr>
          <w:rtl w:val="true"/>
        </w:rPr>
        <w:t xml:space="preserve">: </w:t>
      </w:r>
      <w:r>
        <w:rPr>
          <w:rtl w:val="true"/>
        </w:rPr>
        <w:t>שכתב שממנים את הקטן על בני החבורה</w:t>
      </w:r>
      <w:r>
        <w:rPr>
          <w:rtl w:val="true"/>
        </w:rPr>
        <w:t xml:space="preserve">, </w:t>
      </w:r>
      <w:r>
        <w:rPr>
          <w:rtl w:val="true"/>
        </w:rPr>
        <w:t xml:space="preserve">והלא אין זה מינוי ממש </w:t>
      </w:r>
      <w:r>
        <w:rPr>
          <w:rtl w:val="true"/>
        </w:rPr>
        <w:t>(</w:t>
      </w:r>
      <w:r>
        <w:rPr>
          <w:rtl w:val="true"/>
        </w:rPr>
        <w:t>להתוס</w:t>
      </w:r>
      <w:r>
        <w:rPr>
          <w:rtl w:val="true"/>
        </w:rPr>
        <w:t xml:space="preserve">' </w:t>
      </w:r>
      <w:r>
        <w:rPr>
          <w:rtl w:val="true"/>
        </w:rPr>
        <w:t>והר</w:t>
      </w:r>
      <w:r>
        <w:rPr>
          <w:rtl w:val="true"/>
        </w:rPr>
        <w:t>"</w:t>
      </w:r>
      <w:r>
        <w:rPr>
          <w:rtl w:val="true"/>
        </w:rPr>
        <w:t>ן והרא</w:t>
      </w:r>
      <w:r>
        <w:rPr>
          <w:rtl w:val="true"/>
        </w:rPr>
        <w:t>"</w:t>
      </w:r>
      <w:r>
        <w:rPr>
          <w:rtl w:val="true"/>
        </w:rPr>
        <w:t>ש וש</w:t>
      </w:r>
      <w:r>
        <w:rPr>
          <w:rtl w:val="true"/>
        </w:rPr>
        <w:t>"</w:t>
      </w:r>
      <w:r>
        <w:rPr>
          <w:rtl w:val="true"/>
        </w:rPr>
        <w:t>ר</w:t>
      </w:r>
      <w:r>
        <w:rPr>
          <w:rtl w:val="true"/>
        </w:rPr>
        <w:t xml:space="preserve">) - </w:t>
      </w:r>
      <w:r>
        <w:rPr>
          <w:rtl w:val="true"/>
        </w:rPr>
        <w:t>אלא מדרבנן הוא מנוי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6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ובפירוש המשך הסוגיא בנדרים דמשמע לפום ריהטא דא</w:t>
      </w:r>
      <w:r>
        <w:rPr>
          <w:rtl w:val="true"/>
        </w:rPr>
        <w:t>"</w:t>
      </w:r>
      <w:r>
        <w:rPr>
          <w:rtl w:val="true"/>
        </w:rPr>
        <w:t xml:space="preserve">צ מינוי </w:t>
      </w:r>
      <w:r>
        <w:rPr>
          <w:rtl w:val="true"/>
        </w:rPr>
        <w:t xml:space="preserve">-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בחדושי הגר</w:t>
      </w:r>
      <w:r>
        <w:rPr>
          <w:rtl w:val="true"/>
        </w:rPr>
        <w:t>"</w:t>
      </w:r>
      <w:r>
        <w:rPr>
          <w:rtl w:val="true"/>
        </w:rPr>
        <w:t>ח סנטסיל ובגנזי הגר</w:t>
      </w:r>
      <w:r>
        <w:rPr>
          <w:rtl w:val="true"/>
        </w:rPr>
        <w:t>"</w:t>
      </w:r>
      <w:r>
        <w:rPr>
          <w:rtl w:val="true"/>
        </w:rPr>
        <w:t>ח סי</w:t>
      </w:r>
      <w:r>
        <w:rPr>
          <w:rtl w:val="true"/>
        </w:rPr>
        <w:t xml:space="preserve">' </w:t>
      </w:r>
      <w:r>
        <w:rPr>
          <w:rtl w:val="true"/>
        </w:rPr>
        <w:t>עז שפירש הסוגיא באופן אחר</w:t>
      </w:r>
      <w:r>
        <w:rPr>
          <w:rtl w:val="true"/>
        </w:rPr>
        <w:t xml:space="preserve">,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ע במשנת ר</w:t>
      </w:r>
      <w:r>
        <w:rPr>
          <w:rtl w:val="true"/>
        </w:rPr>
        <w:t xml:space="preserve">' </w:t>
      </w:r>
      <w:r>
        <w:rPr>
          <w:rtl w:val="true"/>
        </w:rPr>
        <w:t>אהרן קדשים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7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צ</w:t>
      </w:r>
      <w:r>
        <w:rPr>
          <w:rtl w:val="true"/>
        </w:rPr>
        <w:t>"</w:t>
      </w:r>
      <w:r>
        <w:rPr>
          <w:rtl w:val="true"/>
        </w:rPr>
        <w:t>ע</w:t>
      </w:r>
      <w:r>
        <w:rPr>
          <w:rtl w:val="true"/>
        </w:rPr>
        <w:t xml:space="preserve">, </w:t>
      </w:r>
      <w:r>
        <w:rPr>
          <w:rtl w:val="true"/>
        </w:rPr>
        <w:t>דפשט דברי הרמב</w:t>
      </w:r>
      <w:r>
        <w:rPr>
          <w:rtl w:val="true"/>
        </w:rPr>
        <w:t>"</w:t>
      </w:r>
      <w:r>
        <w:rPr>
          <w:rtl w:val="true"/>
        </w:rPr>
        <w:t>ם בהל</w:t>
      </w:r>
      <w:r>
        <w:rPr>
          <w:rtl w:val="true"/>
        </w:rPr>
        <w:t xml:space="preserve">' </w:t>
      </w:r>
      <w:r>
        <w:rPr>
          <w:rtl w:val="true"/>
        </w:rPr>
        <w:t>מעה</w:t>
      </w:r>
      <w:r>
        <w:rPr>
          <w:rtl w:val="true"/>
        </w:rPr>
        <w:t>"</w:t>
      </w:r>
      <w:r>
        <w:rPr>
          <w:rtl w:val="true"/>
        </w:rPr>
        <w:t xml:space="preserve">ק </w:t>
      </w:r>
      <w:r>
        <w:rPr>
          <w:rtl w:val="true"/>
        </w:rPr>
        <w:t>(</w:t>
      </w:r>
      <w:r>
        <w:rPr>
          <w:rtl w:val="true"/>
        </w:rPr>
        <w:t>יד</w:t>
      </w:r>
      <w:r>
        <w:rPr>
          <w:rtl w:val="true"/>
        </w:rPr>
        <w:t>,</w:t>
      </w:r>
      <w:r>
        <w:rPr>
          <w:rtl w:val="true"/>
        </w:rPr>
        <w:t>י</w:t>
      </w:r>
      <w:r>
        <w:rPr>
          <w:rtl w:val="true"/>
        </w:rPr>
        <w:t>) '</w:t>
      </w:r>
      <w:r>
        <w:rPr>
          <w:rtl w:val="true"/>
        </w:rPr>
        <w:t>האומר חטאתו ועולתו ואשמו ושלמיו של פלוני עלי</w:t>
      </w:r>
      <w:r>
        <w:rPr>
          <w:rtl w:val="true"/>
        </w:rPr>
        <w:t xml:space="preserve">, </w:t>
      </w:r>
      <w:r>
        <w:rPr>
          <w:rtl w:val="true"/>
        </w:rPr>
        <w:t>אם רצה אותו פלוני וכו</w:t>
      </w:r>
      <w:r>
        <w:rPr>
          <w:rtl w:val="true"/>
        </w:rPr>
        <w:t xml:space="preserve">'' </w:t>
      </w:r>
      <w:r>
        <w:rPr>
          <w:rtl w:val="true"/>
        </w:rPr>
        <w:t>משמע דאף בקרבנות נדבה מיירי</w:t>
      </w:r>
      <w:r>
        <w:rPr>
          <w:rtl w:val="true"/>
        </w:rPr>
        <w:t xml:space="preserve">. </w:t>
      </w:r>
      <w:r>
        <w:rPr>
          <w:rtl w:val="true"/>
        </w:rPr>
        <w:t>ואמאי בעיקר מקומו לא פירש דהדין אמור רק בחובה ורק במקום שהזכירו באגב השמיענו זאת</w:t>
      </w:r>
      <w:r>
        <w:rPr>
          <w:rtl w:val="true"/>
        </w:rPr>
        <w:t xml:space="preserve">. </w:t>
      </w:r>
      <w:r>
        <w:rPr>
          <w:rtl w:val="true"/>
        </w:rPr>
        <w:t>ואולם לפי דברי הגרי</w:t>
      </w:r>
      <w:r>
        <w:rPr>
          <w:rtl w:val="true"/>
        </w:rPr>
        <w:t>"</w:t>
      </w:r>
      <w:r>
        <w:rPr>
          <w:rtl w:val="true"/>
        </w:rPr>
        <w:t>ז ניחא</w:t>
      </w:r>
      <w:r>
        <w:rPr>
          <w:rtl w:val="true"/>
        </w:rPr>
        <w:t xml:space="preserve">, </w:t>
      </w:r>
      <w:r>
        <w:rPr>
          <w:rtl w:val="true"/>
        </w:rPr>
        <w:t>דאמנם למעשה בכל עולות ושלמים בעינן דעת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  <w:t>ולולא דברי הגר</w:t>
      </w:r>
      <w:r>
        <w:rPr>
          <w:rtl w:val="true"/>
        </w:rPr>
        <w:t>"</w:t>
      </w:r>
      <w:r>
        <w:rPr>
          <w:rtl w:val="true"/>
        </w:rPr>
        <w:t>ח היה נראה דמש</w:t>
      </w:r>
      <w:r>
        <w:rPr>
          <w:rtl w:val="true"/>
        </w:rPr>
        <w:t>"</w:t>
      </w:r>
      <w:r>
        <w:rPr>
          <w:rtl w:val="true"/>
        </w:rPr>
        <w:t>כ הרמב</w:t>
      </w:r>
      <w:r>
        <w:rPr>
          <w:rtl w:val="true"/>
        </w:rPr>
        <w:t>"</w:t>
      </w:r>
      <w:r>
        <w:rPr>
          <w:rtl w:val="true"/>
        </w:rPr>
        <w:t>ם בהל</w:t>
      </w:r>
      <w:r>
        <w:rPr>
          <w:rtl w:val="true"/>
        </w:rPr>
        <w:t xml:space="preserve">' </w:t>
      </w:r>
      <w:r>
        <w:rPr>
          <w:rtl w:val="true"/>
        </w:rPr>
        <w:t xml:space="preserve">מחוסרי כפרה </w:t>
      </w:r>
      <w:r>
        <w:rPr>
          <w:rtl w:val="true"/>
        </w:rPr>
        <w:t>'</w:t>
      </w:r>
      <w:r>
        <w:rPr>
          <w:rtl w:val="true"/>
        </w:rPr>
        <w:t>מחוייבי קרבן</w:t>
      </w:r>
      <w:r>
        <w:rPr>
          <w:rtl w:val="true"/>
        </w:rPr>
        <w:t xml:space="preserve">' </w:t>
      </w:r>
      <w:r>
        <w:rPr>
          <w:rtl w:val="true"/>
        </w:rPr>
        <w:t xml:space="preserve">היינו מפני שכתב שם </w:t>
      </w:r>
      <w:r>
        <w:rPr>
          <w:rtl w:val="true"/>
        </w:rPr>
        <w:t>'</w:t>
      </w:r>
      <w:r>
        <w:rPr>
          <w:rtl w:val="true"/>
        </w:rPr>
        <w:t>אין מקריבין על ידן אלא מדעתן</w:t>
      </w:r>
      <w:r>
        <w:rPr>
          <w:rtl w:val="true"/>
        </w:rPr>
        <w:t xml:space="preserve">', </w:t>
      </w:r>
      <w:r>
        <w:rPr>
          <w:rtl w:val="true"/>
        </w:rPr>
        <w:t>והרי דעת בהקרבה לא בעינן אלא בחטאת ואשם</w:t>
      </w:r>
      <w:r>
        <w:rPr>
          <w:rtl w:val="true"/>
        </w:rPr>
        <w:t xml:space="preserve">, </w:t>
      </w:r>
      <w:r>
        <w:rPr>
          <w:rtl w:val="true"/>
        </w:rPr>
        <w:t>לכך נקט מלתא דפסיקא</w:t>
      </w:r>
      <w:r>
        <w:rPr>
          <w:rtl w:val="true"/>
        </w:rPr>
        <w:t xml:space="preserve">, </w:t>
      </w:r>
      <w:r>
        <w:rPr>
          <w:rtl w:val="true"/>
        </w:rPr>
        <w:t xml:space="preserve">דבשעת הקרבה בעינן דעת רק במחויבים </w:t>
      </w:r>
      <w:r>
        <w:rPr>
          <w:rtl w:val="true"/>
        </w:rPr>
        <w:t>[</w:t>
      </w:r>
      <w:r>
        <w:rPr>
          <w:rtl w:val="true"/>
        </w:rPr>
        <w:t xml:space="preserve">ויתכן אף בעולה ושלמים המחויבים צריך דעת בהקרבה </w:t>
      </w:r>
      <w:r>
        <w:rPr>
          <w:rtl w:val="true"/>
        </w:rPr>
        <w:t xml:space="preserve">- </w:t>
      </w:r>
      <w:r>
        <w:rPr>
          <w:rtl w:val="true"/>
        </w:rPr>
        <w:t>כן נקט החזו</w:t>
      </w:r>
      <w:r>
        <w:rPr>
          <w:rtl w:val="true"/>
        </w:rPr>
        <w:t>"</w:t>
      </w:r>
      <w:r>
        <w:rPr>
          <w:rtl w:val="true"/>
        </w:rPr>
        <w:t>א אה</w:t>
      </w:r>
      <w:r>
        <w:rPr>
          <w:rtl w:val="true"/>
        </w:rPr>
        <w:t>"</w:t>
      </w:r>
      <w:r>
        <w:rPr>
          <w:rtl w:val="true"/>
        </w:rPr>
        <w:t>ע קלו לדף לה</w:t>
      </w:r>
      <w:r>
        <w:rPr>
          <w:rtl w:val="true"/>
        </w:rPr>
        <w:t>:].</w:t>
      </w:r>
    </w:p>
    <w:p>
      <w:pPr>
        <w:pStyle w:val="Style12"/>
        <w:rPr/>
      </w:pPr>
      <w:r>
        <w:rPr>
          <w:rtl w:val="true"/>
        </w:rPr>
      </w:r>
    </w:p>
  </w:footnote>
  <w:footnote w:id="8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בשיעורים א</w:t>
      </w:r>
      <w:r>
        <w:rPr>
          <w:rtl w:val="true"/>
        </w:rPr>
        <w:t>,</w:t>
      </w:r>
      <w:r>
        <w:rPr>
          <w:rtl w:val="true"/>
        </w:rPr>
        <w:t>ו</w:t>
      </w:r>
      <w:r>
        <w:rPr>
          <w:rtl w:val="true"/>
        </w:rPr>
        <w:t xml:space="preserve">; </w:t>
      </w:r>
      <w:r>
        <w:rPr>
          <w:rtl w:val="true"/>
        </w:rPr>
        <w:t>מט</w:t>
      </w:r>
      <w:r>
        <w:rPr>
          <w:rtl w:val="true"/>
        </w:rPr>
        <w:t>,</w:t>
      </w:r>
      <w:r>
        <w:rPr>
          <w:rtl w:val="true"/>
        </w:rPr>
        <w:t>ה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  <w:footnote w:id="9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ובחזו</w:t>
      </w:r>
      <w:r>
        <w:rPr>
          <w:rtl w:val="true"/>
        </w:rPr>
        <w:t>"</w:t>
      </w:r>
      <w:r>
        <w:rPr>
          <w:rtl w:val="true"/>
        </w:rPr>
        <w:t xml:space="preserve">א </w:t>
      </w:r>
      <w:r>
        <w:rPr>
          <w:rtl w:val="true"/>
        </w:rPr>
        <w:t>(</w:t>
      </w:r>
      <w:r>
        <w:rPr>
          <w:rtl w:val="true"/>
        </w:rPr>
        <w:t>אה</w:t>
      </w:r>
      <w:r>
        <w:rPr>
          <w:rtl w:val="true"/>
        </w:rPr>
        <w:t>"</w:t>
      </w:r>
      <w:r>
        <w:rPr>
          <w:rtl w:val="true"/>
        </w:rPr>
        <w:t>ע קלו לדף לה</w:t>
      </w:r>
      <w:r>
        <w:rPr>
          <w:rtl w:val="true"/>
        </w:rPr>
        <w:t xml:space="preserve">:) </w:t>
      </w:r>
      <w:r>
        <w:rPr>
          <w:rtl w:val="true"/>
        </w:rPr>
        <w:t>כתב להגיה בדברי הרמב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, </w:t>
      </w:r>
      <w:r>
        <w:rPr>
          <w:rtl w:val="true"/>
        </w:rPr>
        <w:t>שודאי א</w:t>
      </w:r>
      <w:r>
        <w:rPr>
          <w:rtl w:val="true"/>
        </w:rPr>
        <w:t>"</w:t>
      </w:r>
      <w:r>
        <w:rPr>
          <w:rtl w:val="true"/>
        </w:rPr>
        <w:t>א להקריב בע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 [</w:t>
      </w:r>
      <w:r>
        <w:rPr>
          <w:rtl w:val="true"/>
        </w:rPr>
        <w:t>ונקט שם שגם במחו</w:t>
      </w:r>
      <w:r>
        <w:rPr>
          <w:rtl w:val="true"/>
        </w:rPr>
        <w:t>"</w:t>
      </w:r>
      <w:r>
        <w:rPr>
          <w:rtl w:val="true"/>
        </w:rPr>
        <w:t>כ א</w:t>
      </w:r>
      <w:r>
        <w:rPr>
          <w:rtl w:val="true"/>
        </w:rPr>
        <w:t>"</w:t>
      </w:r>
      <w:r>
        <w:rPr>
          <w:rtl w:val="true"/>
        </w:rPr>
        <w:t>א להקריב כשהוא מוחה</w:t>
      </w:r>
      <w:r>
        <w:rPr>
          <w:rtl w:val="true"/>
        </w:rPr>
        <w:t xml:space="preserve">. </w:t>
      </w:r>
      <w:r>
        <w:rPr>
          <w:rtl w:val="true"/>
        </w:rPr>
        <w:t>ובחו</w:t>
      </w:r>
      <w:r>
        <w:rPr>
          <w:rtl w:val="true"/>
        </w:rPr>
        <w:t>"</w:t>
      </w:r>
      <w:r>
        <w:rPr>
          <w:rtl w:val="true"/>
        </w:rPr>
        <w:t>ב ערכין כא צדד שאפשר</w:t>
      </w:r>
      <w:r>
        <w:rPr>
          <w:rtl w:val="true"/>
        </w:rPr>
        <w:t>].</w:t>
      </w:r>
    </w:p>
    <w:p>
      <w:pPr>
        <w:pStyle w:val="Style12"/>
        <w:rPr/>
      </w:pPr>
      <w:r>
        <w:rPr>
          <w:rtl w:val="true"/>
        </w:rPr>
      </w:r>
    </w:p>
  </w:footnote>
  <w:footnote w:id="10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ושמא יש מקום לומר דנהי דבסתמא המתכפר הוא הבעלים על ההבאה ועל הבשר</w:t>
      </w:r>
      <w:r>
        <w:rPr>
          <w:rtl w:val="true"/>
        </w:rPr>
        <w:t xml:space="preserve">, </w:t>
      </w:r>
      <w:r>
        <w:rPr>
          <w:rtl w:val="true"/>
        </w:rPr>
        <w:t>אך כשאינו רוצה שיקריב הלה עבורו</w:t>
      </w:r>
      <w:r>
        <w:rPr>
          <w:rtl w:val="true"/>
        </w:rPr>
        <w:t xml:space="preserve">, </w:t>
      </w:r>
      <w:r>
        <w:rPr>
          <w:rtl w:val="true"/>
        </w:rPr>
        <w:t>לא גרע זה מאבידה שאין הבעלים מזומנים להקרבה</w:t>
      </w:r>
      <w:r>
        <w:rPr>
          <w:rtl w:val="true"/>
        </w:rPr>
        <w:t xml:space="preserve">, </w:t>
      </w:r>
      <w:r>
        <w:rPr>
          <w:rtl w:val="true"/>
        </w:rPr>
        <w:t xml:space="preserve">וממילא חייל דין </w:t>
      </w:r>
      <w:r>
        <w:rPr>
          <w:rtl w:val="true"/>
        </w:rPr>
        <w:t>'</w:t>
      </w:r>
      <w:r>
        <w:rPr>
          <w:rtl w:val="true"/>
        </w:rPr>
        <w:t>מביא</w:t>
      </w:r>
      <w:r>
        <w:rPr>
          <w:rtl w:val="true"/>
        </w:rPr>
        <w:t xml:space="preserve">' </w:t>
      </w:r>
      <w:r>
        <w:rPr>
          <w:rtl w:val="true"/>
        </w:rPr>
        <w:t>על המפריש</w:t>
      </w:r>
      <w:r>
        <w:rPr>
          <w:rtl w:val="true"/>
        </w:rPr>
        <w:t xml:space="preserve">. </w:t>
      </w:r>
      <w:r>
        <w:rPr>
          <w:rtl w:val="true"/>
        </w:rPr>
        <w:t xml:space="preserve">ושפיר מתקיים בזה </w:t>
      </w:r>
      <w:r>
        <w:rPr>
          <w:rtl w:val="true"/>
        </w:rPr>
        <w:t>'</w:t>
      </w:r>
      <w:r>
        <w:rPr>
          <w:rtl w:val="true"/>
        </w:rPr>
        <w:t>יקריב אותו לרצונו</w:t>
      </w:r>
      <w:r>
        <w:rPr>
          <w:rtl w:val="true"/>
        </w:rPr>
        <w:t>'.</w:t>
      </w:r>
    </w:p>
    <w:p>
      <w:pPr>
        <w:pStyle w:val="Style12"/>
        <w:rPr/>
      </w:pPr>
      <w:r>
        <w:rPr>
          <w:rtl w:val="true"/>
        </w:rPr>
      </w:r>
    </w:p>
  </w:footnote>
  <w:footnote w:id="11">
    <w:p>
      <w:pPr>
        <w:pStyle w:val="Style12"/>
        <w:rPr/>
      </w:pPr>
      <w:r>
        <w:rPr>
          <w:rStyle w:val="FootnoteCharacters"/>
        </w:rPr>
        <w:footnoteRef/>
      </w:r>
      <w:r>
        <w:rPr>
          <w:rtl w:val="true"/>
        </w:rPr>
        <w:t xml:space="preserve"> </w:t>
      </w:r>
      <w:r>
        <w:rPr>
          <w:rtl w:val="true"/>
        </w:rPr>
        <w:t>ע</w:t>
      </w:r>
      <w:r>
        <w:rPr>
          <w:rtl w:val="true"/>
        </w:rPr>
        <w:t xml:space="preserve">' </w:t>
      </w:r>
      <w:r>
        <w:rPr>
          <w:rtl w:val="true"/>
        </w:rPr>
        <w:t>שיעור מט</w:t>
      </w:r>
      <w:r>
        <w:rPr>
          <w:rtl w:val="true"/>
        </w:rPr>
        <w:t>.</w:t>
      </w:r>
    </w:p>
    <w:p>
      <w:pPr>
        <w:pStyle w:val="Style12"/>
        <w:rPr/>
      </w:pPr>
      <w:r>
        <w:rPr>
          <w:rtl w:val="true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upperRoman"/>
    <w:footnote w:id="0"/>
    <w:footnote w:id="1"/>
  </w:footnotePr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exact" w:line="360"/>
      <w:jc w:val="both"/>
    </w:pPr>
    <w:rPr>
      <w:rFonts w:ascii="Times New Roman" w:hAnsi="Times New Roman" w:eastAsia="Times New Roman" w:cs="FrankRuehl"/>
      <w:color w:val="auto"/>
      <w:sz w:val="20"/>
      <w:szCs w:val="26"/>
      <w:lang w:val="en-US" w:eastAsia="zh-CN" w:bidi="hi-I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autoSpaceDE w:val="false"/>
      <w:snapToGrid w:val="false"/>
      <w:outlineLvl w:val="0"/>
    </w:pPr>
    <w:rPr>
      <w:b/>
      <w:spacing w:val="20"/>
      <w:sz w:val="26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Miriam"/>
      <w:sz w:val="24"/>
      <w:szCs w:val="24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basedOn w:val="DefaultParagraphFont"/>
    <w:qFormat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12">
    <w:name w:val="הערות"/>
    <w:basedOn w:val="FootnoteText"/>
    <w:qFormat/>
    <w:pPr>
      <w:spacing w:lineRule="auto" w:line="240"/>
      <w:jc w:val="start"/>
    </w:pPr>
    <w:rPr/>
  </w:style>
  <w:style w:type="paragraph" w:styleId="Style13">
    <w:name w:val="רגיל"/>
    <w:basedOn w:val="Heading1"/>
    <w:qFormat/>
    <w:pPr>
      <w:keepNext w:val="true"/>
      <w:numPr>
        <w:ilvl w:val="0"/>
        <w:numId w:val="0"/>
      </w:numPr>
      <w:autoSpaceDE w:val="true"/>
      <w:outlineLvl w:val="9"/>
    </w:pPr>
    <w:rPr>
      <w:b w:val="false"/>
      <w:spacing w:val="0"/>
      <w:sz w:val="28"/>
      <w:lang w:val="en-US"/>
    </w:rPr>
  </w:style>
  <w:style w:type="paragraph" w:styleId="Style14">
    <w:name w:val="כותרות"/>
    <w:basedOn w:val="Style13"/>
    <w:qFormat/>
    <w:pPr>
      <w:spacing w:lineRule="auto" w:line="240"/>
      <w:jc w:val="center"/>
    </w:pPr>
    <w:rPr>
      <w:b/>
      <w:bCs/>
      <w:sz w:val="24"/>
      <w:szCs w:val="24"/>
      <w:lang w:val="en-US"/>
    </w:rPr>
  </w:style>
  <w:style w:type="paragraph" w:styleId="2">
    <w:name w:val="כותרות 2"/>
    <w:basedOn w:val="Normal"/>
    <w:qFormat/>
    <w:pPr>
      <w:jc w:val="center"/>
    </w:pPr>
    <w:rPr>
      <w:szCs w:val="22"/>
      <w:lang w:eastAsia="en-US"/>
    </w:rPr>
  </w:style>
  <w:style w:type="paragraph" w:styleId="Style15">
    <w:name w:val="ערכים"/>
    <w:basedOn w:val="Normal"/>
    <w:qFormat/>
    <w:pPr/>
    <w:rPr>
      <w:bCs/>
      <w:szCs w:val="28"/>
    </w:rPr>
  </w:style>
  <w:style w:type="paragraph" w:styleId="21">
    <w:name w:val="ערכים 2"/>
    <w:basedOn w:val="Heading3"/>
    <w:qFormat/>
    <w:pPr>
      <w:numPr>
        <w:ilvl w:val="0"/>
        <w:numId w:val="0"/>
      </w:numPr>
      <w:spacing w:before="0" w:after="0"/>
      <w:outlineLvl w:val="9"/>
    </w:pPr>
    <w:rPr>
      <w:rFonts w:ascii="Times New Roman" w:hAnsi="Times New Roman" w:cs="FrankRuehl"/>
      <w:spacing w:val="20"/>
      <w:sz w:val="20"/>
      <w:szCs w:val="26"/>
    </w:rPr>
  </w:style>
  <w:style w:type="paragraph" w:styleId="1">
    <w:name w:val="סגנון1"/>
    <w:qFormat/>
    <w:pPr>
      <w:widowControl/>
      <w:bidi w:val="0"/>
      <w:spacing w:lineRule="auto" w:line="360"/>
      <w:jc w:val="both"/>
    </w:pPr>
    <w:rPr>
      <w:rFonts w:ascii="Times New Roman" w:hAnsi="Times New Roman" w:eastAsia="Times New Roman" w:cs="Miriam"/>
      <w:color w:val="auto"/>
      <w:sz w:val="28"/>
      <w:szCs w:val="20"/>
      <w:lang w:val="en-US" w:eastAsia="zh-CN" w:bidi="hi-I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HNormal</Template>
  <TotalTime>185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2009-06-07T22:54:00Z</dcterms:created>
  <dc:creator>יו</dc:creator>
  <dc:description/>
  <dc:language>en-US</dc:language>
  <cp:lastModifiedBy>יו</cp:lastModifiedBy>
  <dcterms:modified xsi:type="dcterms:W3CDTF">2009-06-09T12:08:00Z</dcterms:modified>
  <cp:revision>36</cp:revision>
  <dc:subject/>
  <dc:title>בס"ד</dc:title>
</cp:coreProperties>
</file>