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9845" w14:textId="386D3E9F" w:rsidR="00786543" w:rsidRDefault="00856A49" w:rsidP="001B7E6B">
      <w:pPr>
        <w:pStyle w:val="4"/>
      </w:pPr>
      <w:r w:rsidRPr="00053287">
        <w:rPr>
          <w:noProof/>
        </w:rPr>
        <mc:AlternateContent>
          <mc:Choice Requires="wps">
            <w:drawing>
              <wp:anchor distT="0" distB="0" distL="114300" distR="114300" simplePos="0" relativeHeight="251658239" behindDoc="1" locked="0" layoutInCell="1" allowOverlap="1" wp14:anchorId="7C384B3C" wp14:editId="5DD6D2D4">
                <wp:simplePos x="0" y="0"/>
                <wp:positionH relativeFrom="margin">
                  <wp:posOffset>-71364</wp:posOffset>
                </wp:positionH>
                <wp:positionV relativeFrom="paragraph">
                  <wp:posOffset>-232116</wp:posOffset>
                </wp:positionV>
                <wp:extent cx="7054704" cy="3101584"/>
                <wp:effectExtent l="38100" t="38100" r="32385" b="41910"/>
                <wp:wrapNone/>
                <wp:docPr id="2" name="מלבן 2"/>
                <wp:cNvGraphicFramePr/>
                <a:graphic xmlns:a="http://schemas.openxmlformats.org/drawingml/2006/main">
                  <a:graphicData uri="http://schemas.microsoft.com/office/word/2010/wordprocessingShape">
                    <wps:wsp>
                      <wps:cNvSpPr/>
                      <wps:spPr>
                        <a:xfrm>
                          <a:off x="0" y="0"/>
                          <a:ext cx="7054704" cy="3101584"/>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5F24A" id="מלבן 2" o:spid="_x0000_s1026" style="position:absolute;left:0;text-align:left;margin-left:-5.6pt;margin-top:-18.3pt;width:555.5pt;height:244.2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" fillcolor="#f2f2f2 [3052]" strokecolor="black [3213]" strokeweight="6pt">
                <v:stroke linestyle="thinThick" endcap="round"/>
                <w10:wrap anchorx="margin"/>
              </v:rect>
            </w:pict>
          </mc:Fallback>
        </mc:AlternateContent>
      </w:r>
      <w:r w:rsidRPr="00053287">
        <w:rPr>
          <w:noProof/>
        </w:rPr>
        <mc:AlternateContent>
          <mc:Choice Requires="wps">
            <w:drawing>
              <wp:anchor distT="0" distB="0" distL="114300" distR="114300" simplePos="0" relativeHeight="251659264" behindDoc="0" locked="0" layoutInCell="1" allowOverlap="1" wp14:anchorId="133BD371" wp14:editId="52083267">
                <wp:simplePos x="0" y="0"/>
                <wp:positionH relativeFrom="column">
                  <wp:posOffset>1398905</wp:posOffset>
                </wp:positionH>
                <wp:positionV relativeFrom="page">
                  <wp:posOffset>351790</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3BD371" id="_x0000_t202" coordsize="21600,21600" o:spt="202" path="m,l,21600r21600,l21600,xe">
                <v:stroke joinstyle="miter"/>
                <v:path gradientshapeok="t" o:connecttype="rect"/>
              </v:shapetype>
              <v:shape id="תיבת טקסט 5" o:spid="_x0000_s1026" type="#_x0000_t202" style="position:absolute;left:0;text-align:left;margin-left:110.15pt;margin-top:27.7pt;width:297.2pt;height:6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" filled="f" stroked="f">
                <v:textbox>
                  <w:txbxContent>
                    <w:p w14:paraId="78702FA2" w14:textId="77777777" w:rsidR="00AC4D92" w:rsidRPr="006979F6" w:rsidRDefault="00AC4D92" w:rsidP="00AC4D92">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2E04E4B" w14:textId="77777777" w:rsidR="00AC4D92" w:rsidRPr="006979F6" w:rsidRDefault="00AC4D92" w:rsidP="00AC4D92">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9974ADB" w14:textId="407366E5" w:rsidR="00786543" w:rsidRPr="00786543" w:rsidRDefault="00621954" w:rsidP="00786543">
      <w:pPr>
        <w:rPr>
          <w:sz w:val="30"/>
          <w:szCs w:val="30"/>
        </w:rPr>
      </w:pPr>
      <w:r>
        <w:rPr>
          <w:noProof/>
          <w:sz w:val="30"/>
          <w:szCs w:val="30"/>
        </w:rPr>
        <mc:AlternateContent>
          <mc:Choice Requires="wpg">
            <w:drawing>
              <wp:anchor distT="0" distB="0" distL="114300" distR="114300" simplePos="0" relativeHeight="251667456" behindDoc="0" locked="0" layoutInCell="1" allowOverlap="1" wp14:anchorId="700A829C" wp14:editId="186EA3D1">
                <wp:simplePos x="0" y="0"/>
                <wp:positionH relativeFrom="column">
                  <wp:posOffset>622300</wp:posOffset>
                </wp:positionH>
                <wp:positionV relativeFrom="paragraph">
                  <wp:posOffset>309245</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CEFEB87" id="קבוצה 13" o:spid="_x0000_s1026" style="position:absolute;left:0;text-align:left;margin-left:49pt;margin-top:24.35pt;width:423.65pt;height:11.05pt;z-index:251667456"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ItO&#10;9XLgAAAACA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9"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9" o:title="BD21319_"/>
                </v:shape>
              </v:group>
            </w:pict>
          </mc:Fallback>
        </mc:AlternateContent>
      </w:r>
    </w:p>
    <w:p w14:paraId="6C1FB1CF" w14:textId="4434A18F" w:rsidR="00786543" w:rsidRPr="00786543" w:rsidRDefault="00621954" w:rsidP="00786543">
      <w:pPr>
        <w:rPr>
          <w:sz w:val="30"/>
          <w:szCs w:val="30"/>
        </w:rPr>
      </w:pPr>
      <w:r w:rsidRPr="00053287">
        <w:rPr>
          <w:noProof/>
          <w:sz w:val="30"/>
          <w:szCs w:val="30"/>
        </w:rPr>
        <mc:AlternateContent>
          <mc:Choice Requires="wps">
            <w:drawing>
              <wp:anchor distT="0" distB="0" distL="114300" distR="114300" simplePos="0" relativeHeight="251664384" behindDoc="0" locked="0" layoutInCell="1" allowOverlap="1" wp14:anchorId="0E06A254" wp14:editId="120E81E8">
                <wp:simplePos x="0" y="0"/>
                <wp:positionH relativeFrom="column">
                  <wp:posOffset>1071407</wp:posOffset>
                </wp:positionH>
                <wp:positionV relativeFrom="page">
                  <wp:posOffset>1233170</wp:posOffset>
                </wp:positionV>
                <wp:extent cx="459326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3265" cy="731520"/>
                        </a:xfrm>
                        <a:prstGeom prst="rect">
                          <a:avLst/>
                        </a:prstGeom>
                        <a:solidFill>
                          <a:schemeClr val="bg1">
                            <a:lumMod val="95000"/>
                          </a:schemeClr>
                        </a:solidFill>
                        <a:ln>
                          <a:noFill/>
                        </a:ln>
                        <a:effectLst/>
                      </wps:spPr>
                      <wps:txb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0E06A254" id="תיבת טקסט 4" o:spid="_x0000_s1027" type="#_x0000_t202" style="position:absolute;left:0;text-align:left;margin-left:84.35pt;margin-top:97.1pt;width:361.65pt;height:57.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" fillcolor="#f2f2f2 [3052]" stroked="f">
                <v:textbox>
                  <w:txbxContent>
                    <w:p w14:paraId="0FC066C7" w14:textId="77777777" w:rsidR="00D562FF" w:rsidRPr="004F18C7" w:rsidRDefault="0040556E" w:rsidP="00D562FF">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6333A8E6" w14:textId="77777777" w:rsidR="0040556E" w:rsidRPr="004F18C7" w:rsidRDefault="0040556E" w:rsidP="00D562FF">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4FE359C5" w14:textId="54C62DE9" w:rsidR="0040556E" w:rsidRPr="004F18C7" w:rsidRDefault="004F18C7" w:rsidP="0040556E">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16F554E1" w14:textId="7F509DC2" w:rsidR="00786543" w:rsidRPr="00786543" w:rsidRDefault="003C46C1" w:rsidP="00786543">
      <w:pPr>
        <w:rPr>
          <w:sz w:val="30"/>
          <w:szCs w:val="30"/>
        </w:rPr>
      </w:pPr>
      <w:r w:rsidRPr="00053287">
        <w:rPr>
          <w:noProof/>
          <w:sz w:val="30"/>
          <w:szCs w:val="30"/>
        </w:rPr>
        <mc:AlternateContent>
          <mc:Choice Requires="wps">
            <w:drawing>
              <wp:anchor distT="0" distB="0" distL="114300" distR="114300" simplePos="0" relativeHeight="251662336" behindDoc="0" locked="0" layoutInCell="1" allowOverlap="1" wp14:anchorId="40059521" wp14:editId="2E8031AA">
                <wp:simplePos x="0" y="0"/>
                <wp:positionH relativeFrom="column">
                  <wp:posOffset>1960534</wp:posOffset>
                </wp:positionH>
                <wp:positionV relativeFrom="page">
                  <wp:posOffset>1759352</wp:posOffset>
                </wp:positionV>
                <wp:extent cx="2912745" cy="682729"/>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729"/>
                        </a:xfrm>
                        <a:prstGeom prst="rect">
                          <a:avLst/>
                        </a:prstGeom>
                        <a:solidFill>
                          <a:schemeClr val="bg1">
                            <a:lumMod val="95000"/>
                          </a:schemeClr>
                        </a:solidFill>
                        <a:ln>
                          <a:noFill/>
                        </a:ln>
                        <a:effectLst/>
                      </wps:spPr>
                      <wps:txb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40059521" id="תיבת טקסט 3" o:spid="_x0000_s1028" type="#_x0000_t202" style="position:absolute;left:0;text-align:left;margin-left:154.35pt;margin-top:138.55pt;width:229.35pt;height:5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" fillcolor="#f2f2f2 [3052]" stroked="f">
                <v:textbox>
                  <w:txbxContent>
                    <w:p w14:paraId="7E317395" w14:textId="3D80D9C2" w:rsidR="0040556E" w:rsidRPr="00370F4D" w:rsidRDefault="00F05E9F" w:rsidP="0040556E">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הלכות חול המועד</w:t>
                      </w:r>
                    </w:p>
                  </w:txbxContent>
                </v:textbox>
                <w10:wrap anchory="page"/>
              </v:shape>
            </w:pict>
          </mc:Fallback>
        </mc:AlternateContent>
      </w:r>
    </w:p>
    <w:p w14:paraId="5CC5E6D2" w14:textId="25E5E360" w:rsidR="00786543" w:rsidRPr="00786543" w:rsidRDefault="00786543" w:rsidP="00786543">
      <w:pPr>
        <w:rPr>
          <w:sz w:val="30"/>
          <w:szCs w:val="30"/>
        </w:rPr>
      </w:pPr>
    </w:p>
    <w:p w14:paraId="2F34F123" w14:textId="3B95C47F" w:rsidR="00786543" w:rsidRPr="00786543" w:rsidRDefault="006E1363" w:rsidP="00786543">
      <w:pPr>
        <w:rPr>
          <w:sz w:val="30"/>
          <w:szCs w:val="30"/>
        </w:rPr>
      </w:pPr>
      <w:r w:rsidRPr="00053287">
        <w:rPr>
          <w:noProof/>
          <w:sz w:val="30"/>
          <w:szCs w:val="30"/>
          <w:rtl/>
        </w:rPr>
        <mc:AlternateContent>
          <mc:Choice Requires="wps">
            <w:drawing>
              <wp:anchor distT="0" distB="0" distL="114300" distR="114300" simplePos="0" relativeHeight="251671552" behindDoc="0" locked="0" layoutInCell="1" allowOverlap="1" wp14:anchorId="23A3ED21" wp14:editId="0374AAA7">
                <wp:simplePos x="0" y="0"/>
                <wp:positionH relativeFrom="column">
                  <wp:posOffset>2614503</wp:posOffset>
                </wp:positionH>
                <wp:positionV relativeFrom="paragraph">
                  <wp:posOffset>267103</wp:posOffset>
                </wp:positionV>
                <wp:extent cx="1782397" cy="360326"/>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2397" cy="360326"/>
                        </a:xfrm>
                        <a:prstGeom prst="rect">
                          <a:avLst/>
                        </a:prstGeom>
                        <a:noFill/>
                        <a:ln w="9525">
                          <a:solidFill>
                            <a:srgbClr val="000000"/>
                          </a:solidFill>
                          <a:prstDash val="sysDot"/>
                          <a:miter lim="800000"/>
                          <a:headEnd/>
                          <a:tailEnd/>
                        </a:ln>
                      </wps:spPr>
                      <wps:txbx>
                        <w:txbxContent>
                          <w:p w14:paraId="1A21320B" w14:textId="622155D0"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3ED21" id="תיבת טקסט 2" o:spid="_x0000_s1029" type="#_x0000_t202" style="position:absolute;left:0;text-align:left;margin-left:205.85pt;margin-top:21.05pt;width:140.35pt;height:28.3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" filled="f">
                <v:stroke dashstyle="1 1"/>
                <v:textbox>
                  <w:txbxContent>
                    <w:p w14:paraId="1A21320B" w14:textId="622155D0" w:rsidR="00F01063" w:rsidRPr="000B6BC4" w:rsidRDefault="00F01063" w:rsidP="00842923">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sidR="003D7639">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827750">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י</w:t>
                      </w:r>
                    </w:p>
                    <w:p w14:paraId="068993E3" w14:textId="77777777" w:rsidR="00F01063" w:rsidRPr="00C0718F" w:rsidRDefault="00F01063" w:rsidP="00F01063">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66FB0E4E" w14:textId="77777777" w:rsidR="00F01063" w:rsidRDefault="00F01063" w:rsidP="00F01063">
                      <w:pPr>
                        <w:rPr>
                          <w:cs/>
                        </w:rPr>
                      </w:pPr>
                    </w:p>
                  </w:txbxContent>
                </v:textbox>
              </v:shape>
            </w:pict>
          </mc:Fallback>
        </mc:AlternateContent>
      </w:r>
    </w:p>
    <w:p w14:paraId="1D13A64E" w14:textId="6DE3147C" w:rsidR="00786543" w:rsidRPr="00786543" w:rsidRDefault="000B6BC4" w:rsidP="00786543">
      <w:pPr>
        <w:rPr>
          <w:sz w:val="30"/>
          <w:szCs w:val="30"/>
        </w:rPr>
      </w:pPr>
      <w:r>
        <w:rPr>
          <w:noProof/>
        </w:rPr>
        <mc:AlternateContent>
          <mc:Choice Requires="wps">
            <w:drawing>
              <wp:anchor distT="0" distB="0" distL="114300" distR="114300" simplePos="0" relativeHeight="251673600" behindDoc="0" locked="0" layoutInCell="1" allowOverlap="1" wp14:anchorId="65D2F475" wp14:editId="595D2693">
                <wp:simplePos x="0" y="0"/>
                <wp:positionH relativeFrom="column">
                  <wp:posOffset>1754554</wp:posOffset>
                </wp:positionH>
                <wp:positionV relativeFrom="paragraph">
                  <wp:posOffset>257175</wp:posOffset>
                </wp:positionV>
                <wp:extent cx="3513814" cy="382270"/>
                <wp:effectExtent l="0" t="0" r="0" b="0"/>
                <wp:wrapNone/>
                <wp:docPr id="1" name="תיבת טקסט 1"/>
                <wp:cNvGraphicFramePr/>
                <a:graphic xmlns:a="http://schemas.openxmlformats.org/drawingml/2006/main">
                  <a:graphicData uri="http://schemas.microsoft.com/office/word/2010/wordprocessingShape">
                    <wps:wsp>
                      <wps:cNvSpPr txBox="1"/>
                      <wps:spPr>
                        <a:xfrm>
                          <a:off x="0" y="0"/>
                          <a:ext cx="3513814" cy="382270"/>
                        </a:xfrm>
                        <a:prstGeom prst="rect">
                          <a:avLst/>
                        </a:prstGeom>
                        <a:noFill/>
                        <a:ln>
                          <a:noFill/>
                        </a:ln>
                        <a:effectLst/>
                      </wps:spPr>
                      <wps:txbx>
                        <w:txbxContent>
                          <w:p w14:paraId="4096F15F" w14:textId="2654D1AE"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תקלג סעיף </w:t>
                            </w:r>
                            <w:r w:rsidR="00827750">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49619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827750">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2F475" id="תיבת טקסט 1" o:spid="_x0000_s1030" type="#_x0000_t202" style="position:absolute;left:0;text-align:left;margin-left:138.15pt;margin-top:20.25pt;width:276.7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" filled="f" stroked="f">
                <v:textbox>
                  <w:txbxContent>
                    <w:p w14:paraId="4096F15F" w14:textId="2654D1AE" w:rsidR="00FF1F29" w:rsidRPr="000B6BC4" w:rsidRDefault="00FF1F29" w:rsidP="00FF1F29">
                      <w:pPr>
                        <w:spacing w:after="80"/>
                        <w:jc w:val="center"/>
                        <w:rPr>
                          <w:rFonts w:cs="Guttman-Aram"/>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005036C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סימן </w:t>
                      </w:r>
                      <w:r w:rsidR="008D7849">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תקלג סעיף </w:t>
                      </w:r>
                      <w:r w:rsidR="00827750">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w:t>
                      </w:r>
                      <w:r w:rsidR="0049619B">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 </w:t>
                      </w:r>
                      <w:r w:rsidR="00827750">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ה</w:t>
                      </w:r>
                      <w:r w:rsidR="00D3495A">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w:t>
                      </w:r>
                      <w:r w:rsidRPr="000B6BC4">
                        <w:rPr>
                          <w:rFonts w:cs="Guttman-Aram" w:hint="cs"/>
                          <w:b/>
                          <w:noProof/>
                          <w:color w:val="0D0D0D" w:themeColor="text1" w:themeTint="F2"/>
                          <w:sz w:val="34"/>
                          <w:szCs w:val="34"/>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w:t>
                      </w:r>
                    </w:p>
                    <w:p w14:paraId="79B6914A" w14:textId="77777777" w:rsidR="00FF1F29" w:rsidRPr="00FF1F29" w:rsidRDefault="00FF1F29" w:rsidP="00FF1F29">
                      <w:pPr>
                        <w:jc w:val="center"/>
                        <w:rPr>
                          <w:sz w:val="72"/>
                          <w:szCs w:val="72"/>
                          <w14:shadow w14:blurRad="63500" w14:dist="0" w14:dir="3600000" w14:sx="100000" w14:sy="100000" w14:kx="0" w14:ky="0" w14:algn="tl">
                            <w14:srgbClr w14:val="000000">
                              <w14:alpha w14:val="30000"/>
                            </w14:srgbClr>
                          </w14:shadow>
                          <w14:textOutline w14:w="9207" w14:cap="flat" w14:cmpd="sng" w14:algn="ctr">
                            <w14:solidFill>
                              <w14:srgbClr w14:val="FFFFFF"/>
                            </w14:solidFill>
                            <w14:prstDash w14:val="solid"/>
                            <w14:round/>
                          </w14:textOutline>
                          <w14:textFill>
                            <w14:solidFill>
                              <w14:srgbClr w14:val="FFFFFF"/>
                            </w14:solidFill>
                          </w14:textFill>
                        </w:rPr>
                      </w:pPr>
                    </w:p>
                  </w:txbxContent>
                </v:textbox>
              </v:shape>
            </w:pict>
          </mc:Fallback>
        </mc:AlternateContent>
      </w:r>
    </w:p>
    <w:p w14:paraId="3464272C" w14:textId="77777777" w:rsidR="00D237B5" w:rsidRDefault="00D237B5" w:rsidP="00786543">
      <w:pPr>
        <w:rPr>
          <w:sz w:val="28"/>
          <w:szCs w:val="28"/>
          <w:rtl/>
        </w:rPr>
      </w:pPr>
    </w:p>
    <w:p w14:paraId="6957A6B1" w14:textId="77777777" w:rsidR="005070CD" w:rsidRDefault="005070CD" w:rsidP="00786543">
      <w:pPr>
        <w:rPr>
          <w:sz w:val="28"/>
          <w:szCs w:val="28"/>
          <w:rtl/>
        </w:rPr>
      </w:pPr>
    </w:p>
    <w:p w14:paraId="7DEB8966" w14:textId="180A9736" w:rsidR="005070CD" w:rsidRPr="00F05E9F" w:rsidRDefault="005070CD" w:rsidP="00786543">
      <w:pPr>
        <w:rPr>
          <w:sz w:val="2"/>
          <w:szCs w:val="2"/>
          <w:rtl/>
        </w:rPr>
        <w:sectPr w:rsidR="005070CD" w:rsidRPr="00F05E9F" w:rsidSect="00ED5EED">
          <w:headerReference w:type="even" r:id="rId10"/>
          <w:footerReference w:type="default" r:id="rId11"/>
          <w:pgSz w:w="11906" w:h="16838"/>
          <w:pgMar w:top="720" w:right="549" w:bottom="720" w:left="549" w:header="708" w:footer="708" w:gutter="0"/>
          <w:cols w:space="708"/>
          <w:bidi/>
          <w:rtlGutter/>
          <w:docGrid w:linePitch="360"/>
        </w:sectPr>
      </w:pPr>
    </w:p>
    <w:p w14:paraId="70532B5A" w14:textId="54FA0BEB" w:rsidR="00827750" w:rsidRPr="009B1F86" w:rsidRDefault="00827750" w:rsidP="00827750">
      <w:pPr>
        <w:pStyle w:val="1"/>
        <w:rPr>
          <w:sz w:val="38"/>
          <w:szCs w:val="30"/>
          <w:rtl/>
        </w:rPr>
      </w:pPr>
      <w:bookmarkStart w:id="0" w:name="_Hlk189516585"/>
      <w:bookmarkStart w:id="1" w:name="_Hlk189405773"/>
      <w:r w:rsidRPr="009B1F86">
        <w:rPr>
          <w:sz w:val="38"/>
          <w:szCs w:val="30"/>
          <w:rtl/>
        </w:rPr>
        <w:t xml:space="preserve">[סעיף ד] צד אדם דגים כל מה שיכול לצוד, ומולח הכל במועד, שהרי אפשר שיאכל מהם במועד אם יסחוט אותם בידו פעמים רבות עד שיתרככו. </w:t>
      </w:r>
      <w:r w:rsidR="009B1F86" w:rsidRPr="009B1F86">
        <w:rPr>
          <w:sz w:val="24"/>
          <w:szCs w:val="24"/>
          <w:rtl/>
        </w:rPr>
        <w:t>(ומותר לצודן בפרהסיא שניכר לכל שהוא לצורך המועד)</w:t>
      </w:r>
      <w:r w:rsidRPr="009B1F86">
        <w:rPr>
          <w:sz w:val="38"/>
          <w:szCs w:val="30"/>
          <w:rtl/>
        </w:rPr>
        <w:t>.</w:t>
      </w:r>
    </w:p>
    <w:p w14:paraId="41B31D19" w14:textId="77777777" w:rsidR="00827750" w:rsidRPr="009B1F86" w:rsidRDefault="00827750" w:rsidP="00827750">
      <w:pPr>
        <w:pStyle w:val="2"/>
        <w:rPr>
          <w:sz w:val="16"/>
          <w:szCs w:val="26"/>
          <w:rtl/>
        </w:rPr>
      </w:pPr>
      <w:r w:rsidRPr="009B1F86">
        <w:rPr>
          <w:sz w:val="16"/>
          <w:szCs w:val="26"/>
          <w:rtl/>
        </w:rPr>
        <w:t>מחלוקת המשנ"ב והחזו"א בהבנת דברי הראב"ד</w:t>
      </w:r>
    </w:p>
    <w:p w14:paraId="0F70163C" w14:textId="21A00339"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הנה נתבאר </w:t>
      </w:r>
      <w:r w:rsidR="009B1F86" w:rsidRPr="009B1F86">
        <w:rPr>
          <w:rFonts w:ascii="FrankRuehl" w:hAnsi="FrankRuehl" w:cs="FrankRuehl"/>
          <w:b/>
          <w:sz w:val="20"/>
          <w:szCs w:val="20"/>
          <w:rtl/>
        </w:rPr>
        <w:t>(בשיעור הקודם)</w:t>
      </w:r>
      <w:r w:rsidRPr="009B1F86">
        <w:rPr>
          <w:rFonts w:ascii="FrankRuehl" w:hAnsi="FrankRuehl" w:cs="FrankRuehl"/>
          <w:b/>
          <w:sz w:val="32"/>
          <w:szCs w:val="32"/>
          <w:rtl/>
        </w:rPr>
        <w:t xml:space="preserve"> קושיית הראב"ד </w:t>
      </w:r>
      <w:r w:rsidR="009B1F86" w:rsidRPr="009B1F86">
        <w:rPr>
          <w:rFonts w:ascii="FrankRuehl" w:hAnsi="FrankRuehl" w:cs="FrankRuehl"/>
          <w:b/>
          <w:sz w:val="20"/>
          <w:szCs w:val="20"/>
          <w:rtl/>
        </w:rPr>
        <w:t>(שהובא ברא"ש סוף פרק א במועד קטן)</w:t>
      </w:r>
      <w:r w:rsidRPr="009B1F86">
        <w:rPr>
          <w:rFonts w:ascii="FrankRuehl" w:hAnsi="FrankRuehl" w:cs="FrankRuehl"/>
          <w:b/>
          <w:sz w:val="32"/>
          <w:szCs w:val="32"/>
          <w:rtl/>
        </w:rPr>
        <w:t xml:space="preserve"> מדוע לא התירו לאסוף דגים מהנהר כדין פרקמטיא. ותירץ ב' תירוצים או דיש חילוק בין מציאה לפרקמטיא, דפרקמטיא שהוא עיקר העסק שלו, אם לא יתעסק בשביל להרויח חשיב כהפסד, אך מציאה שאין זה אלא תוספת חדשה לממונו אין להתיר במועד. ועוד תירץ דהתירו רק פרקמטיא דאינו אסור אלא משום מקח וממכר ולא מיקרי מלאכה, אבל מליחת דגים מיקרי מלאכה.</w:t>
      </w:r>
    </w:p>
    <w:p w14:paraId="5A11C094" w14:textId="0BC26044"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ונתבאר </w:t>
      </w:r>
      <w:r w:rsidR="009B1F86" w:rsidRPr="009B1F86">
        <w:rPr>
          <w:rFonts w:ascii="FrankRuehl" w:hAnsi="FrankRuehl" w:cs="FrankRuehl"/>
          <w:b/>
          <w:sz w:val="20"/>
          <w:szCs w:val="20"/>
          <w:rtl/>
        </w:rPr>
        <w:t>(שם)</w:t>
      </w:r>
      <w:r w:rsidRPr="009B1F86">
        <w:rPr>
          <w:rFonts w:ascii="FrankRuehl" w:hAnsi="FrankRuehl" w:cs="FrankRuehl"/>
          <w:b/>
          <w:sz w:val="32"/>
          <w:szCs w:val="32"/>
          <w:rtl/>
        </w:rPr>
        <w:t xml:space="preserve"> שנחלקו האחרונים בביאור התירוץ הב' בראב"ד דבביאור הלכה </w:t>
      </w:r>
      <w:r w:rsidR="009B1F86" w:rsidRPr="009B1F86">
        <w:rPr>
          <w:rFonts w:ascii="FrankRuehl" w:hAnsi="FrankRuehl" w:cs="FrankRuehl"/>
          <w:b/>
          <w:sz w:val="20"/>
          <w:szCs w:val="20"/>
          <w:rtl/>
        </w:rPr>
        <w:t>(ד"ה מותר)</w:t>
      </w:r>
      <w:r w:rsidRPr="009B1F86">
        <w:rPr>
          <w:rFonts w:ascii="FrankRuehl" w:hAnsi="FrankRuehl" w:cs="FrankRuehl"/>
          <w:b/>
          <w:sz w:val="32"/>
          <w:szCs w:val="32"/>
          <w:rtl/>
        </w:rPr>
        <w:t xml:space="preserve"> נקט דכוונת הראב"ד דרק דבר שאינו מלאכה התירו כשאין בו טורח, אך מלאכה גמורה אין לעשות לצורך פרקמטיא, אכן דעת החזו"א דאף מלאכה גמורה התירו, אלא שהכל תלוי אם יש בו טורח, ומלאכת פרקמטיא שאין בה טורח התירו, וה"ה שכל מלאכה שאין בה טירחא התירו לצורך הרווחה, וכגון מלאכת מחתך, יש להקל כי אין בה טירחא.</w:t>
      </w:r>
    </w:p>
    <w:p w14:paraId="7615E439" w14:textId="77777777" w:rsidR="00827750" w:rsidRPr="009B1F86" w:rsidRDefault="00827750" w:rsidP="00F86E59">
      <w:pPr>
        <w:pStyle w:val="2"/>
        <w:rPr>
          <w:sz w:val="16"/>
          <w:szCs w:val="26"/>
          <w:rtl/>
        </w:rPr>
      </w:pPr>
      <w:r w:rsidRPr="009B1F86">
        <w:rPr>
          <w:sz w:val="16"/>
          <w:szCs w:val="26"/>
          <w:rtl/>
        </w:rPr>
        <w:t>ראיה מהרמ"א לדברי החזו"א</w:t>
      </w:r>
    </w:p>
    <w:p w14:paraId="40E16594" w14:textId="14EAE02F"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ונראה להביא ראיה לדברי החזו"א מדברי הרמ"א בשם התרומה"ד </w:t>
      </w:r>
      <w:r w:rsidR="009B1F86" w:rsidRPr="009B1F86">
        <w:rPr>
          <w:rFonts w:ascii="FrankRuehl" w:hAnsi="FrankRuehl" w:cs="FrankRuehl"/>
          <w:b/>
          <w:sz w:val="20"/>
          <w:szCs w:val="20"/>
          <w:rtl/>
        </w:rPr>
        <w:t>(סימן קנג)</w:t>
      </w:r>
      <w:r w:rsidRPr="009B1F86">
        <w:rPr>
          <w:rFonts w:ascii="FrankRuehl" w:hAnsi="FrankRuehl" w:cs="FrankRuehl"/>
          <w:b/>
          <w:sz w:val="32"/>
          <w:szCs w:val="32"/>
          <w:rtl/>
        </w:rPr>
        <w:t xml:space="preserve">, דכתב הרמ"א </w:t>
      </w:r>
      <w:r w:rsidR="009B1F86" w:rsidRPr="009B1F86">
        <w:rPr>
          <w:rFonts w:ascii="FrankRuehl" w:hAnsi="FrankRuehl" w:cs="FrankRuehl"/>
          <w:b/>
          <w:sz w:val="20"/>
          <w:szCs w:val="20"/>
          <w:rtl/>
        </w:rPr>
        <w:t>(סעיף ה)</w:t>
      </w:r>
      <w:r w:rsidRPr="009B1F86">
        <w:rPr>
          <w:rFonts w:ascii="FrankRuehl" w:hAnsi="FrankRuehl" w:cs="FrankRuehl"/>
          <w:b/>
          <w:sz w:val="32"/>
          <w:szCs w:val="32"/>
          <w:rtl/>
        </w:rPr>
        <w:t xml:space="preserve"> ומותר לחלוב הבהמה אפילו שלא לצורך המועד דהוי דבר האבד, ובאליה רבה </w:t>
      </w:r>
      <w:r w:rsidR="009B1F86" w:rsidRPr="009B1F86">
        <w:rPr>
          <w:rFonts w:ascii="FrankRuehl" w:hAnsi="FrankRuehl" w:cs="FrankRuehl"/>
          <w:b/>
          <w:sz w:val="20"/>
          <w:szCs w:val="20"/>
          <w:rtl/>
        </w:rPr>
        <w:t>(ס"ק ד)</w:t>
      </w:r>
      <w:r w:rsidRPr="009B1F86">
        <w:rPr>
          <w:rFonts w:ascii="FrankRuehl" w:hAnsi="FrankRuehl" w:cs="FrankRuehl"/>
          <w:b/>
          <w:sz w:val="32"/>
          <w:szCs w:val="32"/>
          <w:rtl/>
        </w:rPr>
        <w:t xml:space="preserve"> תמה על זה, שהרי בתרומת הדשן גופיה מבואר להדיא שהטעם שהתירו לחלוב הוא משום שאין בו טורח, ואיך כתב הרמ"א דטעם ההיתר הוא משום דהוי דבר האבד.</w:t>
      </w:r>
    </w:p>
    <w:p w14:paraId="2202B6CF" w14:textId="768456BB"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עוד יש להקשות דבסימן תקנד </w:t>
      </w:r>
      <w:r w:rsidR="009B1F86" w:rsidRPr="009B1F86">
        <w:rPr>
          <w:rFonts w:ascii="FrankRuehl" w:hAnsi="FrankRuehl" w:cs="FrankRuehl"/>
          <w:b/>
          <w:sz w:val="20"/>
          <w:szCs w:val="20"/>
          <w:rtl/>
        </w:rPr>
        <w:t>(סעיף כב)</w:t>
      </w:r>
      <w:r w:rsidRPr="009B1F86">
        <w:rPr>
          <w:rFonts w:ascii="FrankRuehl" w:hAnsi="FrankRuehl" w:cs="FrankRuehl"/>
          <w:b/>
          <w:sz w:val="32"/>
          <w:szCs w:val="32"/>
          <w:rtl/>
        </w:rPr>
        <w:t xml:space="preserve"> מבואר שלא התירו לחלוב בהמה בתשעה באב, אלא יחלוב ע"י אינו יהודי [ואם א"א ע"י נכרי התירו שיחלוב בעצמו ע"ש], ולפי המתבאר כאן ברמ"א דטעם ההיתר הוא משום דבר האבד צ"ב דהא קיי"ל שבתשעה באב התירו כל דבר האבד, וא"כ מדוע לא התירו לחלוב בהמה בתשעה באב [ובאמת הפמ"ג כאן </w:t>
      </w:r>
      <w:r w:rsidR="009B1F86" w:rsidRPr="009B1F86">
        <w:rPr>
          <w:rFonts w:ascii="FrankRuehl" w:hAnsi="FrankRuehl" w:cs="FrankRuehl" w:hint="cs"/>
          <w:b/>
          <w:sz w:val="20"/>
          <w:szCs w:val="20"/>
          <w:rtl/>
        </w:rPr>
        <w:t>(</w:t>
      </w:r>
      <w:r w:rsidRPr="009B1F86">
        <w:rPr>
          <w:rFonts w:ascii="FrankRuehl" w:hAnsi="FrankRuehl" w:cs="FrankRuehl"/>
          <w:b/>
          <w:sz w:val="20"/>
          <w:szCs w:val="20"/>
          <w:rtl/>
        </w:rPr>
        <w:t>משבצו"ז ס"ק ב</w:t>
      </w:r>
      <w:r w:rsidR="009B1F86" w:rsidRPr="009B1F86">
        <w:rPr>
          <w:rFonts w:ascii="FrankRuehl" w:hAnsi="FrankRuehl" w:cs="FrankRuehl" w:hint="cs"/>
          <w:b/>
          <w:sz w:val="20"/>
          <w:szCs w:val="20"/>
          <w:rtl/>
        </w:rPr>
        <w:t>)</w:t>
      </w:r>
      <w:r w:rsidRPr="009B1F86">
        <w:rPr>
          <w:rFonts w:ascii="FrankRuehl" w:hAnsi="FrankRuehl" w:cs="FrankRuehl"/>
          <w:b/>
          <w:sz w:val="32"/>
          <w:szCs w:val="32"/>
          <w:rtl/>
        </w:rPr>
        <w:t xml:space="preserve"> דימה דין חול המועד לדין תשעה באב, ולכן כתב שמדברי הרמ"א בהלכות תשעה באב יש ללמוד דה"ה לחול המועד דאם אפשר לחלוב את הבהמה ע"י עכו"ם אסור לחלוב ע"י ישראל].</w:t>
      </w:r>
    </w:p>
    <w:p w14:paraId="5D2BE715" w14:textId="23AD415C"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ונראה לבאר את דברי הרמ"א ע"פ דברי החזו"א הנ"ל דהנה באמת קשה איך התיר התרומת הדשן לחלוב בחול המועד משום שהיא מלאכה שאין בה טורח [ודוחק לומר דדעת התרומה"ד כדעת הראשונים להתיר בחוה"מ כל מלאכה שאין בה טורח </w:t>
      </w:r>
      <w:r w:rsidR="009B1F86" w:rsidRPr="009B1F86">
        <w:rPr>
          <w:rFonts w:ascii="FrankRuehl" w:hAnsi="FrankRuehl" w:cs="FrankRuehl"/>
          <w:b/>
          <w:sz w:val="20"/>
          <w:szCs w:val="20"/>
          <w:rtl/>
        </w:rPr>
        <w:t>(עי' בביאור הלכה ריש סימן תרל, ונתבאר בארוכה בשיעורים לעיל בשיעור א)</w:t>
      </w:r>
      <w:r w:rsidRPr="009B1F86">
        <w:rPr>
          <w:rFonts w:ascii="FrankRuehl" w:hAnsi="FrankRuehl" w:cs="FrankRuehl"/>
          <w:b/>
          <w:sz w:val="32"/>
          <w:szCs w:val="32"/>
          <w:rtl/>
        </w:rPr>
        <w:t xml:space="preserve">], וצ"ל דהכא מיירי בחולב בהמתו כדי למכור את החלב שלה, </w:t>
      </w:r>
      <w:r w:rsidRPr="009B1F86">
        <w:rPr>
          <w:rFonts w:ascii="FrankRuehl" w:hAnsi="FrankRuehl" w:cs="FrankRuehl"/>
          <w:b/>
          <w:sz w:val="32"/>
          <w:szCs w:val="32"/>
          <w:rtl/>
        </w:rPr>
        <w:lastRenderedPageBreak/>
        <w:t>וממילא יש להתיר מדין פרקמטיא, אלא שכבר נתבאר מהחזו"א שלא התירו לעשות מלאכה אלא בדבר שאין בו טורח, ומעתה י"ל דזו כוונת התרומה"ד שהתירו משום דבר האבד היינו שהתירו לעשות את המלאכה כדי שלא ימנע מהריוח, והתירו רק משום שהיא מלאכה שאין בה טורח. ובזה מיושב גם הטעם שבתשעה באב התירו לחלוב ע"י גוי, דשם לא התירו פרקמטיא אלא רק דבר האבד שיש בו הפסד גמור.</w:t>
      </w:r>
    </w:p>
    <w:p w14:paraId="784D0032" w14:textId="77777777" w:rsidR="00827750" w:rsidRPr="009B1F86" w:rsidRDefault="00827750" w:rsidP="00F86E59">
      <w:pPr>
        <w:pStyle w:val="2"/>
        <w:rPr>
          <w:sz w:val="16"/>
          <w:szCs w:val="26"/>
          <w:rtl/>
        </w:rPr>
      </w:pPr>
      <w:r w:rsidRPr="009B1F86">
        <w:rPr>
          <w:sz w:val="16"/>
          <w:szCs w:val="26"/>
          <w:rtl/>
        </w:rPr>
        <w:t>מדברי הנמוק"י משמע כדעת המשנ"ב</w:t>
      </w:r>
    </w:p>
    <w:p w14:paraId="3D0D69C3" w14:textId="6DA44853"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אכן מדברי הנמוק"י יש להוכיח כדעת המשנ"ב דכתב הנמוקי יוסף במועד קטן </w:t>
      </w:r>
      <w:r w:rsidR="009B1F86" w:rsidRPr="009B1F86">
        <w:rPr>
          <w:rFonts w:ascii="FrankRuehl" w:hAnsi="FrankRuehl" w:cs="FrankRuehl"/>
          <w:b/>
          <w:sz w:val="20"/>
          <w:szCs w:val="20"/>
          <w:rtl/>
        </w:rPr>
        <w:t>(ד, ב מדפי הרי"ף)</w:t>
      </w:r>
      <w:r w:rsidRPr="009B1F86">
        <w:rPr>
          <w:rFonts w:ascii="FrankRuehl" w:hAnsi="FrankRuehl" w:cs="FrankRuehl"/>
          <w:b/>
          <w:sz w:val="32"/>
          <w:szCs w:val="32"/>
          <w:rtl/>
        </w:rPr>
        <w:t xml:space="preserve"> וז"ל 'והטעם בזה לפי שאין בכל אלו מלאכה גמורה ואין כאן אלא מקח וממכר שאסור מדבריהם ביום טוב גזירה שמא יכתוב בחוש"מ התירו מפני העברת ריוח', ומבואר דהטעם שהתירו פרקמטיא הוא משום דאיסורו רק משום גזירה שמא יכתוב, ומשמע דמלאכה גמורה אין להתיר אף לצורך פרקמטיא.</w:t>
      </w:r>
    </w:p>
    <w:p w14:paraId="469F3163" w14:textId="77777777" w:rsidR="00827750" w:rsidRPr="009B1F86" w:rsidRDefault="00827750" w:rsidP="00F86E59">
      <w:pPr>
        <w:pStyle w:val="2"/>
        <w:rPr>
          <w:sz w:val="16"/>
          <w:szCs w:val="26"/>
          <w:rtl/>
        </w:rPr>
      </w:pPr>
      <w:r w:rsidRPr="009B1F86">
        <w:rPr>
          <w:sz w:val="16"/>
          <w:szCs w:val="26"/>
          <w:rtl/>
        </w:rPr>
        <w:t>מלאכת צורך המועד בפרהסיא</w:t>
      </w:r>
    </w:p>
    <w:p w14:paraId="64366ABF" w14:textId="332430CB"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הנה מבואר כאן ברמ"א שהתירו לצוד דגים אפילו בפרהסיא משום שניכר לכל שהוא צורך המועד. והיינו  דאף שכל מלאכת צורך המועד לא התירו לעשות מלאכות אלא בצינעא </w:t>
      </w:r>
      <w:r w:rsidR="009B1F86" w:rsidRPr="009B1F86">
        <w:rPr>
          <w:rFonts w:ascii="FrankRuehl" w:hAnsi="FrankRuehl" w:cs="FrankRuehl"/>
          <w:b/>
          <w:sz w:val="20"/>
          <w:szCs w:val="20"/>
          <w:rtl/>
        </w:rPr>
        <w:t>(כמבואר בסמוך בסעיף ה)</w:t>
      </w:r>
      <w:r w:rsidRPr="009B1F86">
        <w:rPr>
          <w:rFonts w:ascii="FrankRuehl" w:hAnsi="FrankRuehl" w:cs="FrankRuehl"/>
          <w:b/>
          <w:sz w:val="32"/>
          <w:szCs w:val="32"/>
          <w:rtl/>
        </w:rPr>
        <w:t xml:space="preserve">, מכל מקום אם ניכר לכל שהוא צורך המועד שרי, וכן הדין לכל מלאכת צורך המועד שכשניכר שהוא עושה את המלאכה לצורך המועד שרי אפילו בפרהסיא. וכן מצינו בביאור הלכה בהלכות סוכה </w:t>
      </w:r>
      <w:r w:rsidR="009B1F86" w:rsidRPr="009B1F86">
        <w:rPr>
          <w:rFonts w:ascii="FrankRuehl" w:hAnsi="FrankRuehl" w:cs="FrankRuehl"/>
          <w:b/>
          <w:sz w:val="20"/>
          <w:szCs w:val="20"/>
          <w:rtl/>
        </w:rPr>
        <w:t>(סימן תרמ סעיף ו)</w:t>
      </w:r>
      <w:r w:rsidRPr="009B1F86">
        <w:rPr>
          <w:rFonts w:ascii="FrankRuehl" w:hAnsi="FrankRuehl" w:cs="FrankRuehl"/>
          <w:b/>
          <w:sz w:val="32"/>
          <w:szCs w:val="32"/>
          <w:rtl/>
        </w:rPr>
        <w:t xml:space="preserve"> שהתיר לבנות סוכה גדולה בחוה"מ לצורך סעודת ברית מילה דהוי צורך המועד, ואף שהוא בפרהסיא מ"מ שרי דניכר דלצורך המועד הוא.</w:t>
      </w:r>
    </w:p>
    <w:p w14:paraId="16A9FBAE" w14:textId="1ADDD317" w:rsidR="00827750" w:rsidRPr="009B1F86" w:rsidRDefault="00827750" w:rsidP="00F86E59">
      <w:pPr>
        <w:pStyle w:val="1"/>
        <w:rPr>
          <w:sz w:val="38"/>
          <w:szCs w:val="30"/>
          <w:rtl/>
        </w:rPr>
      </w:pPr>
      <w:r w:rsidRPr="009B1F86">
        <w:rPr>
          <w:sz w:val="38"/>
          <w:szCs w:val="30"/>
          <w:rtl/>
        </w:rPr>
        <w:t xml:space="preserve">[סעיף ה] כל מלאכות שהם לצורך המועד, כשעושין אותם אומניהם עושין בצנעה, כיצד הציידים </w:t>
      </w:r>
      <w:r w:rsidR="009B1F86" w:rsidRPr="009B1F86">
        <w:rPr>
          <w:sz w:val="24"/>
          <w:szCs w:val="24"/>
          <w:rtl/>
        </w:rPr>
        <w:t>(של חיות ועופות)</w:t>
      </w:r>
      <w:r w:rsidRPr="009B1F86">
        <w:rPr>
          <w:sz w:val="42"/>
          <w:szCs w:val="34"/>
          <w:rtl/>
        </w:rPr>
        <w:t xml:space="preserve"> </w:t>
      </w:r>
      <w:r w:rsidRPr="009B1F86">
        <w:rPr>
          <w:sz w:val="38"/>
          <w:szCs w:val="30"/>
          <w:rtl/>
        </w:rPr>
        <w:t>והטוחנין והבוצרים למכור בשוק, הרי אלו עושים בצנעה לצורך המועד. הגה: ומותר לחלוב הבהמה אפילו שלא לצורך המועד דהוי דבר האבד.</w:t>
      </w:r>
    </w:p>
    <w:p w14:paraId="1228F0F8" w14:textId="77777777" w:rsidR="00827750" w:rsidRPr="009B1F86" w:rsidRDefault="00827750" w:rsidP="00F86E59">
      <w:pPr>
        <w:pStyle w:val="2"/>
        <w:rPr>
          <w:sz w:val="16"/>
          <w:szCs w:val="26"/>
          <w:rtl/>
        </w:rPr>
      </w:pPr>
      <w:r w:rsidRPr="009B1F86">
        <w:rPr>
          <w:sz w:val="16"/>
          <w:szCs w:val="26"/>
          <w:rtl/>
        </w:rPr>
        <w:t>מלאכת האומנים לצורך המועד</w:t>
      </w:r>
    </w:p>
    <w:p w14:paraId="47B11AC2" w14:textId="1ED37F52"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המשנ"ב </w:t>
      </w:r>
      <w:r w:rsidR="009B1F86" w:rsidRPr="009B1F86">
        <w:rPr>
          <w:rFonts w:ascii="FrankRuehl" w:hAnsi="FrankRuehl" w:cs="FrankRuehl"/>
          <w:b/>
          <w:sz w:val="20"/>
          <w:szCs w:val="20"/>
          <w:rtl/>
        </w:rPr>
        <w:t>(ס"ק כג)</w:t>
      </w:r>
      <w:r w:rsidRPr="009B1F86">
        <w:rPr>
          <w:rFonts w:ascii="FrankRuehl" w:hAnsi="FrankRuehl" w:cs="FrankRuehl"/>
          <w:b/>
          <w:sz w:val="32"/>
          <w:szCs w:val="32"/>
          <w:rtl/>
        </w:rPr>
        <w:t xml:space="preserve"> דקדק מלשון הרמ"א דרק הציידים של חיות ועופות אסורים לצוד בפרהסיא, אך ציידי הדגים מותרין לצוד אפילו בפרהסיא משום שניכר הדבר </w:t>
      </w:r>
      <w:r w:rsidRPr="009B1F86">
        <w:rPr>
          <w:rFonts w:ascii="FrankRuehl" w:hAnsi="FrankRuehl" w:cs="FrankRuehl"/>
          <w:b/>
          <w:sz w:val="32"/>
          <w:szCs w:val="32"/>
          <w:rtl/>
        </w:rPr>
        <w:t xml:space="preserve">שהוא צד רק לצורך המועד. אכן ציין למש"כ בביאור הלכה </w:t>
      </w:r>
      <w:r w:rsidR="009B1F86" w:rsidRPr="009B1F86">
        <w:rPr>
          <w:rFonts w:ascii="FrankRuehl" w:hAnsi="FrankRuehl" w:cs="FrankRuehl"/>
          <w:b/>
          <w:sz w:val="20"/>
          <w:szCs w:val="20"/>
          <w:rtl/>
        </w:rPr>
        <w:t>(ד"ה של חיות)</w:t>
      </w:r>
      <w:r w:rsidRPr="009B1F86">
        <w:rPr>
          <w:rFonts w:ascii="FrankRuehl" w:hAnsi="FrankRuehl" w:cs="FrankRuehl"/>
          <w:b/>
          <w:sz w:val="32"/>
          <w:szCs w:val="32"/>
          <w:rtl/>
        </w:rPr>
        <w:t>, ושם האריך דדעת כמה פוסקים לחלוק על דברי הרמ"א, ומסיק דאומנין אסורים לצוד דגים בפרהסיא, כי נראה שהם מתעסקים במלאכתם להשתכר ככל ימות השנה, אך כתב להתיר למכור דגים אפילו בפרהסיא, כי במכירה ניכר שהוא משתמש בו לאלתר.</w:t>
      </w:r>
    </w:p>
    <w:p w14:paraId="705C54F2" w14:textId="77777777" w:rsidR="00827750" w:rsidRPr="009B1F86" w:rsidRDefault="00827750" w:rsidP="00F86E59">
      <w:pPr>
        <w:pStyle w:val="2"/>
        <w:rPr>
          <w:sz w:val="16"/>
          <w:szCs w:val="26"/>
          <w:rtl/>
        </w:rPr>
      </w:pPr>
      <w:r w:rsidRPr="009B1F86">
        <w:rPr>
          <w:sz w:val="16"/>
          <w:szCs w:val="26"/>
          <w:rtl/>
        </w:rPr>
        <w:t>לצוד דגים לצורך הנאתו</w:t>
      </w:r>
    </w:p>
    <w:p w14:paraId="2133CB44" w14:textId="2CA3AC8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ולצוד דגים באופן שיש לו הנאה מעצם הצידה נחלקו בזה אחרוני זמנינו דבשם הגריש"א הביאו </w:t>
      </w:r>
      <w:r w:rsidR="009B1F86" w:rsidRPr="009B1F86">
        <w:rPr>
          <w:rFonts w:ascii="FrankRuehl" w:hAnsi="FrankRuehl" w:cs="FrankRuehl"/>
          <w:b/>
          <w:sz w:val="20"/>
          <w:szCs w:val="20"/>
          <w:rtl/>
        </w:rPr>
        <w:t>(בספר אשרי האיש פרק י סט"ז)</w:t>
      </w:r>
      <w:r w:rsidRPr="009B1F86">
        <w:rPr>
          <w:rFonts w:ascii="FrankRuehl" w:hAnsi="FrankRuehl" w:cs="FrankRuehl"/>
          <w:b/>
          <w:sz w:val="32"/>
          <w:szCs w:val="32"/>
          <w:rtl/>
        </w:rPr>
        <w:t xml:space="preserve"> להתיר, ובספר חול המועד כהלכתו </w:t>
      </w:r>
      <w:r w:rsidR="009B1F86" w:rsidRPr="009B1F86">
        <w:rPr>
          <w:rFonts w:ascii="FrankRuehl" w:hAnsi="FrankRuehl" w:cs="FrankRuehl"/>
          <w:b/>
          <w:sz w:val="20"/>
          <w:szCs w:val="20"/>
          <w:rtl/>
        </w:rPr>
        <w:t>(פרק ז הערה סז)</w:t>
      </w:r>
      <w:r w:rsidRPr="009B1F86">
        <w:rPr>
          <w:rFonts w:ascii="FrankRuehl" w:hAnsi="FrankRuehl" w:cs="FrankRuehl"/>
          <w:b/>
          <w:sz w:val="32"/>
          <w:szCs w:val="32"/>
          <w:rtl/>
        </w:rPr>
        <w:t xml:space="preserve"> הביא בשם בשם הגרשז"א ועוד כמה מפוסקי זמנינו לאסור דאינו נחשב כהנאה גמורה שהתירו לעשות מלאכה עבורה בחול המועד.</w:t>
      </w:r>
    </w:p>
    <w:p w14:paraId="1E2D11B6" w14:textId="5DAC1235" w:rsidR="00827750" w:rsidRPr="009B1F86" w:rsidRDefault="00F86E59" w:rsidP="00F86E59">
      <w:pPr>
        <w:pStyle w:val="1"/>
        <w:rPr>
          <w:sz w:val="38"/>
          <w:szCs w:val="30"/>
          <w:rtl/>
        </w:rPr>
      </w:pPr>
      <w:r w:rsidRPr="009B1F86">
        <w:rPr>
          <w:rFonts w:hint="cs"/>
          <w:sz w:val="38"/>
          <w:szCs w:val="30"/>
          <w:rtl/>
        </w:rPr>
        <w:t>[</w:t>
      </w:r>
      <w:r w:rsidR="00827750" w:rsidRPr="009B1F86">
        <w:rPr>
          <w:sz w:val="38"/>
          <w:szCs w:val="30"/>
          <w:rtl/>
        </w:rPr>
        <w:t>סימן תקלה</w:t>
      </w:r>
      <w:r w:rsidRPr="009B1F86">
        <w:rPr>
          <w:rFonts w:hint="cs"/>
          <w:sz w:val="38"/>
          <w:szCs w:val="30"/>
          <w:rtl/>
        </w:rPr>
        <w:t xml:space="preserve"> </w:t>
      </w:r>
      <w:r w:rsidR="00827750" w:rsidRPr="009B1F86">
        <w:rPr>
          <w:sz w:val="38"/>
          <w:szCs w:val="30"/>
          <w:rtl/>
        </w:rPr>
        <w:t xml:space="preserve">סעיף א] אין מפנין מחצר לחצר, אפילו מכעורה לנאה, ולא לפנות דירתו ולא לפנות כליו שאינם לצורך המועד. הגה: כ"ש שאסור להסיע ממונו מעיר לעיר. אבל מפנה הוא מבית לבית באותה חצר, ואם אין הבתים פתוחים לחצר אלא למבוי, יש אומרים שמבית לבית הסמוך לו מותר. הגה: ואם מתיירא מחמת גניבה בחצר שדר שם, מותר אפילו מחצר לחצר המשתמר, ואפילו מעיר לעיר בדבר האבד שרי. </w:t>
      </w:r>
    </w:p>
    <w:p w14:paraId="420D2698" w14:textId="77777777" w:rsidR="00827750" w:rsidRPr="009B1F86" w:rsidRDefault="00827750" w:rsidP="00F86E59">
      <w:pPr>
        <w:pStyle w:val="2"/>
        <w:rPr>
          <w:sz w:val="16"/>
          <w:szCs w:val="26"/>
          <w:rtl/>
        </w:rPr>
      </w:pPr>
      <w:r w:rsidRPr="009B1F86">
        <w:rPr>
          <w:sz w:val="16"/>
          <w:szCs w:val="26"/>
          <w:rtl/>
        </w:rPr>
        <w:t>האיסור לפנות מחצר לחצר</w:t>
      </w:r>
    </w:p>
    <w:p w14:paraId="0D8E66E5" w14:textId="7251D848"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וביאר המשנ"ב </w:t>
      </w:r>
      <w:r w:rsidR="009B1F86" w:rsidRPr="009B1F86">
        <w:rPr>
          <w:rFonts w:ascii="FrankRuehl" w:hAnsi="FrankRuehl" w:cs="FrankRuehl"/>
          <w:b/>
          <w:sz w:val="20"/>
          <w:szCs w:val="20"/>
          <w:rtl/>
        </w:rPr>
        <w:t>(ס"ק א)</w:t>
      </w:r>
      <w:r w:rsidRPr="009B1F86">
        <w:rPr>
          <w:rFonts w:ascii="FrankRuehl" w:hAnsi="FrankRuehl" w:cs="FrankRuehl"/>
          <w:b/>
          <w:sz w:val="32"/>
          <w:szCs w:val="32"/>
          <w:rtl/>
        </w:rPr>
        <w:t xml:space="preserve"> דטעם האיסור הוא משום טרחא. ומשמע שאין איסור משום הוצאה, וכבר הבאנו לעיל בשיעורים </w:t>
      </w:r>
      <w:r w:rsidR="009B1F86" w:rsidRPr="009B1F86">
        <w:rPr>
          <w:rFonts w:ascii="FrankRuehl" w:hAnsi="FrankRuehl" w:cs="FrankRuehl"/>
          <w:b/>
          <w:sz w:val="20"/>
          <w:szCs w:val="20"/>
          <w:rtl/>
        </w:rPr>
        <w:t>(בריש סימן תקל)</w:t>
      </w:r>
      <w:r w:rsidRPr="009B1F86">
        <w:rPr>
          <w:rFonts w:ascii="FrankRuehl" w:hAnsi="FrankRuehl" w:cs="FrankRuehl"/>
          <w:b/>
          <w:sz w:val="32"/>
          <w:szCs w:val="32"/>
          <w:rtl/>
        </w:rPr>
        <w:t xml:space="preserve"> שכן מבואר במאירי </w:t>
      </w:r>
      <w:r w:rsidR="009B1F86" w:rsidRPr="009B1F86">
        <w:rPr>
          <w:rFonts w:ascii="FrankRuehl" w:hAnsi="FrankRuehl" w:cs="FrankRuehl"/>
          <w:b/>
          <w:sz w:val="20"/>
          <w:szCs w:val="20"/>
          <w:rtl/>
        </w:rPr>
        <w:t>(מועד קטן יח, ב)</w:t>
      </w:r>
      <w:r w:rsidRPr="009B1F86">
        <w:rPr>
          <w:rFonts w:ascii="FrankRuehl" w:hAnsi="FrankRuehl" w:cs="FrankRuehl"/>
          <w:b/>
          <w:sz w:val="32"/>
          <w:szCs w:val="32"/>
          <w:rtl/>
        </w:rPr>
        <w:t xml:space="preserve"> שבחולו של מועד אין איסור הוצאה. אכן הבאנו דבביאור הלכה </w:t>
      </w:r>
      <w:r w:rsidR="009B1F86" w:rsidRPr="009B1F86">
        <w:rPr>
          <w:rFonts w:ascii="FrankRuehl" w:hAnsi="FrankRuehl" w:cs="FrankRuehl"/>
          <w:b/>
          <w:sz w:val="20"/>
          <w:szCs w:val="20"/>
          <w:rtl/>
        </w:rPr>
        <w:t>(סימן תקלו סעיף א ד"ה מותר)</w:t>
      </w:r>
      <w:r w:rsidRPr="009B1F86">
        <w:rPr>
          <w:rFonts w:ascii="FrankRuehl" w:hAnsi="FrankRuehl" w:cs="FrankRuehl"/>
          <w:b/>
          <w:sz w:val="32"/>
          <w:szCs w:val="32"/>
          <w:rtl/>
        </w:rPr>
        <w:t xml:space="preserve"> משמע שיש איסור מחמר בחול המועד, והיינו שיש איסור הוצאה לבהמתו, ומוכח שיש איסור הוצאה בחול המועד, וכן דעת החזו"א </w:t>
      </w:r>
      <w:r w:rsidR="009B1F86" w:rsidRPr="009B1F86">
        <w:rPr>
          <w:rFonts w:ascii="FrankRuehl" w:hAnsi="FrankRuehl" w:cs="FrankRuehl"/>
          <w:b/>
          <w:sz w:val="20"/>
          <w:szCs w:val="20"/>
          <w:rtl/>
        </w:rPr>
        <w:t>(או"ח סימן קלה לדף יב ע"ב ד"ה רא"ש)</w:t>
      </w:r>
      <w:r w:rsidRPr="009B1F86">
        <w:rPr>
          <w:rFonts w:ascii="FrankRuehl" w:hAnsi="FrankRuehl" w:cs="FrankRuehl"/>
          <w:b/>
          <w:sz w:val="32"/>
          <w:szCs w:val="32"/>
          <w:rtl/>
        </w:rPr>
        <w:t xml:space="preserve"> שיש לחוש לאיסור הוצאה בחול המועד ואכמ"ל.</w:t>
      </w:r>
    </w:p>
    <w:p w14:paraId="2B0E1238" w14:textId="0CFF10E4"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ובעיקר מה שמצינו שאסרו לפנות מחצר לחצר דרך רשות הרבים ביאר המשנ"ב </w:t>
      </w:r>
      <w:r w:rsidR="009B1F86" w:rsidRPr="009B1F86">
        <w:rPr>
          <w:rFonts w:ascii="FrankRuehl" w:hAnsi="FrankRuehl" w:cs="FrankRuehl"/>
          <w:b/>
          <w:sz w:val="20"/>
          <w:szCs w:val="20"/>
          <w:rtl/>
        </w:rPr>
        <w:t>(ס"ק א וס"ק ב)</w:t>
      </w:r>
      <w:r w:rsidRPr="009B1F86">
        <w:rPr>
          <w:rFonts w:ascii="FrankRuehl" w:hAnsi="FrankRuehl" w:cs="FrankRuehl"/>
          <w:b/>
          <w:sz w:val="32"/>
          <w:szCs w:val="32"/>
          <w:rtl/>
        </w:rPr>
        <w:t xml:space="preserve"> דיש בזה טרחא, וגם שהוא מפורסם לרבים, ומשמע שיש לאסור רק כשיש את ב' התנאים הללו, היינו שהדבר מפורסם, וגם שיש טרחא בדבר, אכן בהמשך הסעיף מבואר דמותר </w:t>
      </w:r>
      <w:r w:rsidRPr="009B1F86">
        <w:rPr>
          <w:rFonts w:ascii="FrankRuehl" w:hAnsi="FrankRuehl" w:cs="FrankRuehl"/>
          <w:b/>
          <w:sz w:val="32"/>
          <w:szCs w:val="32"/>
          <w:rtl/>
        </w:rPr>
        <w:lastRenderedPageBreak/>
        <w:t xml:space="preserve">לפנות מבית לבית באותה חצר, וביאר המשנ"ב </w:t>
      </w:r>
      <w:r w:rsidR="009B1F86" w:rsidRPr="009B1F86">
        <w:rPr>
          <w:rFonts w:ascii="FrankRuehl" w:hAnsi="FrankRuehl" w:cs="FrankRuehl"/>
          <w:b/>
          <w:sz w:val="20"/>
          <w:szCs w:val="20"/>
          <w:rtl/>
        </w:rPr>
        <w:t>(ס"ק ה)</w:t>
      </w:r>
      <w:r w:rsidRPr="009B1F86">
        <w:rPr>
          <w:rFonts w:ascii="FrankRuehl" w:hAnsi="FrankRuehl" w:cs="FrankRuehl"/>
          <w:b/>
          <w:sz w:val="32"/>
          <w:szCs w:val="32"/>
          <w:rtl/>
        </w:rPr>
        <w:t xml:space="preserve"> דבאותה חצר אין טרחא כל כך וגם הוא בצינעא, ומשמע שרק אם מתקיימים ב' התנאים היינו שהוא בצינעא, וגם אין בו טרחא אז התירו. וצ"ב מה עיקר הסברא האם תלי אם הוא בצינעא או בפרהסיא, או דתלי אם הוא טירחא מרובה או מועטת [ונפק"מ אם הוא טירחא מרובה בצינעא או טירחא מועטת בפרהסיא] וצ"ע.</w:t>
      </w:r>
    </w:p>
    <w:p w14:paraId="55DDBC91" w14:textId="77777777" w:rsidR="00827750" w:rsidRPr="009B1F86" w:rsidRDefault="00827750" w:rsidP="00F86E59">
      <w:pPr>
        <w:pStyle w:val="1"/>
        <w:rPr>
          <w:sz w:val="38"/>
          <w:szCs w:val="30"/>
          <w:rtl/>
        </w:rPr>
      </w:pPr>
      <w:r w:rsidRPr="009B1F86">
        <w:rPr>
          <w:sz w:val="38"/>
          <w:szCs w:val="30"/>
          <w:rtl/>
        </w:rPr>
        <w:t xml:space="preserve">[סעיף ב] יש מתירים לפנות מחצר של אחר לחצר שלו, ואפילו מנאה לכעורה. </w:t>
      </w:r>
    </w:p>
    <w:p w14:paraId="3697F8CB" w14:textId="77777777" w:rsidR="00827750" w:rsidRPr="009B1F86" w:rsidRDefault="00827750" w:rsidP="00F86E59">
      <w:pPr>
        <w:pStyle w:val="2"/>
        <w:rPr>
          <w:sz w:val="16"/>
          <w:szCs w:val="26"/>
          <w:rtl/>
        </w:rPr>
      </w:pPr>
      <w:r w:rsidRPr="009B1F86">
        <w:rPr>
          <w:sz w:val="16"/>
          <w:szCs w:val="26"/>
          <w:rtl/>
        </w:rPr>
        <w:t>העברת חפצים מחצר לחצר</w:t>
      </w:r>
    </w:p>
    <w:p w14:paraId="7F304FB8" w14:textId="23F30B8B"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הנה מתבאר מדברי השו"ע כאן שבשביל לעבור לדירה שלו התירו להעביר אפילו מחצר לחצר, וביאר המשנ"ב </w:t>
      </w:r>
      <w:r w:rsidR="009B1F86" w:rsidRPr="009B1F86">
        <w:rPr>
          <w:rFonts w:ascii="FrankRuehl" w:hAnsi="FrankRuehl" w:cs="FrankRuehl"/>
          <w:b/>
          <w:sz w:val="20"/>
          <w:szCs w:val="20"/>
          <w:rtl/>
        </w:rPr>
        <w:t>(ס"ק ז)</w:t>
      </w:r>
      <w:r w:rsidRPr="009B1F86">
        <w:rPr>
          <w:rFonts w:ascii="FrankRuehl" w:hAnsi="FrankRuehl" w:cs="FrankRuehl"/>
          <w:b/>
          <w:sz w:val="32"/>
          <w:szCs w:val="32"/>
          <w:rtl/>
        </w:rPr>
        <w:t xml:space="preserve"> דההיתר הוא משום ששמחה הוא לאדם שיהיה דר בתוך שלו, אכן לעיל </w:t>
      </w:r>
      <w:r w:rsidR="009B1F86" w:rsidRPr="009B1F86">
        <w:rPr>
          <w:rFonts w:ascii="FrankRuehl" w:hAnsi="FrankRuehl" w:cs="FrankRuehl"/>
          <w:b/>
          <w:sz w:val="20"/>
          <w:szCs w:val="20"/>
          <w:rtl/>
        </w:rPr>
        <w:t>(בסעיף א)</w:t>
      </w:r>
      <w:r w:rsidRPr="009B1F86">
        <w:rPr>
          <w:rFonts w:ascii="FrankRuehl" w:hAnsi="FrankRuehl" w:cs="FrankRuehl"/>
          <w:b/>
          <w:sz w:val="32"/>
          <w:szCs w:val="32"/>
          <w:rtl/>
        </w:rPr>
        <w:t xml:space="preserve"> מבואר שלא התירו לפנות מחצר לחצר אפילו אם הוא עובר מדירה כעורה לדירה נאה, והיינו דאף שיש לו שמחה בדבר שהוא עובר לדירה יותר נאה, מכל מקום לא התירו להעביר בשביל כך מחצר לחצר כיון שיש בדבר טרחא מרובה, ואין בו שמחה מרובה.</w:t>
      </w:r>
    </w:p>
    <w:p w14:paraId="7B6F4D16"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ועוד מבואר במשנ"ב שם שאם היה שוכר חדר אחד מחבירו ואח"כ שכר לו בית מיוחד עבורו, אף על פי שנוח לו יותר אסור לפנות מחצר לחצר בשביל כך, דדמי להא דאסור לפנות מכעורה לנאה, והיינו דאף שיש לו שמחה, לא התירו טרחא מרובה אלא כשעובר לדירה שלו שאז יש לו שמחה מרובה.</w:t>
      </w:r>
    </w:p>
    <w:p w14:paraId="77ED3FF2" w14:textId="3B976B71"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ונראה דהדבר תלוי בסוג הטירחא, היינו דככל שהטירחא יותר גדולה אין להתיר אלא באופן שהשמחה יותר גדולה, וכעין זה הבאנו מהנמוק"י </w:t>
      </w:r>
      <w:r w:rsidR="009B1F86" w:rsidRPr="009B1F86">
        <w:rPr>
          <w:rFonts w:ascii="FrankRuehl" w:hAnsi="FrankRuehl" w:cs="FrankRuehl"/>
          <w:b/>
          <w:sz w:val="20"/>
          <w:szCs w:val="20"/>
          <w:rtl/>
        </w:rPr>
        <w:t>(מו"ק א, ב מדפי הרי"ף)</w:t>
      </w:r>
      <w:r w:rsidRPr="009B1F86">
        <w:rPr>
          <w:rFonts w:ascii="FrankRuehl" w:hAnsi="FrankRuehl" w:cs="FrankRuehl"/>
          <w:b/>
          <w:sz w:val="32"/>
          <w:szCs w:val="32"/>
          <w:rtl/>
        </w:rPr>
        <w:t xml:space="preserve"> לעניין מלאכה בדבר האבד וז"ל 'דכל ענין זה נמסר לחכמים והם ראו שלא כל הפנים שוים אלא לפי אבידתו התירו את טרחו', והיינו דבדבר האבד התירו מלאכה מועטת במקום הפסד מועט ומלאכה מרובה במקום הפסד גדול, וה"נ ככל שהשמחה יותר גדולה התירו לו יותר מלאכת טירחא.</w:t>
      </w:r>
    </w:p>
    <w:p w14:paraId="63BB29F6" w14:textId="77777777" w:rsidR="00827750" w:rsidRPr="009B1F86" w:rsidRDefault="00827750" w:rsidP="00F86E59">
      <w:pPr>
        <w:pStyle w:val="2"/>
        <w:rPr>
          <w:sz w:val="16"/>
          <w:szCs w:val="26"/>
          <w:rtl/>
        </w:rPr>
      </w:pPr>
      <w:r w:rsidRPr="009B1F86">
        <w:rPr>
          <w:sz w:val="16"/>
          <w:szCs w:val="26"/>
          <w:rtl/>
        </w:rPr>
        <w:t>לעבור דירה בחול המועד</w:t>
      </w:r>
    </w:p>
    <w:p w14:paraId="1E45B6BC"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ולפי המתבאר בסעיפים אלו עולה דמותר לעבור דירה בחול המועד אם הוא עובר לדירה שלו, אך אם עובר לדירה שכורה אין להקל אא"כ הוא ממש דבר האבד.</w:t>
      </w:r>
    </w:p>
    <w:p w14:paraId="73800124" w14:textId="58D43F16"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אכן יש להעיר שבימינו בהעברת דירה יש גם מלאכות גמורות כגון הבערה ב</w:t>
      </w:r>
      <w:r w:rsidR="009B1F86">
        <w:rPr>
          <w:rFonts w:ascii="FrankRuehl" w:hAnsi="FrankRuehl" w:cs="FrankRuehl" w:hint="cs"/>
          <w:b/>
          <w:sz w:val="32"/>
          <w:szCs w:val="32"/>
          <w:rtl/>
        </w:rPr>
        <w:t>נסיעה ב</w:t>
      </w:r>
      <w:r w:rsidRPr="009B1F86">
        <w:rPr>
          <w:rFonts w:ascii="FrankRuehl" w:hAnsi="FrankRuehl" w:cs="FrankRuehl"/>
          <w:b/>
          <w:sz w:val="32"/>
          <w:szCs w:val="32"/>
          <w:rtl/>
        </w:rPr>
        <w:t>משאית וכדו', ויתכן שלא התירו משום שמחה אלא להעביר מחצר לחצר שאיסורו הוא רק משום טירחא [וכמו שנתבאר דאין איסור הוצאה מרשות לרשות בחול המועד]. ומכל מקום במקום שהוא דבר האבד, וכגון שאם יישאר בדירתו עוד יום אחד יצטרך לשלם את דמי השכירות של כל החודש, יש להקל גם בזה [ואף שהדבר נעשה בפרהסיא אין בזה איסור ולא חששו למראית העין, כמו שהתירו להעביר לדירה שלו ולא חששו משום הרואים, כיון שיש הרבה שיודעים שיש צורך בדבר].</w:t>
      </w:r>
    </w:p>
    <w:p w14:paraId="10B8C0C9" w14:textId="77777777" w:rsidR="00827750" w:rsidRPr="009B1F86" w:rsidRDefault="00827750" w:rsidP="00F86E59">
      <w:pPr>
        <w:pStyle w:val="2"/>
        <w:rPr>
          <w:sz w:val="16"/>
          <w:szCs w:val="26"/>
          <w:rtl/>
        </w:rPr>
      </w:pPr>
      <w:r w:rsidRPr="009B1F86">
        <w:rPr>
          <w:sz w:val="16"/>
          <w:szCs w:val="26"/>
          <w:rtl/>
        </w:rPr>
        <w:t>להחזיר מזוודה שיש שם דברים שאין בהם צורך המועד</w:t>
      </w:r>
    </w:p>
    <w:p w14:paraId="1AC8987E" w14:textId="4EC67A89"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הנה מבואר במשנ"ב </w:t>
      </w:r>
      <w:r w:rsidR="009B1F86" w:rsidRPr="009B1F86">
        <w:rPr>
          <w:rFonts w:ascii="FrankRuehl" w:hAnsi="FrankRuehl" w:cs="FrankRuehl"/>
          <w:b/>
          <w:sz w:val="20"/>
          <w:szCs w:val="20"/>
          <w:rtl/>
        </w:rPr>
        <w:t>(שם)</w:t>
      </w:r>
      <w:r w:rsidRPr="009B1F86">
        <w:rPr>
          <w:rFonts w:ascii="FrankRuehl" w:hAnsi="FrankRuehl" w:cs="FrankRuehl"/>
          <w:b/>
          <w:sz w:val="32"/>
          <w:szCs w:val="32"/>
          <w:rtl/>
        </w:rPr>
        <w:t xml:space="preserve"> דאף שהתירו לפנות מחצר של אחר לחצר שלו, היינו משום ששמחה לו לדור בשלו, אך לפנות כלים לחצר שלו דרך רה"ר אין להקל.</w:t>
      </w:r>
    </w:p>
    <w:p w14:paraId="1C8ED977"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ומעתה יש לדון בדבר המצוי שנוסעים להתארח בחול המועד לעיר אחרת, ויש לדון אם מותר להחזיר לביתו את המזוודה שיש בה את הבגדים מלוכלכים, ולפי המתבאר כאן לכאורה אין בזה היתר דהרי הוא מפנה מחצר לחצר דרך רשות הרבים.</w:t>
      </w:r>
    </w:p>
    <w:p w14:paraId="2F396CD8"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אכן נראה דאם הוא מעביר רק במזוודה אין איסור בזה משום שאין חשש של טירחא אלא במעביר טובא מדירה לדירה.</w:t>
      </w:r>
    </w:p>
    <w:p w14:paraId="4911604D" w14:textId="77777777" w:rsidR="00827750" w:rsidRPr="009B1F86" w:rsidRDefault="00827750" w:rsidP="00F86E59">
      <w:pPr>
        <w:pStyle w:val="2"/>
        <w:rPr>
          <w:sz w:val="16"/>
          <w:szCs w:val="26"/>
          <w:rtl/>
        </w:rPr>
      </w:pPr>
      <w:r w:rsidRPr="009B1F86">
        <w:rPr>
          <w:sz w:val="16"/>
          <w:szCs w:val="26"/>
          <w:rtl/>
        </w:rPr>
        <w:t xml:space="preserve">ריבוי בשיעורים בחד טרחא ובב' טרחות </w:t>
      </w:r>
    </w:p>
    <w:p w14:paraId="3AA84EE7"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ואמנם יש לדון לפי שיטת החזו"א שיש איסור הוצאה בחול המועד שלא לצורך דכיון שיש בתוך המזוודה גם דברים שהם נצרכים לצורך המועד, ואותם מותר לטלטל במועד, וא"כ יש לדון שיש להתיר מחמתם לטלטל את כל המזוודה מכיוון שהוא רק ריבוי בשיעורים.</w:t>
      </w:r>
    </w:p>
    <w:p w14:paraId="65E7C118" w14:textId="5088BFF1"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אכן יל"ע אם יש בזה היתר של ריבוי בשיעורים דהנה בסימן תקג </w:t>
      </w:r>
      <w:r w:rsidR="009B1F86" w:rsidRPr="009B1F86">
        <w:rPr>
          <w:rFonts w:ascii="FrankRuehl" w:hAnsi="FrankRuehl" w:cs="FrankRuehl"/>
          <w:b/>
          <w:sz w:val="20"/>
          <w:szCs w:val="20"/>
          <w:rtl/>
        </w:rPr>
        <w:t>(סעיף ב)</w:t>
      </w:r>
      <w:r w:rsidRPr="009B1F86">
        <w:rPr>
          <w:rFonts w:ascii="FrankRuehl" w:hAnsi="FrankRuehl" w:cs="FrankRuehl"/>
          <w:b/>
          <w:sz w:val="32"/>
          <w:szCs w:val="32"/>
          <w:rtl/>
        </w:rPr>
        <w:t xml:space="preserve"> מבואר הך דינא דממלא נחתום חבית של מים אע"פ שאינו צריך אלא לקיתון אחד, וטעם ההיתר משום שהוא ריבוי בשיעורים בחד טרחא, וכתב הרמ"א שם שמ"מ אין להתיר אלא כשמניחו על האש בפעם אחת ע"ש, והמשנ"ב שם </w:t>
      </w:r>
      <w:r w:rsidR="009B1F86" w:rsidRPr="009B1F86">
        <w:rPr>
          <w:rFonts w:ascii="FrankRuehl" w:hAnsi="FrankRuehl" w:cs="FrankRuehl"/>
          <w:b/>
          <w:sz w:val="20"/>
          <w:szCs w:val="20"/>
          <w:rtl/>
        </w:rPr>
        <w:t>(ס"ק יד)</w:t>
      </w:r>
      <w:r w:rsidRPr="009B1F86">
        <w:rPr>
          <w:rFonts w:ascii="FrankRuehl" w:hAnsi="FrankRuehl" w:cs="FrankRuehl"/>
          <w:b/>
          <w:sz w:val="32"/>
          <w:szCs w:val="32"/>
          <w:rtl/>
        </w:rPr>
        <w:t xml:space="preserve"> שההיתר הוא רק אם שופך את המים מהדלי בפעם אחת, אך אם מוסיף פעמים רבות ע"י כלים לא התירו, והיינו דאף לפני שהניח את הקדירה על האש אין בזה את ההיתר של </w:t>
      </w:r>
      <w:r w:rsidRPr="009B1F86">
        <w:rPr>
          <w:rFonts w:ascii="FrankRuehl" w:hAnsi="FrankRuehl" w:cs="FrankRuehl"/>
          <w:b/>
          <w:sz w:val="32"/>
          <w:szCs w:val="32"/>
          <w:rtl/>
        </w:rPr>
        <w:lastRenderedPageBreak/>
        <w:t xml:space="preserve">ריבוי בשיעורים, דהשפיכה הנוספת נחשבת כעוד טרחא, וכל ההיתר של ריבוי בשיעורים הוא רק כשיש ריבוי בפעולה אחת. אכן במשנ"ב שם </w:t>
      </w:r>
      <w:r w:rsidR="009B1F86" w:rsidRPr="009B1F86">
        <w:rPr>
          <w:rFonts w:ascii="FrankRuehl" w:hAnsi="FrankRuehl" w:cs="FrankRuehl"/>
          <w:b/>
          <w:sz w:val="20"/>
          <w:szCs w:val="20"/>
          <w:rtl/>
        </w:rPr>
        <w:t>(ס"ק ה)</w:t>
      </w:r>
      <w:r w:rsidRPr="009B1F86">
        <w:rPr>
          <w:rFonts w:ascii="FrankRuehl" w:hAnsi="FrankRuehl" w:cs="FrankRuehl"/>
          <w:b/>
          <w:sz w:val="32"/>
          <w:szCs w:val="32"/>
          <w:rtl/>
        </w:rPr>
        <w:t xml:space="preserve"> משמע שאין היתר להוסיף עוד חתיכות בשר כשהקדירה כבר מונחת על האש, ומשמע שקודם לכן מותר להוסיף עוד חתיכות לקדירה דחשיב כריבוי בשיעורים וצ"ב </w:t>
      </w:r>
      <w:r w:rsidR="009B1F86" w:rsidRPr="009B1F86">
        <w:rPr>
          <w:rFonts w:ascii="FrankRuehl" w:hAnsi="FrankRuehl" w:cs="FrankRuehl"/>
          <w:b/>
          <w:sz w:val="20"/>
          <w:szCs w:val="20"/>
          <w:rtl/>
        </w:rPr>
        <w:t>(וכבר עמדו בזה האחרונים עי' שש"כ פרק יג הערה עג)</w:t>
      </w:r>
      <w:r w:rsidRPr="009B1F86">
        <w:rPr>
          <w:rFonts w:ascii="FrankRuehl" w:hAnsi="FrankRuehl" w:cs="FrankRuehl"/>
          <w:b/>
          <w:sz w:val="32"/>
          <w:szCs w:val="32"/>
          <w:rtl/>
        </w:rPr>
        <w:t>. וממילא ה"ה לעניינינו דהדרך למלאות את המזוודות בכמה טרחות, ויל"ע אם יש בזה את ההיתר של ריבוי בשיעורים.</w:t>
      </w:r>
    </w:p>
    <w:p w14:paraId="06E79302" w14:textId="77777777" w:rsidR="00827750" w:rsidRPr="009B1F86" w:rsidRDefault="00827750" w:rsidP="00F86E59">
      <w:pPr>
        <w:pStyle w:val="2"/>
        <w:rPr>
          <w:sz w:val="16"/>
          <w:szCs w:val="26"/>
          <w:rtl/>
        </w:rPr>
      </w:pPr>
      <w:r w:rsidRPr="009B1F86">
        <w:rPr>
          <w:sz w:val="16"/>
          <w:szCs w:val="26"/>
          <w:rtl/>
        </w:rPr>
        <w:t>ריבוי בשיעורים במלאכת הוצאה</w:t>
      </w:r>
    </w:p>
    <w:p w14:paraId="7CFF6CAB" w14:textId="220C0AAA"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עוד יש לדון אם באיסור הוצאה אמרינן שיש להתיר משום ריבוי בשיעורים, דהנה האור שמח </w:t>
      </w:r>
      <w:r w:rsidR="009B1F86" w:rsidRPr="009B1F86">
        <w:rPr>
          <w:rFonts w:ascii="FrankRuehl" w:hAnsi="FrankRuehl" w:cs="FrankRuehl"/>
          <w:b/>
          <w:sz w:val="20"/>
          <w:szCs w:val="20"/>
          <w:rtl/>
        </w:rPr>
        <w:t>(פרק יח משבת הלכה א)</w:t>
      </w:r>
      <w:r w:rsidRPr="009B1F86">
        <w:rPr>
          <w:rFonts w:ascii="FrankRuehl" w:hAnsi="FrankRuehl" w:cs="FrankRuehl"/>
          <w:b/>
          <w:sz w:val="32"/>
          <w:szCs w:val="32"/>
          <w:rtl/>
        </w:rPr>
        <w:t xml:space="preserve"> הוכיח מדברי התוס' בשבת </w:t>
      </w:r>
      <w:r w:rsidR="009B1F86" w:rsidRPr="009B1F86">
        <w:rPr>
          <w:rFonts w:ascii="FrankRuehl" w:hAnsi="FrankRuehl" w:cs="FrankRuehl"/>
          <w:b/>
          <w:sz w:val="20"/>
          <w:szCs w:val="20"/>
          <w:rtl/>
        </w:rPr>
        <w:t>(צ. ד"ה המוציא)</w:t>
      </w:r>
      <w:r w:rsidRPr="009B1F86">
        <w:rPr>
          <w:rFonts w:ascii="FrankRuehl" w:hAnsi="FrankRuehl" w:cs="FrankRuehl"/>
          <w:b/>
          <w:sz w:val="32"/>
          <w:szCs w:val="32"/>
          <w:rtl/>
        </w:rPr>
        <w:t xml:space="preserve"> שהביאו מהירושלמי דריבוי חפצים בהוצאה הוי ריבוי מלאכות, וא"כ הכא יש לדון שלא יהיה בו את ההיתר של ריבוי בשיעורים. וכן מוכרח בסברא דאטו מי שיש לו ממחטה בכיסו לצורך המועד יוכל לשאת כל דבר משום ריבוי בשיעורים. [אכן יש להעיר דבספר מחנה ישראל </w:t>
      </w:r>
      <w:r w:rsidR="009B1F86" w:rsidRPr="009B1F86">
        <w:rPr>
          <w:rFonts w:ascii="FrankRuehl" w:hAnsi="FrankRuehl" w:cs="FrankRuehl"/>
          <w:b/>
          <w:sz w:val="20"/>
          <w:szCs w:val="20"/>
          <w:rtl/>
        </w:rPr>
        <w:t>(פ"ז סעיף ג)</w:t>
      </w:r>
      <w:r w:rsidRPr="009B1F86">
        <w:rPr>
          <w:rFonts w:ascii="FrankRuehl" w:hAnsi="FrankRuehl" w:cs="FrankRuehl"/>
          <w:b/>
          <w:sz w:val="32"/>
          <w:szCs w:val="32"/>
          <w:rtl/>
        </w:rPr>
        <w:t xml:space="preserve"> התיר הח"ח לחיילים שמוכרחים להוציא את החפצים שלהם יחד עם חפצי הצבא שמותר לו לטלטל משום פיקו"נ, ומשום דהוי ריבוי בשיעורים, וע"ש שדן שאולי ההיתר הוא רק אם נושא את הכל ביד אחת וצ"ב].</w:t>
      </w:r>
    </w:p>
    <w:p w14:paraId="6DF8DE1F"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אכן ע"ש באו"ש שהוכיח מדברי התוס' שם דאגד כלי שמיה אגד, ואם מוציא בכלי אחד כמות יותר גדולה נחשב ריבוי בשיעורים דמותר, וא"כ יש לדון דהכא לעניין המזוודה חשיב כאגד כלי ויש להתיר משום ריבוי בשיעורים.</w:t>
      </w:r>
    </w:p>
    <w:p w14:paraId="7F6E2ACB" w14:textId="77777777" w:rsidR="00827750" w:rsidRPr="009B1F86" w:rsidRDefault="00827750" w:rsidP="00F86E59">
      <w:pPr>
        <w:pStyle w:val="2"/>
        <w:rPr>
          <w:sz w:val="16"/>
          <w:szCs w:val="26"/>
          <w:rtl/>
        </w:rPr>
      </w:pPr>
      <w:r w:rsidRPr="009B1F86">
        <w:rPr>
          <w:sz w:val="16"/>
          <w:szCs w:val="26"/>
          <w:rtl/>
        </w:rPr>
        <w:t>להוציא צרור מפתחות במועד</w:t>
      </w:r>
    </w:p>
    <w:p w14:paraId="406C9E5D"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והנה דנו האחרונים אם מותר לטלטל צרור מפתחות בחול המועד באופן שצריך בחול המועד את אחד </w:t>
      </w:r>
      <w:r w:rsidRPr="009B1F86">
        <w:rPr>
          <w:rFonts w:ascii="FrankRuehl" w:hAnsi="FrankRuehl" w:cs="FrankRuehl"/>
          <w:b/>
          <w:sz w:val="32"/>
          <w:szCs w:val="32"/>
          <w:rtl/>
        </w:rPr>
        <w:t>מהמפתחות, אך יחד עמו ישנם עוד מפתחות בצרור, ויל"ע אי שרי להוציא את כל הצרור, ולפי משנ"ת יש לדון אי חשיב כריבוי בשיעורים דאם חשיב המאגד את הצרור כאגד כלי, הוי מלאכה אחת. אבל אם לא חשיב אגד כלי, א"כ כל מפתח ומפתח שבצרור הוי הוצאה אחרת, והרי זה ריבוי מלאכות, וא"כ ראוי שיוציא את המפתחות הנצרכים לו מהצרור, ולא יקח את כל הצרור [אכן אם חושש שיאבדו לו המפתחות אם יוציאם מהצרור יש להקל משום דהוי דבר האבד].</w:t>
      </w:r>
    </w:p>
    <w:p w14:paraId="22042FED" w14:textId="1418A4A4"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אכן באגרות משה </w:t>
      </w:r>
      <w:r w:rsidR="009B1F86" w:rsidRPr="009B1F86">
        <w:rPr>
          <w:rFonts w:ascii="FrankRuehl" w:hAnsi="FrankRuehl" w:cs="FrankRuehl"/>
          <w:b/>
          <w:sz w:val="20"/>
          <w:szCs w:val="20"/>
          <w:rtl/>
        </w:rPr>
        <w:t>(חלק ה סימן לה)</w:t>
      </w:r>
      <w:r w:rsidRPr="009B1F86">
        <w:rPr>
          <w:rFonts w:ascii="FrankRuehl" w:hAnsi="FrankRuehl" w:cs="FrankRuehl"/>
          <w:b/>
          <w:sz w:val="32"/>
          <w:szCs w:val="32"/>
          <w:rtl/>
        </w:rPr>
        <w:t xml:space="preserve"> כתב סברא חדשה שאסור להוציא צרור מפתחות ואין להקל משום ריבוי בשיעורים משום דהוי ריבוי מלאכות, אך כתב שם שיש להתיר להוציא חפיסה של סיגריות לרשות הרבים, אף שמונח שם יותר סיגריות ממה שנצרך לו, משום ריבוי בשיעורים. וביאר שם החילוק דלא התירו משום ריבוי בשיעורים אלא דווקא באופן שכל אחד ואחד ראוי לשימושו ויתכן שישתמש בו, וכמו במבשל כמה חתיכות שבכל אחת מהן הוא יכול להשתמש, משא"כ כשמוציא צרור מפתחות שיש בו מפתחות שאינם ראויים לו ובוודאי לא ישתמש בהם, אין להתיר להוציא את מה שאינו נצרך לו משום ריבוי בשיעורים.</w:t>
      </w:r>
    </w:p>
    <w:p w14:paraId="15AF5E48" w14:textId="77777777" w:rsidR="00827750"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 xml:space="preserve">ולפי דבריו יוצא דה"ה הכא שאין להתיר להוציא מזוודה שיש בה בגדים מלוכלכים וכדו', דכיון שהם אינם ראויים לו לא שייך לא שייך להתיר משום ריבוי בשיעורים. </w:t>
      </w:r>
    </w:p>
    <w:p w14:paraId="03C0B911" w14:textId="77777777" w:rsidR="00827750" w:rsidRPr="009B1F86" w:rsidRDefault="00827750" w:rsidP="009B1F86">
      <w:pPr>
        <w:pStyle w:val="2"/>
        <w:rPr>
          <w:sz w:val="16"/>
          <w:szCs w:val="26"/>
          <w:rtl/>
        </w:rPr>
      </w:pPr>
      <w:r w:rsidRPr="009B1F86">
        <w:rPr>
          <w:sz w:val="16"/>
          <w:szCs w:val="26"/>
          <w:rtl/>
        </w:rPr>
        <w:t>לדינא יש להקל להחזיר את המזוודות בחול המועד</w:t>
      </w:r>
    </w:p>
    <w:p w14:paraId="74922CB3" w14:textId="5AC587B5" w:rsidR="00271A0A" w:rsidRPr="009B1F86" w:rsidRDefault="00827750" w:rsidP="00827750">
      <w:pPr>
        <w:spacing w:after="40"/>
        <w:rPr>
          <w:rFonts w:ascii="FrankRuehl" w:hAnsi="FrankRuehl" w:cs="FrankRuehl"/>
          <w:b/>
          <w:sz w:val="32"/>
          <w:szCs w:val="32"/>
          <w:rtl/>
        </w:rPr>
      </w:pPr>
      <w:r w:rsidRPr="009B1F86">
        <w:rPr>
          <w:rFonts w:ascii="FrankRuehl" w:hAnsi="FrankRuehl" w:cs="FrankRuehl"/>
          <w:b/>
          <w:sz w:val="32"/>
          <w:szCs w:val="32"/>
          <w:rtl/>
        </w:rPr>
        <w:t>אמנם לדינא נראה שיש כאן סברא נוספת להתיר להחזיר את המזוודות בחול המועד משום דבר האבד, והיינו דאם לא יביא את חפציו במועד יצטרך לנסוע במיוחד להביאם לאחר המועד, ויש בדבר הפסד ממון.</w:t>
      </w:r>
    </w:p>
    <w:bookmarkEnd w:id="0"/>
    <w:bookmarkEnd w:id="1"/>
    <w:p w14:paraId="34E10F64" w14:textId="61AAE693" w:rsidR="00F024DD" w:rsidRPr="0049619B" w:rsidRDefault="00F024DD" w:rsidP="00271A0A">
      <w:pPr>
        <w:spacing w:after="40"/>
        <w:rPr>
          <w:sz w:val="32"/>
          <w:szCs w:val="32"/>
          <w:rtl/>
        </w:rPr>
        <w:sectPr w:rsidR="00F024DD" w:rsidRPr="0049619B" w:rsidSect="000E5BD3">
          <w:type w:val="continuous"/>
          <w:pgSz w:w="11906" w:h="16838"/>
          <w:pgMar w:top="567" w:right="397" w:bottom="567" w:left="454" w:header="709" w:footer="709" w:gutter="0"/>
          <w:cols w:num="2" w:space="397"/>
          <w:bidi/>
          <w:rtlGutter/>
          <w:docGrid w:linePitch="360"/>
        </w:sectPr>
      </w:pPr>
    </w:p>
    <w:p w14:paraId="22C87DD7" w14:textId="77777777" w:rsidR="00F024DD" w:rsidRPr="0049619B" w:rsidRDefault="00F024DD" w:rsidP="000E5BD3">
      <w:pPr>
        <w:spacing w:after="40"/>
        <w:rPr>
          <w:sz w:val="32"/>
          <w:szCs w:val="32"/>
        </w:rPr>
      </w:pPr>
    </w:p>
    <w:sectPr w:rsidR="00F024DD" w:rsidRPr="0049619B" w:rsidSect="00F024DD">
      <w:type w:val="continuous"/>
      <w:pgSz w:w="11906" w:h="16838"/>
      <w:pgMar w:top="567" w:right="397" w:bottom="567" w:left="454" w:header="709" w:footer="709" w:gutter="0"/>
      <w:cols w:space="397"/>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E1825" w14:textId="77777777" w:rsidR="00F719B4" w:rsidRDefault="00F719B4" w:rsidP="008B4A16">
      <w:pPr>
        <w:spacing w:after="0" w:line="240" w:lineRule="auto"/>
      </w:pPr>
      <w:r>
        <w:separator/>
      </w:r>
    </w:p>
  </w:endnote>
  <w:endnote w:type="continuationSeparator" w:id="0">
    <w:p w14:paraId="5F378631" w14:textId="77777777" w:rsidR="00F719B4" w:rsidRDefault="00F719B4" w:rsidP="008B4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EFT_Pnina ExtraLight">
    <w:panose1 w:val="01000503000000020003"/>
    <w:charset w:val="B1"/>
    <w:family w:val="auto"/>
    <w:pitch w:val="variable"/>
    <w:sig w:usb0="80000827" w:usb1="5000004A" w:usb2="00000000" w:usb3="00000000" w:csb0="0000002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Guttman Drogolin">
    <w:panose1 w:val="02010401010101010101"/>
    <w:charset w:val="B1"/>
    <w:family w:val="auto"/>
    <w:pitch w:val="variable"/>
    <w:sig w:usb0="00000801" w:usb1="40000000" w:usb2="00000000" w:usb3="00000000" w:csb0="00000020" w:csb1="00000000"/>
  </w:font>
  <w:font w:name="EFT_Resisim">
    <w:panose1 w:val="01000503000000020003"/>
    <w:charset w:val="B1"/>
    <w:family w:val="auto"/>
    <w:pitch w:val="variable"/>
    <w:sig w:usb0="80000827" w:usb1="5000004A" w:usb2="00000000" w:usb3="00000000" w:csb0="0000002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FrankRuehl">
    <w:panose1 w:val="020E05030601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5518BE86" w14:textId="77777777" w:rsidR="008B4A16" w:rsidRDefault="008B4A16">
        <w:pPr>
          <w:pStyle w:val="a8"/>
          <w:jc w:val="center"/>
          <w:rPr>
            <w:cs/>
          </w:rPr>
        </w:pPr>
        <w:r>
          <w:rPr>
            <w:noProof/>
          </w:rPr>
          <mc:AlternateContent>
            <mc:Choice Requires="wps">
              <w:drawing>
                <wp:inline distT="0" distB="0" distL="0" distR="0" wp14:anchorId="41A2973E" wp14:editId="15910B6E">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5F723153"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151FA97" w14:textId="77777777" w:rsidR="008B4A16" w:rsidRDefault="008B4A16">
        <w:pPr>
          <w:pStyle w:val="a8"/>
          <w:jc w:val="center"/>
          <w:rPr>
            <w:cs/>
          </w:rPr>
        </w:pPr>
        <w:r>
          <w:fldChar w:fldCharType="begin"/>
        </w:r>
        <w:r>
          <w:rPr>
            <w:cs/>
          </w:rPr>
          <w:instrText>PAGE    \* MERGEFORMAT</w:instrText>
        </w:r>
        <w:r>
          <w:fldChar w:fldCharType="separate"/>
        </w:r>
        <w:r w:rsidR="002D711C" w:rsidRPr="002D711C">
          <w:rPr>
            <w:noProof/>
            <w:rtl/>
            <w:lang w:val="he-IL"/>
          </w:rPr>
          <w:t>1</w:t>
        </w:r>
        <w:r>
          <w:fldChar w:fldCharType="end"/>
        </w:r>
      </w:p>
    </w:sdtContent>
  </w:sdt>
  <w:p w14:paraId="31073984" w14:textId="77777777" w:rsidR="008B4A16" w:rsidRDefault="008B4A1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A1A48" w14:textId="77777777" w:rsidR="00F719B4" w:rsidRDefault="00F719B4" w:rsidP="008B4A16">
      <w:pPr>
        <w:spacing w:after="0" w:line="240" w:lineRule="auto"/>
      </w:pPr>
      <w:r>
        <w:separator/>
      </w:r>
    </w:p>
  </w:footnote>
  <w:footnote w:type="continuationSeparator" w:id="0">
    <w:p w14:paraId="101A850B" w14:textId="77777777" w:rsidR="00F719B4" w:rsidRDefault="00F719B4" w:rsidP="008B4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A0AE4" w14:textId="77777777" w:rsidR="00A4422E" w:rsidRDefault="00A4422E" w:rsidP="00E260D8">
    <w:pPr>
      <w:pStyle w:val="a6"/>
      <w:framePr w:wrap="around" w:vAnchor="text" w:hAnchor="text" w:xAlign="inside" w:y="1"/>
      <w:rPr>
        <w:rStyle w:val="ad"/>
      </w:rPr>
    </w:pPr>
    <w:r>
      <w:rPr>
        <w:rStyle w:val="ad"/>
        <w:rtl/>
      </w:rPr>
      <w:fldChar w:fldCharType="begin"/>
    </w:r>
    <w:r>
      <w:rPr>
        <w:rStyle w:val="ad"/>
      </w:rPr>
      <w:instrText xml:space="preserve"> PAGE </w:instrText>
    </w:r>
    <w:r>
      <w:rPr>
        <w:rStyle w:val="ad"/>
        <w:rtl/>
      </w:rPr>
      <w:fldChar w:fldCharType="end"/>
    </w:r>
  </w:p>
  <w:p w14:paraId="41D99B83" w14:textId="77777777" w:rsidR="00A4422E" w:rsidRDefault="00A4422E" w:rsidP="00A4422E">
    <w:pPr>
      <w:pStyle w:val="a6"/>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63311"/>
    <w:multiLevelType w:val="hybridMultilevel"/>
    <w:tmpl w:val="605894AC"/>
    <w:lvl w:ilvl="0" w:tplc="2C784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1460D"/>
    <w:multiLevelType w:val="hybridMultilevel"/>
    <w:tmpl w:val="12C6B340"/>
    <w:lvl w:ilvl="0" w:tplc="4158215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31BB3"/>
    <w:multiLevelType w:val="hybridMultilevel"/>
    <w:tmpl w:val="F718EBE4"/>
    <w:lvl w:ilvl="0" w:tplc="0796526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276E6"/>
    <w:multiLevelType w:val="hybridMultilevel"/>
    <w:tmpl w:val="F72A94B2"/>
    <w:lvl w:ilvl="0" w:tplc="943C42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406D8"/>
    <w:multiLevelType w:val="hybridMultilevel"/>
    <w:tmpl w:val="E4D20FA6"/>
    <w:lvl w:ilvl="0" w:tplc="8974CE5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1C6CE2"/>
    <w:multiLevelType w:val="hybridMultilevel"/>
    <w:tmpl w:val="66D6B2BE"/>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A055F"/>
    <w:multiLevelType w:val="hybridMultilevel"/>
    <w:tmpl w:val="5B34595C"/>
    <w:lvl w:ilvl="0" w:tplc="B73874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22745"/>
    <w:multiLevelType w:val="hybridMultilevel"/>
    <w:tmpl w:val="E3FA6EC0"/>
    <w:lvl w:ilvl="0" w:tplc="817AA4E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DE3033"/>
    <w:multiLevelType w:val="hybridMultilevel"/>
    <w:tmpl w:val="491E562E"/>
    <w:lvl w:ilvl="0" w:tplc="79261DC0">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25A70"/>
    <w:multiLevelType w:val="hybridMultilevel"/>
    <w:tmpl w:val="CCC2EC94"/>
    <w:lvl w:ilvl="0" w:tplc="200AAAA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404"/>
    <w:multiLevelType w:val="hybridMultilevel"/>
    <w:tmpl w:val="B6CC5FA2"/>
    <w:lvl w:ilvl="0" w:tplc="6F348B0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D3111"/>
    <w:multiLevelType w:val="hybridMultilevel"/>
    <w:tmpl w:val="1F42A97E"/>
    <w:lvl w:ilvl="0" w:tplc="8660735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79EB"/>
    <w:multiLevelType w:val="hybridMultilevel"/>
    <w:tmpl w:val="02D888DC"/>
    <w:lvl w:ilvl="0" w:tplc="DD7A10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E18F8"/>
    <w:multiLevelType w:val="hybridMultilevel"/>
    <w:tmpl w:val="5A3E6B58"/>
    <w:lvl w:ilvl="0" w:tplc="144038D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97EE7"/>
    <w:multiLevelType w:val="hybridMultilevel"/>
    <w:tmpl w:val="CB4CC3FE"/>
    <w:lvl w:ilvl="0" w:tplc="7FE052B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ED32D0"/>
    <w:multiLevelType w:val="hybridMultilevel"/>
    <w:tmpl w:val="E85EE184"/>
    <w:lvl w:ilvl="0" w:tplc="3ADEBFA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84012A"/>
    <w:multiLevelType w:val="hybridMultilevel"/>
    <w:tmpl w:val="02D888D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6A5B6E"/>
    <w:multiLevelType w:val="hybridMultilevel"/>
    <w:tmpl w:val="989046E6"/>
    <w:lvl w:ilvl="0" w:tplc="78EC5B08">
      <w:start w:val="1"/>
      <w:numFmt w:val="hebrew1"/>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8" w15:restartNumberingAfterBreak="0">
    <w:nsid w:val="56FC53AC"/>
    <w:multiLevelType w:val="hybridMultilevel"/>
    <w:tmpl w:val="6AE091C8"/>
    <w:lvl w:ilvl="0" w:tplc="225457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F6405B"/>
    <w:multiLevelType w:val="hybridMultilevel"/>
    <w:tmpl w:val="894EF95E"/>
    <w:lvl w:ilvl="0" w:tplc="338E3D52">
      <w:start w:val="1"/>
      <w:numFmt w:val="hebrew1"/>
      <w:lvlText w:val="%1."/>
      <w:lvlJc w:val="left"/>
      <w:pPr>
        <w:ind w:left="720" w:hanging="360"/>
      </w:pPr>
      <w:rPr>
        <w:rFonts w:cs="EFT_Pnina ExtraLight"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BC7657"/>
    <w:multiLevelType w:val="hybridMultilevel"/>
    <w:tmpl w:val="C9EE4AF8"/>
    <w:lvl w:ilvl="0" w:tplc="6E5EA5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1D7F05"/>
    <w:multiLevelType w:val="hybridMultilevel"/>
    <w:tmpl w:val="6E58C674"/>
    <w:lvl w:ilvl="0" w:tplc="2DD826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5A2931"/>
    <w:multiLevelType w:val="hybridMultilevel"/>
    <w:tmpl w:val="2EA85782"/>
    <w:lvl w:ilvl="0" w:tplc="6DC6A272">
      <w:start w:val="1"/>
      <w:numFmt w:val="hebrew1"/>
      <w:lvlText w:val="%1."/>
      <w:lvlJc w:val="left"/>
      <w:pPr>
        <w:ind w:left="720" w:hanging="360"/>
      </w:pPr>
      <w:rPr>
        <w:rFonts w:ascii="Tahoma" w:hAnsi="Tahoma" w:cs="Tahoma"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612AB1"/>
    <w:multiLevelType w:val="hybridMultilevel"/>
    <w:tmpl w:val="C590B0C2"/>
    <w:lvl w:ilvl="0" w:tplc="43B257F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F7E92"/>
    <w:multiLevelType w:val="hybridMultilevel"/>
    <w:tmpl w:val="E04A2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C20393"/>
    <w:multiLevelType w:val="hybridMultilevel"/>
    <w:tmpl w:val="9CB0710C"/>
    <w:lvl w:ilvl="0" w:tplc="44C83F4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4A1CE1"/>
    <w:multiLevelType w:val="hybridMultilevel"/>
    <w:tmpl w:val="2FC283F4"/>
    <w:lvl w:ilvl="0" w:tplc="4CD4C36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94353E"/>
    <w:multiLevelType w:val="hybridMultilevel"/>
    <w:tmpl w:val="D06A05F8"/>
    <w:lvl w:ilvl="0" w:tplc="C47678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7"/>
  </w:num>
  <w:num w:numId="3">
    <w:abstractNumId w:val="8"/>
  </w:num>
  <w:num w:numId="4">
    <w:abstractNumId w:val="27"/>
  </w:num>
  <w:num w:numId="5">
    <w:abstractNumId w:val="9"/>
  </w:num>
  <w:num w:numId="6">
    <w:abstractNumId w:val="3"/>
  </w:num>
  <w:num w:numId="7">
    <w:abstractNumId w:val="14"/>
  </w:num>
  <w:num w:numId="8">
    <w:abstractNumId w:val="1"/>
  </w:num>
  <w:num w:numId="9">
    <w:abstractNumId w:val="23"/>
  </w:num>
  <w:num w:numId="10">
    <w:abstractNumId w:val="12"/>
  </w:num>
  <w:num w:numId="11">
    <w:abstractNumId w:val="16"/>
  </w:num>
  <w:num w:numId="12">
    <w:abstractNumId w:val="5"/>
  </w:num>
  <w:num w:numId="13">
    <w:abstractNumId w:val="19"/>
  </w:num>
  <w:num w:numId="14">
    <w:abstractNumId w:val="0"/>
  </w:num>
  <w:num w:numId="15">
    <w:abstractNumId w:val="2"/>
  </w:num>
  <w:num w:numId="16">
    <w:abstractNumId w:val="20"/>
  </w:num>
  <w:num w:numId="17">
    <w:abstractNumId w:val="25"/>
  </w:num>
  <w:num w:numId="18">
    <w:abstractNumId w:val="13"/>
  </w:num>
  <w:num w:numId="19">
    <w:abstractNumId w:val="4"/>
  </w:num>
  <w:num w:numId="20">
    <w:abstractNumId w:val="18"/>
  </w:num>
  <w:num w:numId="21">
    <w:abstractNumId w:val="21"/>
  </w:num>
  <w:num w:numId="22">
    <w:abstractNumId w:val="15"/>
  </w:num>
  <w:num w:numId="23">
    <w:abstractNumId w:val="6"/>
  </w:num>
  <w:num w:numId="24">
    <w:abstractNumId w:val="11"/>
  </w:num>
  <w:num w:numId="25">
    <w:abstractNumId w:val="26"/>
  </w:num>
  <w:num w:numId="26">
    <w:abstractNumId w:val="22"/>
  </w:num>
  <w:num w:numId="27">
    <w:abstractNumId w:val="7"/>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D92"/>
    <w:rsid w:val="00025316"/>
    <w:rsid w:val="00030DC1"/>
    <w:rsid w:val="00033843"/>
    <w:rsid w:val="00047E2B"/>
    <w:rsid w:val="00053287"/>
    <w:rsid w:val="00053D66"/>
    <w:rsid w:val="00060DCC"/>
    <w:rsid w:val="000647DD"/>
    <w:rsid w:val="00076EBD"/>
    <w:rsid w:val="00081057"/>
    <w:rsid w:val="00082A48"/>
    <w:rsid w:val="0009105C"/>
    <w:rsid w:val="00092FD0"/>
    <w:rsid w:val="000A1E14"/>
    <w:rsid w:val="000A31A1"/>
    <w:rsid w:val="000B0AEF"/>
    <w:rsid w:val="000B6BC4"/>
    <w:rsid w:val="000D0F34"/>
    <w:rsid w:val="000D74ED"/>
    <w:rsid w:val="000E11E3"/>
    <w:rsid w:val="000E5BD3"/>
    <w:rsid w:val="000F25B9"/>
    <w:rsid w:val="00101A5C"/>
    <w:rsid w:val="00104531"/>
    <w:rsid w:val="0010567D"/>
    <w:rsid w:val="00105B83"/>
    <w:rsid w:val="00120239"/>
    <w:rsid w:val="00126F2C"/>
    <w:rsid w:val="00134605"/>
    <w:rsid w:val="0013541A"/>
    <w:rsid w:val="00152B07"/>
    <w:rsid w:val="00173C7B"/>
    <w:rsid w:val="00183A41"/>
    <w:rsid w:val="0018484F"/>
    <w:rsid w:val="001959E6"/>
    <w:rsid w:val="001971CC"/>
    <w:rsid w:val="00197B50"/>
    <w:rsid w:val="001A75A8"/>
    <w:rsid w:val="001B2A41"/>
    <w:rsid w:val="001B64E4"/>
    <w:rsid w:val="001B7E6B"/>
    <w:rsid w:val="001E25D7"/>
    <w:rsid w:val="001E520D"/>
    <w:rsid w:val="001E74FE"/>
    <w:rsid w:val="001F044D"/>
    <w:rsid w:val="00201336"/>
    <w:rsid w:val="0021604D"/>
    <w:rsid w:val="002259DF"/>
    <w:rsid w:val="0023080B"/>
    <w:rsid w:val="002372E9"/>
    <w:rsid w:val="00241AAB"/>
    <w:rsid w:val="002618B2"/>
    <w:rsid w:val="00265EEC"/>
    <w:rsid w:val="00271A0A"/>
    <w:rsid w:val="00285699"/>
    <w:rsid w:val="002949C9"/>
    <w:rsid w:val="002B1E9B"/>
    <w:rsid w:val="002B3B88"/>
    <w:rsid w:val="002C17A1"/>
    <w:rsid w:val="002D711C"/>
    <w:rsid w:val="002F626D"/>
    <w:rsid w:val="00300A5A"/>
    <w:rsid w:val="00302BFA"/>
    <w:rsid w:val="0030302C"/>
    <w:rsid w:val="00303F03"/>
    <w:rsid w:val="00310A7B"/>
    <w:rsid w:val="003218E7"/>
    <w:rsid w:val="0032252E"/>
    <w:rsid w:val="00327F99"/>
    <w:rsid w:val="0036784B"/>
    <w:rsid w:val="00370F4D"/>
    <w:rsid w:val="00376A5B"/>
    <w:rsid w:val="00385840"/>
    <w:rsid w:val="00392304"/>
    <w:rsid w:val="00395C40"/>
    <w:rsid w:val="003A16DB"/>
    <w:rsid w:val="003B3F2A"/>
    <w:rsid w:val="003C46C1"/>
    <w:rsid w:val="003C6DC3"/>
    <w:rsid w:val="003D2C81"/>
    <w:rsid w:val="003D7639"/>
    <w:rsid w:val="003F3C5C"/>
    <w:rsid w:val="003F5E31"/>
    <w:rsid w:val="0040556E"/>
    <w:rsid w:val="00432144"/>
    <w:rsid w:val="004374E8"/>
    <w:rsid w:val="00444DDF"/>
    <w:rsid w:val="004454C4"/>
    <w:rsid w:val="00460F0C"/>
    <w:rsid w:val="0049619B"/>
    <w:rsid w:val="00497006"/>
    <w:rsid w:val="004C7FB8"/>
    <w:rsid w:val="004D7EB4"/>
    <w:rsid w:val="004F18C7"/>
    <w:rsid w:val="005036CA"/>
    <w:rsid w:val="005070CD"/>
    <w:rsid w:val="00511B0A"/>
    <w:rsid w:val="00517261"/>
    <w:rsid w:val="00517E12"/>
    <w:rsid w:val="00534D33"/>
    <w:rsid w:val="005368A2"/>
    <w:rsid w:val="00551DDA"/>
    <w:rsid w:val="00556258"/>
    <w:rsid w:val="0056410D"/>
    <w:rsid w:val="00565CD2"/>
    <w:rsid w:val="00593FF0"/>
    <w:rsid w:val="005947B2"/>
    <w:rsid w:val="005A62B6"/>
    <w:rsid w:val="005B2CFD"/>
    <w:rsid w:val="005B785D"/>
    <w:rsid w:val="005C1FA4"/>
    <w:rsid w:val="005D361C"/>
    <w:rsid w:val="00603FF8"/>
    <w:rsid w:val="00606760"/>
    <w:rsid w:val="006133D0"/>
    <w:rsid w:val="006155FB"/>
    <w:rsid w:val="00617E3F"/>
    <w:rsid w:val="00621954"/>
    <w:rsid w:val="0062682E"/>
    <w:rsid w:val="00627C74"/>
    <w:rsid w:val="00640A32"/>
    <w:rsid w:val="006420C9"/>
    <w:rsid w:val="0064389E"/>
    <w:rsid w:val="0065339C"/>
    <w:rsid w:val="00656071"/>
    <w:rsid w:val="006C4C46"/>
    <w:rsid w:val="006C4D8A"/>
    <w:rsid w:val="006E1363"/>
    <w:rsid w:val="006F2AF0"/>
    <w:rsid w:val="006F66A8"/>
    <w:rsid w:val="007042D6"/>
    <w:rsid w:val="007056FF"/>
    <w:rsid w:val="0070600A"/>
    <w:rsid w:val="00711B84"/>
    <w:rsid w:val="00723A87"/>
    <w:rsid w:val="007254F2"/>
    <w:rsid w:val="007428C9"/>
    <w:rsid w:val="00752970"/>
    <w:rsid w:val="00760676"/>
    <w:rsid w:val="00762F48"/>
    <w:rsid w:val="007634C6"/>
    <w:rsid w:val="007642E0"/>
    <w:rsid w:val="00767195"/>
    <w:rsid w:val="0077529F"/>
    <w:rsid w:val="00786543"/>
    <w:rsid w:val="007B423B"/>
    <w:rsid w:val="007B59CE"/>
    <w:rsid w:val="007C1284"/>
    <w:rsid w:val="007E45F1"/>
    <w:rsid w:val="00802C73"/>
    <w:rsid w:val="00827750"/>
    <w:rsid w:val="00834BEB"/>
    <w:rsid w:val="00842923"/>
    <w:rsid w:val="00852564"/>
    <w:rsid w:val="00856A49"/>
    <w:rsid w:val="008574CB"/>
    <w:rsid w:val="00860271"/>
    <w:rsid w:val="008A2FB7"/>
    <w:rsid w:val="008B338C"/>
    <w:rsid w:val="008B4A16"/>
    <w:rsid w:val="008B4CCC"/>
    <w:rsid w:val="008D1678"/>
    <w:rsid w:val="008D5299"/>
    <w:rsid w:val="008D58F2"/>
    <w:rsid w:val="008D7849"/>
    <w:rsid w:val="008E7B66"/>
    <w:rsid w:val="008F3E05"/>
    <w:rsid w:val="00905B95"/>
    <w:rsid w:val="00914EDC"/>
    <w:rsid w:val="00934080"/>
    <w:rsid w:val="00943D04"/>
    <w:rsid w:val="00947440"/>
    <w:rsid w:val="0097518A"/>
    <w:rsid w:val="009828EA"/>
    <w:rsid w:val="00991719"/>
    <w:rsid w:val="009B11A1"/>
    <w:rsid w:val="009B1F86"/>
    <w:rsid w:val="009B2297"/>
    <w:rsid w:val="009B636B"/>
    <w:rsid w:val="009C5708"/>
    <w:rsid w:val="009D5DC9"/>
    <w:rsid w:val="009E011E"/>
    <w:rsid w:val="009E0B27"/>
    <w:rsid w:val="00A0586E"/>
    <w:rsid w:val="00A147DC"/>
    <w:rsid w:val="00A23D83"/>
    <w:rsid w:val="00A242FF"/>
    <w:rsid w:val="00A35A5E"/>
    <w:rsid w:val="00A40071"/>
    <w:rsid w:val="00A4422E"/>
    <w:rsid w:val="00A55A5B"/>
    <w:rsid w:val="00A65561"/>
    <w:rsid w:val="00A67BA3"/>
    <w:rsid w:val="00A732A8"/>
    <w:rsid w:val="00A936F3"/>
    <w:rsid w:val="00A9562D"/>
    <w:rsid w:val="00AA7B69"/>
    <w:rsid w:val="00AC4D92"/>
    <w:rsid w:val="00AC6F52"/>
    <w:rsid w:val="00AD3BA4"/>
    <w:rsid w:val="00AE766A"/>
    <w:rsid w:val="00AF6FFC"/>
    <w:rsid w:val="00B01EFC"/>
    <w:rsid w:val="00B1725B"/>
    <w:rsid w:val="00B21C3B"/>
    <w:rsid w:val="00B43C7F"/>
    <w:rsid w:val="00B4693C"/>
    <w:rsid w:val="00B876F9"/>
    <w:rsid w:val="00B94D66"/>
    <w:rsid w:val="00BA188A"/>
    <w:rsid w:val="00BA6C8D"/>
    <w:rsid w:val="00BB16AD"/>
    <w:rsid w:val="00BB38E6"/>
    <w:rsid w:val="00BC13D9"/>
    <w:rsid w:val="00BD390A"/>
    <w:rsid w:val="00BD62D7"/>
    <w:rsid w:val="00BD649A"/>
    <w:rsid w:val="00BD6CB5"/>
    <w:rsid w:val="00C05419"/>
    <w:rsid w:val="00C0718F"/>
    <w:rsid w:val="00C31B2F"/>
    <w:rsid w:val="00C47AB8"/>
    <w:rsid w:val="00C55D9E"/>
    <w:rsid w:val="00C55F2E"/>
    <w:rsid w:val="00C603BC"/>
    <w:rsid w:val="00C70ACF"/>
    <w:rsid w:val="00C75256"/>
    <w:rsid w:val="00C86895"/>
    <w:rsid w:val="00C946BE"/>
    <w:rsid w:val="00C97BAD"/>
    <w:rsid w:val="00CA42A1"/>
    <w:rsid w:val="00CE3255"/>
    <w:rsid w:val="00CF6B36"/>
    <w:rsid w:val="00D13DB0"/>
    <w:rsid w:val="00D173B9"/>
    <w:rsid w:val="00D237B5"/>
    <w:rsid w:val="00D3495A"/>
    <w:rsid w:val="00D43225"/>
    <w:rsid w:val="00D539F0"/>
    <w:rsid w:val="00D562FF"/>
    <w:rsid w:val="00D64141"/>
    <w:rsid w:val="00D65BEB"/>
    <w:rsid w:val="00D672F5"/>
    <w:rsid w:val="00D97BFD"/>
    <w:rsid w:val="00DA09C4"/>
    <w:rsid w:val="00DB565B"/>
    <w:rsid w:val="00DC6F90"/>
    <w:rsid w:val="00DD2345"/>
    <w:rsid w:val="00DE2515"/>
    <w:rsid w:val="00DF0869"/>
    <w:rsid w:val="00DF3276"/>
    <w:rsid w:val="00E067B5"/>
    <w:rsid w:val="00E15F6F"/>
    <w:rsid w:val="00E260D8"/>
    <w:rsid w:val="00E63A49"/>
    <w:rsid w:val="00E64645"/>
    <w:rsid w:val="00E65BBF"/>
    <w:rsid w:val="00E90DDB"/>
    <w:rsid w:val="00E92B9D"/>
    <w:rsid w:val="00EA578F"/>
    <w:rsid w:val="00EC393B"/>
    <w:rsid w:val="00ED4BB1"/>
    <w:rsid w:val="00ED5EED"/>
    <w:rsid w:val="00EE1B0D"/>
    <w:rsid w:val="00EE4B27"/>
    <w:rsid w:val="00EE510A"/>
    <w:rsid w:val="00EE58D0"/>
    <w:rsid w:val="00F01063"/>
    <w:rsid w:val="00F024DD"/>
    <w:rsid w:val="00F03792"/>
    <w:rsid w:val="00F05E9F"/>
    <w:rsid w:val="00F42E2A"/>
    <w:rsid w:val="00F52906"/>
    <w:rsid w:val="00F541CD"/>
    <w:rsid w:val="00F5499D"/>
    <w:rsid w:val="00F54E1F"/>
    <w:rsid w:val="00F63AF1"/>
    <w:rsid w:val="00F64346"/>
    <w:rsid w:val="00F719B4"/>
    <w:rsid w:val="00F7726B"/>
    <w:rsid w:val="00F84A7E"/>
    <w:rsid w:val="00F86E59"/>
    <w:rsid w:val="00F94972"/>
    <w:rsid w:val="00FA65BD"/>
    <w:rsid w:val="00FC7F37"/>
    <w:rsid w:val="00FD27E3"/>
    <w:rsid w:val="00FD708D"/>
    <w:rsid w:val="00FE69B6"/>
    <w:rsid w:val="00FE6BE1"/>
    <w:rsid w:val="00FF1F29"/>
    <w:rsid w:val="00FF3CF5"/>
    <w:rsid w:val="00FF47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9A998"/>
  <w15:docId w15:val="{818D34E1-345E-4478-A459-E6CD9B3C3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arkisim" w:eastAsiaTheme="minorHAnsi" w:hAnsi="Narkisim" w:cs="Narkisim"/>
        <w:sz w:val="26"/>
        <w:szCs w:val="26"/>
        <w:lang w:val="en-US" w:eastAsia="en-US" w:bidi="he-IL"/>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708"/>
    <w:pPr>
      <w:bidi/>
    </w:pPr>
  </w:style>
  <w:style w:type="paragraph" w:styleId="1">
    <w:name w:val="heading 1"/>
    <w:basedOn w:val="3"/>
    <w:next w:val="a"/>
    <w:link w:val="10"/>
    <w:autoRedefine/>
    <w:uiPriority w:val="9"/>
    <w:qFormat/>
    <w:rsid w:val="00F024DD"/>
    <w:pPr>
      <w:jc w:val="both"/>
      <w:outlineLvl w:val="0"/>
    </w:pPr>
    <w:rPr>
      <w:rFonts w:cs="Guttman Drogolin"/>
      <w:b/>
      <w:bCs/>
      <w:sz w:val="44"/>
      <w:szCs w:val="36"/>
    </w:rPr>
  </w:style>
  <w:style w:type="paragraph" w:styleId="2">
    <w:name w:val="heading 2"/>
    <w:basedOn w:val="a"/>
    <w:next w:val="a"/>
    <w:link w:val="20"/>
    <w:autoRedefine/>
    <w:uiPriority w:val="9"/>
    <w:unhideWhenUsed/>
    <w:qFormat/>
    <w:rsid w:val="00E65BBF"/>
    <w:pPr>
      <w:keepNext/>
      <w:keepLines/>
      <w:spacing w:after="0" w:line="240" w:lineRule="auto"/>
      <w:outlineLvl w:val="1"/>
    </w:pPr>
    <w:rPr>
      <w:rFonts w:cs="EFT_Resisim"/>
      <w:b/>
      <w:bCs/>
      <w:sz w:val="22"/>
      <w:szCs w:val="32"/>
    </w:rPr>
  </w:style>
  <w:style w:type="paragraph" w:styleId="3">
    <w:name w:val="heading 3"/>
    <w:basedOn w:val="2"/>
    <w:next w:val="a"/>
    <w:link w:val="30"/>
    <w:autoRedefine/>
    <w:uiPriority w:val="9"/>
    <w:unhideWhenUsed/>
    <w:qFormat/>
    <w:rsid w:val="00BB38E6"/>
    <w:pPr>
      <w:jc w:val="center"/>
      <w:outlineLvl w:val="2"/>
    </w:pPr>
    <w:rPr>
      <w:rFonts w:asciiTheme="minorHAnsi" w:hAnsiTheme="minorHAnsi"/>
      <w:b w:val="0"/>
      <w:bCs w:val="0"/>
      <w:sz w:val="30"/>
      <w:szCs w:val="30"/>
    </w:rPr>
  </w:style>
  <w:style w:type="paragraph" w:styleId="4">
    <w:name w:val="heading 4"/>
    <w:basedOn w:val="a"/>
    <w:next w:val="a"/>
    <w:link w:val="40"/>
    <w:uiPriority w:val="9"/>
    <w:unhideWhenUsed/>
    <w:qFormat/>
    <w:rsid w:val="001B7E6B"/>
    <w:pPr>
      <w:keepNext/>
      <w:keepLines/>
      <w:spacing w:before="40" w:after="0"/>
      <w:outlineLvl w:val="3"/>
    </w:pPr>
    <w:rPr>
      <w:rFonts w:asciiTheme="majorHAnsi" w:eastAsiaTheme="majorEastAsia" w:hAnsiTheme="majorHAnsi" w:cstheme="majorBidi"/>
      <w:bCs/>
      <w:i/>
      <w:szCs w:val="36"/>
    </w:rPr>
  </w:style>
  <w:style w:type="paragraph" w:styleId="8">
    <w:name w:val="heading 8"/>
    <w:basedOn w:val="a"/>
    <w:next w:val="a"/>
    <w:link w:val="80"/>
    <w:uiPriority w:val="9"/>
    <w:semiHidden/>
    <w:unhideWhenUsed/>
    <w:qFormat/>
    <w:rsid w:val="001B7E6B"/>
    <w:pPr>
      <w:keepNext/>
      <w:keepLines/>
      <w:spacing w:before="40" w:after="0"/>
      <w:outlineLvl w:val="7"/>
    </w:pPr>
    <w:rPr>
      <w:rFonts w:asciiTheme="majorHAnsi" w:eastAsiaTheme="majorEastAsia" w:hAnsiTheme="majorHAnsi" w:cstheme="majorBidi"/>
      <w:color w:val="272727" w:themeColor="text1" w:themeTint="D8"/>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כותרת 3 תו"/>
    <w:basedOn w:val="a0"/>
    <w:link w:val="3"/>
    <w:uiPriority w:val="9"/>
    <w:rsid w:val="00BB38E6"/>
    <w:rPr>
      <w:rFonts w:asciiTheme="minorHAnsi" w:hAnsiTheme="minorHAnsi" w:cs="EFT_Resisim"/>
      <w:sz w:val="30"/>
      <w:szCs w:val="30"/>
    </w:rPr>
  </w:style>
  <w:style w:type="paragraph" w:styleId="a3">
    <w:name w:val="Balloon Text"/>
    <w:basedOn w:val="a"/>
    <w:link w:val="a4"/>
    <w:uiPriority w:val="99"/>
    <w:semiHidden/>
    <w:unhideWhenUsed/>
    <w:rsid w:val="00AC4D92"/>
    <w:pPr>
      <w:spacing w:after="0" w:line="240" w:lineRule="auto"/>
    </w:pPr>
    <w:rPr>
      <w:rFonts w:ascii="Tahoma" w:hAnsi="Tahoma" w:cs="Tahoma"/>
      <w:sz w:val="16"/>
      <w:szCs w:val="16"/>
    </w:rPr>
  </w:style>
  <w:style w:type="character" w:customStyle="1" w:styleId="a4">
    <w:name w:val="טקסט בלונים תו"/>
    <w:basedOn w:val="a0"/>
    <w:link w:val="a3"/>
    <w:uiPriority w:val="99"/>
    <w:semiHidden/>
    <w:rsid w:val="00AC4D92"/>
    <w:rPr>
      <w:rFonts w:ascii="Tahoma" w:hAnsi="Tahoma" w:cs="Tahoma"/>
      <w:sz w:val="16"/>
      <w:szCs w:val="16"/>
    </w:rPr>
  </w:style>
  <w:style w:type="paragraph" w:styleId="a5">
    <w:name w:val="List Paragraph"/>
    <w:basedOn w:val="a"/>
    <w:uiPriority w:val="34"/>
    <w:qFormat/>
    <w:rsid w:val="00053287"/>
    <w:pPr>
      <w:ind w:left="720"/>
      <w:contextualSpacing/>
    </w:pPr>
  </w:style>
  <w:style w:type="paragraph" w:styleId="a6">
    <w:name w:val="header"/>
    <w:basedOn w:val="a"/>
    <w:link w:val="a7"/>
    <w:uiPriority w:val="99"/>
    <w:unhideWhenUsed/>
    <w:rsid w:val="008B4A16"/>
    <w:pPr>
      <w:tabs>
        <w:tab w:val="center" w:pos="4153"/>
        <w:tab w:val="right" w:pos="8306"/>
      </w:tabs>
      <w:spacing w:after="0" w:line="240" w:lineRule="auto"/>
    </w:pPr>
  </w:style>
  <w:style w:type="character" w:customStyle="1" w:styleId="a7">
    <w:name w:val="כותרת עליונה תו"/>
    <w:basedOn w:val="a0"/>
    <w:link w:val="a6"/>
    <w:uiPriority w:val="99"/>
    <w:rsid w:val="008B4A16"/>
  </w:style>
  <w:style w:type="paragraph" w:styleId="a8">
    <w:name w:val="footer"/>
    <w:basedOn w:val="a"/>
    <w:link w:val="a9"/>
    <w:uiPriority w:val="99"/>
    <w:unhideWhenUsed/>
    <w:rsid w:val="008B4A16"/>
    <w:pPr>
      <w:tabs>
        <w:tab w:val="center" w:pos="4153"/>
        <w:tab w:val="right" w:pos="8306"/>
      </w:tabs>
      <w:spacing w:after="0" w:line="240" w:lineRule="auto"/>
    </w:pPr>
  </w:style>
  <w:style w:type="character" w:customStyle="1" w:styleId="a9">
    <w:name w:val="כותרת תחתונה תו"/>
    <w:basedOn w:val="a0"/>
    <w:link w:val="a8"/>
    <w:uiPriority w:val="99"/>
    <w:rsid w:val="008B4A16"/>
  </w:style>
  <w:style w:type="character" w:customStyle="1" w:styleId="10">
    <w:name w:val="כותרת 1 תו"/>
    <w:basedOn w:val="a0"/>
    <w:link w:val="1"/>
    <w:uiPriority w:val="9"/>
    <w:rsid w:val="00F024DD"/>
    <w:rPr>
      <w:rFonts w:asciiTheme="minorHAnsi" w:hAnsiTheme="minorHAnsi" w:cs="Guttman Drogolin"/>
      <w:b/>
      <w:bCs/>
      <w:sz w:val="44"/>
      <w:szCs w:val="36"/>
    </w:rPr>
  </w:style>
  <w:style w:type="character" w:customStyle="1" w:styleId="20">
    <w:name w:val="כותרת 2 תו"/>
    <w:basedOn w:val="a0"/>
    <w:link w:val="2"/>
    <w:uiPriority w:val="9"/>
    <w:rsid w:val="00E65BBF"/>
    <w:rPr>
      <w:rFonts w:cs="EFT_Resisim"/>
      <w:b/>
      <w:bCs/>
      <w:sz w:val="22"/>
      <w:szCs w:val="32"/>
    </w:rPr>
  </w:style>
  <w:style w:type="paragraph" w:styleId="aa">
    <w:name w:val="Title"/>
    <w:basedOn w:val="a"/>
    <w:next w:val="a"/>
    <w:link w:val="ab"/>
    <w:uiPriority w:val="10"/>
    <w:qFormat/>
    <w:rsid w:val="006420C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b">
    <w:name w:val="כותרת טקסט תו"/>
    <w:basedOn w:val="a0"/>
    <w:link w:val="aa"/>
    <w:uiPriority w:val="10"/>
    <w:rsid w:val="006420C9"/>
    <w:rPr>
      <w:rFonts w:asciiTheme="majorHAnsi" w:eastAsiaTheme="majorEastAsia" w:hAnsiTheme="majorHAnsi" w:cstheme="majorBidi"/>
      <w:spacing w:val="-10"/>
      <w:kern w:val="28"/>
      <w:sz w:val="56"/>
      <w:szCs w:val="56"/>
    </w:rPr>
  </w:style>
  <w:style w:type="paragraph" w:styleId="ac">
    <w:name w:val="No Spacing"/>
    <w:uiPriority w:val="1"/>
    <w:qFormat/>
    <w:rsid w:val="00F64346"/>
    <w:pPr>
      <w:bidi/>
      <w:spacing w:after="0" w:line="240" w:lineRule="auto"/>
    </w:pPr>
  </w:style>
  <w:style w:type="character" w:styleId="ad">
    <w:name w:val="page number"/>
    <w:basedOn w:val="a0"/>
    <w:uiPriority w:val="99"/>
    <w:semiHidden/>
    <w:unhideWhenUsed/>
    <w:rsid w:val="00A4422E"/>
  </w:style>
  <w:style w:type="paragraph" w:styleId="ae">
    <w:name w:val="footnote text"/>
    <w:basedOn w:val="a"/>
    <w:link w:val="af"/>
    <w:uiPriority w:val="99"/>
    <w:semiHidden/>
    <w:unhideWhenUsed/>
    <w:rsid w:val="00D3495A"/>
    <w:pPr>
      <w:spacing w:after="0" w:line="240" w:lineRule="auto"/>
    </w:pPr>
    <w:rPr>
      <w:rFonts w:asciiTheme="minorHAnsi" w:hAnsiTheme="minorHAnsi" w:cstheme="minorBidi"/>
      <w:sz w:val="20"/>
      <w:szCs w:val="20"/>
    </w:rPr>
  </w:style>
  <w:style w:type="character" w:customStyle="1" w:styleId="af">
    <w:name w:val="טקסט הערת שוליים תו"/>
    <w:basedOn w:val="a0"/>
    <w:link w:val="ae"/>
    <w:uiPriority w:val="99"/>
    <w:semiHidden/>
    <w:rsid w:val="00D3495A"/>
    <w:rPr>
      <w:rFonts w:asciiTheme="minorHAnsi" w:hAnsiTheme="minorHAnsi" w:cstheme="minorBidi"/>
      <w:sz w:val="20"/>
      <w:szCs w:val="20"/>
    </w:rPr>
  </w:style>
  <w:style w:type="character" w:styleId="af0">
    <w:name w:val="footnote reference"/>
    <w:basedOn w:val="a0"/>
    <w:uiPriority w:val="99"/>
    <w:semiHidden/>
    <w:unhideWhenUsed/>
    <w:rsid w:val="00D3495A"/>
    <w:rPr>
      <w:vertAlign w:val="superscript"/>
    </w:rPr>
  </w:style>
  <w:style w:type="character" w:customStyle="1" w:styleId="80">
    <w:name w:val="כותרת 8 תו"/>
    <w:basedOn w:val="a0"/>
    <w:link w:val="8"/>
    <w:uiPriority w:val="9"/>
    <w:semiHidden/>
    <w:rsid w:val="001B7E6B"/>
    <w:rPr>
      <w:rFonts w:asciiTheme="majorHAnsi" w:eastAsiaTheme="majorEastAsia" w:hAnsiTheme="majorHAnsi" w:cstheme="majorBidi"/>
      <w:color w:val="272727" w:themeColor="text1" w:themeTint="D8"/>
      <w:sz w:val="21"/>
      <w:szCs w:val="28"/>
    </w:rPr>
  </w:style>
  <w:style w:type="character" w:customStyle="1" w:styleId="40">
    <w:name w:val="כותרת 4 תו"/>
    <w:basedOn w:val="a0"/>
    <w:link w:val="4"/>
    <w:uiPriority w:val="9"/>
    <w:rsid w:val="001B7E6B"/>
    <w:rPr>
      <w:rFonts w:asciiTheme="majorHAnsi" w:eastAsiaTheme="majorEastAsia" w:hAnsiTheme="majorHAnsi" w:cstheme="majorBidi"/>
      <w:bCs/>
      <w:i/>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BC08D8AD-5CCB-45BE-A5AB-9FBA9C591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2127</Words>
  <Characters>9042</Characters>
  <Application>Microsoft Office Word</Application>
  <DocSecurity>0</DocSecurity>
  <Lines>164</Lines>
  <Paragraphs>61</Paragraphs>
  <ScaleCrop>false</ScaleCrop>
  <HeadingPairs>
    <vt:vector size="2" baseType="variant">
      <vt:variant>
        <vt:lpstr>שם</vt:lpstr>
      </vt:variant>
      <vt:variant>
        <vt:i4>1</vt:i4>
      </vt:variant>
    </vt:vector>
  </HeadingPairs>
  <TitlesOfParts>
    <vt:vector size="1" baseType="lpstr">
      <vt:lpstr/>
    </vt:vector>
  </TitlesOfParts>
  <Company>Hewlett-Packard</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אליעזר</dc:creator>
  <cp:keywords/>
  <dc:description/>
  <cp:lastModifiedBy>משתמש זה</cp:lastModifiedBy>
  <cp:revision>3</cp:revision>
  <cp:lastPrinted>2025-01-23T20:24:00Z</cp:lastPrinted>
  <dcterms:created xsi:type="dcterms:W3CDTF">2025-02-05T20:28:00Z</dcterms:created>
  <dcterms:modified xsi:type="dcterms:W3CDTF">2025-02-05T20:35:00Z</dcterms:modified>
</cp:coreProperties>
</file>