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7D682" w14:textId="4B1CC387" w:rsidR="000B5A30" w:rsidRPr="00BB1776" w:rsidRDefault="000B5A30" w:rsidP="00BB1776">
      <w:pPr>
        <w:jc w:val="both"/>
        <w:rPr>
          <w:sz w:val="22"/>
          <w:szCs w:val="22"/>
          <w:rtl/>
        </w:rPr>
      </w:pPr>
    </w:p>
    <w:p w14:paraId="287E13E5" w14:textId="1EDCB060" w:rsidR="00BB1776" w:rsidRPr="00BB1776" w:rsidRDefault="00D10D22" w:rsidP="00BB1776">
      <w:pPr>
        <w:jc w:val="both"/>
        <w:rPr>
          <w:sz w:val="22"/>
          <w:szCs w:val="22"/>
          <w:rtl/>
        </w:rPr>
      </w:pPr>
      <w:r w:rsidRPr="00BB1776">
        <w:rPr>
          <w:rFonts w:hint="cs"/>
          <w:sz w:val="22"/>
          <w:szCs w:val="22"/>
          <w:rtl/>
        </w:rPr>
        <w:t>בסייעתא דשמיא</w:t>
      </w:r>
      <w:r w:rsidR="00BB1776">
        <w:rPr>
          <w:rFonts w:hint="cs"/>
          <w:sz w:val="22"/>
          <w:szCs w:val="22"/>
          <w:rtl/>
        </w:rPr>
        <w:t xml:space="preserve">, </w:t>
      </w:r>
      <w:r w:rsidRPr="00B10DB7">
        <w:rPr>
          <w:rFonts w:hint="cs"/>
          <w:sz w:val="22"/>
          <w:szCs w:val="22"/>
          <w:rtl/>
        </w:rPr>
        <w:t xml:space="preserve">הל' חוה"מ, </w:t>
      </w:r>
      <w:r w:rsidR="00B10DB7" w:rsidRPr="00B10DB7">
        <w:rPr>
          <w:rFonts w:hint="cs"/>
          <w:sz w:val="22"/>
          <w:szCs w:val="22"/>
          <w:rtl/>
        </w:rPr>
        <w:t xml:space="preserve">סי' </w:t>
      </w:r>
      <w:r w:rsidRPr="00B10DB7">
        <w:rPr>
          <w:rFonts w:hint="cs"/>
          <w:sz w:val="22"/>
          <w:szCs w:val="22"/>
          <w:rtl/>
        </w:rPr>
        <w:t>תקל"א</w:t>
      </w:r>
      <w:r w:rsidR="00B10DB7">
        <w:rPr>
          <w:rFonts w:hint="cs"/>
          <w:sz w:val="22"/>
          <w:szCs w:val="22"/>
          <w:rtl/>
        </w:rPr>
        <w:t>, שיעור 7</w:t>
      </w:r>
    </w:p>
    <w:p w14:paraId="35DBE4A2" w14:textId="77777777" w:rsidR="00BB1776" w:rsidRPr="00BB1776" w:rsidRDefault="00BB1776" w:rsidP="00BB1776">
      <w:pPr>
        <w:jc w:val="center"/>
        <w:rPr>
          <w:b/>
          <w:bCs/>
          <w:sz w:val="30"/>
          <w:szCs w:val="30"/>
          <w:rtl/>
        </w:rPr>
      </w:pPr>
      <w:r w:rsidRPr="00BB1776">
        <w:rPr>
          <w:rFonts w:hint="cs"/>
          <w:b/>
          <w:bCs/>
          <w:sz w:val="30"/>
          <w:szCs w:val="30"/>
          <w:rtl/>
        </w:rPr>
        <w:t>שיעור מורינו הגר"צ ובר שליט"א</w:t>
      </w:r>
    </w:p>
    <w:p w14:paraId="05541F69" w14:textId="4A9347F9" w:rsidR="00BB1776" w:rsidRPr="00BB1776" w:rsidRDefault="00BB1776" w:rsidP="00BB1776">
      <w:pPr>
        <w:jc w:val="center"/>
        <w:rPr>
          <w:b/>
          <w:bCs/>
          <w:sz w:val="30"/>
          <w:szCs w:val="30"/>
          <w:u w:val="single"/>
          <w:rtl/>
        </w:rPr>
        <w:sectPr w:rsidR="00BB1776" w:rsidRPr="00BB1776" w:rsidSect="00C74196">
          <w:pgSz w:w="11906" w:h="16838"/>
          <w:pgMar w:top="720" w:right="720" w:bottom="720" w:left="720" w:header="708" w:footer="708" w:gutter="0"/>
          <w:cols w:space="708"/>
          <w:bidi/>
          <w:rtlGutter/>
          <w:docGrid w:linePitch="360"/>
        </w:sectPr>
      </w:pPr>
      <w:r w:rsidRPr="00BB1776">
        <w:rPr>
          <w:rFonts w:hint="cs"/>
          <w:b/>
          <w:bCs/>
          <w:sz w:val="30"/>
          <w:szCs w:val="30"/>
          <w:u w:val="single"/>
          <w:rtl/>
        </w:rPr>
        <w:t>בדין גילוח במועד</w:t>
      </w:r>
    </w:p>
    <w:p w14:paraId="2553772F" w14:textId="23542D7E" w:rsidR="00220F8A" w:rsidRPr="00BB1776" w:rsidRDefault="00142914" w:rsidP="00BB1776">
      <w:pPr>
        <w:pStyle w:val="2"/>
        <w:jc w:val="both"/>
        <w:rPr>
          <w:rtl/>
        </w:rPr>
      </w:pPr>
      <w:r w:rsidRPr="00BB1776">
        <w:rPr>
          <w:rFonts w:hint="cs"/>
          <w:rtl/>
        </w:rPr>
        <w:t>איסור גילוח במועד</w:t>
      </w:r>
    </w:p>
    <w:p w14:paraId="6C4D7015" w14:textId="2F9CE379" w:rsidR="00AD29D4" w:rsidRPr="00BB1776" w:rsidRDefault="00142914" w:rsidP="00BB1776">
      <w:pPr>
        <w:jc w:val="both"/>
        <w:rPr>
          <w:sz w:val="22"/>
          <w:szCs w:val="22"/>
          <w:rtl/>
        </w:rPr>
      </w:pPr>
      <w:r w:rsidRPr="00BB1776">
        <w:rPr>
          <w:rFonts w:hint="cs"/>
          <w:sz w:val="22"/>
          <w:szCs w:val="22"/>
          <w:rtl/>
        </w:rPr>
        <w:t xml:space="preserve">מתני' </w:t>
      </w:r>
      <w:r w:rsidRPr="00BB1776">
        <w:rPr>
          <w:rFonts w:hint="cs"/>
          <w:sz w:val="22"/>
          <w:szCs w:val="18"/>
          <w:rtl/>
        </w:rPr>
        <w:t>(יג,ב</w:t>
      </w:r>
      <w:r w:rsidRPr="00BB1776">
        <w:rPr>
          <w:sz w:val="22"/>
          <w:szCs w:val="18"/>
          <w:rtl/>
        </w:rPr>
        <w:t>)</w:t>
      </w:r>
      <w:r w:rsidRPr="00BB1776">
        <w:rPr>
          <w:rFonts w:hint="cs"/>
          <w:sz w:val="22"/>
          <w:szCs w:val="22"/>
          <w:rtl/>
        </w:rPr>
        <w:t xml:space="preserve"> ואלו מגלחין במועד וכו', ובגמ' </w:t>
      </w:r>
      <w:r w:rsidRPr="00BB1776">
        <w:rPr>
          <w:rFonts w:hint="cs"/>
          <w:sz w:val="22"/>
          <w:szCs w:val="18"/>
          <w:rtl/>
        </w:rPr>
        <w:t>(יד,א</w:t>
      </w:r>
      <w:r w:rsidRPr="00BB1776">
        <w:rPr>
          <w:sz w:val="22"/>
          <w:szCs w:val="18"/>
          <w:rtl/>
        </w:rPr>
        <w:t>)</w:t>
      </w:r>
      <w:r w:rsidRPr="00BB1776">
        <w:rPr>
          <w:rFonts w:hint="cs"/>
          <w:sz w:val="22"/>
          <w:szCs w:val="22"/>
          <w:rtl/>
        </w:rPr>
        <w:t xml:space="preserve"> </w:t>
      </w:r>
      <w:r w:rsidR="00AD29D4" w:rsidRPr="00BB1776">
        <w:rPr>
          <w:rFonts w:hint="cs"/>
          <w:sz w:val="22"/>
          <w:szCs w:val="22"/>
          <w:rtl/>
        </w:rPr>
        <w:t>ו</w:t>
      </w:r>
      <w:r w:rsidRPr="00BB1776">
        <w:rPr>
          <w:rFonts w:hint="cs"/>
          <w:sz w:val="22"/>
          <w:szCs w:val="22"/>
          <w:rtl/>
        </w:rPr>
        <w:t>שאר כל אדם מ"ט אסורין וכו'</w:t>
      </w:r>
      <w:r w:rsidR="00AD29D4" w:rsidRPr="00BB1776">
        <w:rPr>
          <w:rFonts w:hint="cs"/>
          <w:sz w:val="22"/>
          <w:szCs w:val="22"/>
          <w:rtl/>
        </w:rPr>
        <w:t xml:space="preserve"> כדי שלא יכנסו לרגל כשהן מנוולין,</w:t>
      </w:r>
      <w:r w:rsidRPr="00BB1776">
        <w:rPr>
          <w:rFonts w:hint="cs"/>
          <w:sz w:val="22"/>
          <w:szCs w:val="22"/>
          <w:rtl/>
        </w:rPr>
        <w:t xml:space="preserve"> ובראשונים דנו למה לא נאסר מצד מלאכה במועד,</w:t>
      </w:r>
      <w:r w:rsidR="00AD29D4" w:rsidRPr="00BB1776">
        <w:rPr>
          <w:rFonts w:hint="cs"/>
          <w:sz w:val="22"/>
          <w:szCs w:val="22"/>
          <w:rtl/>
        </w:rPr>
        <w:t xml:space="preserve"> ועי' בתוס' </w:t>
      </w:r>
      <w:r w:rsidR="00AD29D4" w:rsidRPr="00BB1776">
        <w:rPr>
          <w:rFonts w:hint="cs"/>
          <w:sz w:val="22"/>
          <w:szCs w:val="18"/>
          <w:rtl/>
        </w:rPr>
        <w:t>(ד"ה ושאר</w:t>
      </w:r>
      <w:r w:rsidR="00AD29D4" w:rsidRPr="00BB1776">
        <w:rPr>
          <w:sz w:val="22"/>
          <w:szCs w:val="18"/>
          <w:rtl/>
        </w:rPr>
        <w:t>)</w:t>
      </w:r>
      <w:r w:rsidR="00AD29D4" w:rsidRPr="00BB1776">
        <w:rPr>
          <w:rFonts w:hint="cs"/>
          <w:sz w:val="22"/>
          <w:szCs w:val="22"/>
          <w:rtl/>
        </w:rPr>
        <w:t xml:space="preserve"> דהיה מקום להתיר מלאכה לצורך המועד, א"נ דמאחר שיש בהן יפוי ראוי להתיר לכבוד המועד, ומשמע לפי"ז דגילוח חשיב מעשה הדיוט ולפיכך שרי לצורך המועד, אכן </w:t>
      </w:r>
      <w:r w:rsidR="00220F8A" w:rsidRPr="00BB1776">
        <w:rPr>
          <w:rFonts w:hint="cs"/>
          <w:sz w:val="22"/>
          <w:szCs w:val="22"/>
          <w:rtl/>
        </w:rPr>
        <w:t xml:space="preserve">בריטב"א </w:t>
      </w:r>
      <w:r w:rsidRPr="00BB1776">
        <w:rPr>
          <w:rFonts w:hint="cs"/>
          <w:sz w:val="22"/>
          <w:szCs w:val="18"/>
          <w:rtl/>
        </w:rPr>
        <w:t>(יד,א</w:t>
      </w:r>
      <w:r w:rsidRPr="00BB1776">
        <w:rPr>
          <w:sz w:val="22"/>
          <w:szCs w:val="18"/>
          <w:rtl/>
        </w:rPr>
        <w:t>)</w:t>
      </w:r>
      <w:r w:rsidRPr="00BB1776">
        <w:rPr>
          <w:rFonts w:hint="cs"/>
          <w:sz w:val="22"/>
          <w:szCs w:val="22"/>
          <w:rtl/>
        </w:rPr>
        <w:t xml:space="preserve"> </w:t>
      </w:r>
      <w:r w:rsidR="00AD29D4" w:rsidRPr="00BB1776">
        <w:rPr>
          <w:rFonts w:hint="cs"/>
          <w:sz w:val="22"/>
          <w:szCs w:val="22"/>
          <w:rtl/>
        </w:rPr>
        <w:t>נקט דגילוח חשיב מעשה אומן ומ"מ שרי לפי שהוא צורכי הגוף ודמי לאוכל נפש שהותר אפי' מעשה אומן ובלא שינוי.</w:t>
      </w:r>
    </w:p>
    <w:p w14:paraId="79971D2D" w14:textId="337B5216" w:rsidR="00575BB7" w:rsidRPr="00BB1776" w:rsidRDefault="00AD29D4" w:rsidP="00BB1776">
      <w:pPr>
        <w:jc w:val="both"/>
        <w:rPr>
          <w:sz w:val="22"/>
          <w:szCs w:val="22"/>
        </w:rPr>
      </w:pPr>
      <w:r w:rsidRPr="00BB1776">
        <w:rPr>
          <w:rFonts w:hint="cs"/>
          <w:sz w:val="22"/>
          <w:szCs w:val="22"/>
          <w:rtl/>
        </w:rPr>
        <w:t xml:space="preserve">ובמ"ב </w:t>
      </w:r>
      <w:r w:rsidRPr="00BB1776">
        <w:rPr>
          <w:rFonts w:hint="cs"/>
          <w:sz w:val="22"/>
          <w:szCs w:val="18"/>
          <w:rtl/>
        </w:rPr>
        <w:t>(תקלא,ג, ובשעה"צ ד</w:t>
      </w:r>
      <w:r w:rsidRPr="00BB1776">
        <w:rPr>
          <w:sz w:val="22"/>
          <w:szCs w:val="18"/>
          <w:rtl/>
        </w:rPr>
        <w:t>)</w:t>
      </w:r>
      <w:r w:rsidRPr="00BB1776">
        <w:rPr>
          <w:rFonts w:hint="cs"/>
          <w:sz w:val="22"/>
          <w:szCs w:val="22"/>
          <w:rtl/>
        </w:rPr>
        <w:t xml:space="preserve"> העתיק ל' הריטב"א דספור וגילוח הוא דבר של יפוי ותקון הגוף שהוא צורך המועד,</w:t>
      </w:r>
      <w:r w:rsidR="004066D7" w:rsidRPr="00BB1776">
        <w:rPr>
          <w:rFonts w:hint="cs"/>
          <w:sz w:val="22"/>
          <w:szCs w:val="22"/>
          <w:rtl/>
        </w:rPr>
        <w:t xml:space="preserve"> וכעי"ז כתב </w:t>
      </w:r>
      <w:r w:rsidR="004066D7" w:rsidRPr="00BB1776">
        <w:rPr>
          <w:rFonts w:hint="cs"/>
          <w:sz w:val="22"/>
          <w:szCs w:val="18"/>
          <w:rtl/>
        </w:rPr>
        <w:t>(שעה"צ, טו</w:t>
      </w:r>
      <w:r w:rsidR="004066D7" w:rsidRPr="00BB1776">
        <w:rPr>
          <w:sz w:val="22"/>
          <w:szCs w:val="18"/>
          <w:rtl/>
        </w:rPr>
        <w:t>)</w:t>
      </w:r>
      <w:r w:rsidR="004066D7" w:rsidRPr="00BB1776">
        <w:rPr>
          <w:rFonts w:hint="cs"/>
          <w:sz w:val="22"/>
          <w:szCs w:val="22"/>
          <w:rtl/>
        </w:rPr>
        <w:t xml:space="preserve"> לגבי היתר גילוח השפה,</w:t>
      </w:r>
      <w:r w:rsidRPr="00BB1776">
        <w:rPr>
          <w:rFonts w:hint="cs"/>
          <w:sz w:val="22"/>
          <w:szCs w:val="22"/>
          <w:rtl/>
        </w:rPr>
        <w:t xml:space="preserve"> ומ"מ נתקשה </w:t>
      </w:r>
      <w:r w:rsidRPr="00BB1776">
        <w:rPr>
          <w:rFonts w:hint="cs"/>
          <w:sz w:val="22"/>
          <w:szCs w:val="18"/>
          <w:rtl/>
        </w:rPr>
        <w:t>(בביה"ל, סעי' ד'</w:t>
      </w:r>
      <w:r w:rsidRPr="00BB1776">
        <w:rPr>
          <w:sz w:val="22"/>
          <w:szCs w:val="18"/>
          <w:rtl/>
        </w:rPr>
        <w:t>)</w:t>
      </w:r>
      <w:r w:rsidRPr="00BB1776">
        <w:rPr>
          <w:rFonts w:hint="cs"/>
          <w:sz w:val="22"/>
          <w:szCs w:val="22"/>
          <w:rtl/>
        </w:rPr>
        <w:t xml:space="preserve"> אמאי התירו להנך אונסין לגלח במועד כדרכן ולא הצריכום לשנות אף שאי"ז אוכל נפש, ונדחק 'ואולי מפני שהיו עד כה אנוסים בדבר עשאום חז"ל כדבר האבד דקמ"ל בדבר האבד א"צ שינוי, ועדיין צ"ע', עיי"ש, וצ"ע למה השמיט את תי' הריטב"א דבצורכי הגוף חשיב כאוכ"נ שהותר אף אומן כדרכו, </w:t>
      </w:r>
      <w:r w:rsidR="00575BB7" w:rsidRPr="00BB1776">
        <w:rPr>
          <w:rFonts w:hint="cs"/>
          <w:sz w:val="22"/>
          <w:szCs w:val="22"/>
          <w:rtl/>
        </w:rPr>
        <w:t xml:space="preserve">וכמו שהביא </w:t>
      </w:r>
      <w:r w:rsidRPr="00BB1776">
        <w:rPr>
          <w:rFonts w:hint="cs"/>
          <w:sz w:val="22"/>
          <w:szCs w:val="22"/>
          <w:rtl/>
        </w:rPr>
        <w:t xml:space="preserve">להלן </w:t>
      </w:r>
      <w:r w:rsidRPr="00BB1776">
        <w:rPr>
          <w:rFonts w:hint="cs"/>
          <w:sz w:val="22"/>
          <w:szCs w:val="18"/>
          <w:rtl/>
        </w:rPr>
        <w:t>(תקמו,ה ד"ה כל תכשיטיה</w:t>
      </w:r>
      <w:r w:rsidRPr="00BB1776">
        <w:rPr>
          <w:sz w:val="22"/>
          <w:szCs w:val="18"/>
          <w:rtl/>
        </w:rPr>
        <w:t>)</w:t>
      </w:r>
      <w:r w:rsidR="00575BB7" w:rsidRPr="00BB1776">
        <w:rPr>
          <w:rFonts w:hint="cs"/>
          <w:sz w:val="22"/>
          <w:szCs w:val="22"/>
          <w:rtl/>
        </w:rPr>
        <w:t xml:space="preserve"> בשם הריטב"א דמשו"ה עושה אישה כל תכשיטיה במועד שזה צורך הגוף וכעין אוכל נפש, וצ"ע.</w:t>
      </w:r>
    </w:p>
    <w:p w14:paraId="6EF2B355" w14:textId="3264A928" w:rsidR="00575BB7" w:rsidRPr="00BB1776" w:rsidRDefault="00575BB7" w:rsidP="00BB1776">
      <w:pPr>
        <w:pStyle w:val="3"/>
        <w:jc w:val="both"/>
        <w:rPr>
          <w:rtl/>
        </w:rPr>
      </w:pPr>
      <w:r w:rsidRPr="00BB1776">
        <w:rPr>
          <w:rFonts w:hint="cs"/>
          <w:rtl/>
        </w:rPr>
        <w:t>גילוח שער ראשו ושאר שערות הגוף</w:t>
      </w:r>
    </w:p>
    <w:p w14:paraId="41FB3E62" w14:textId="64E3748D" w:rsidR="00575BB7" w:rsidRPr="00BB1776" w:rsidRDefault="00575BB7" w:rsidP="00BB1776">
      <w:pPr>
        <w:jc w:val="both"/>
        <w:rPr>
          <w:sz w:val="22"/>
          <w:szCs w:val="22"/>
          <w:rtl/>
        </w:rPr>
      </w:pPr>
      <w:r w:rsidRPr="00BB1776">
        <w:rPr>
          <w:rFonts w:hint="cs"/>
          <w:sz w:val="22"/>
          <w:szCs w:val="22"/>
          <w:rtl/>
        </w:rPr>
        <w:t xml:space="preserve">בתוס' </w:t>
      </w:r>
      <w:r w:rsidRPr="00BB1776">
        <w:rPr>
          <w:rFonts w:hint="cs"/>
          <w:sz w:val="22"/>
          <w:szCs w:val="18"/>
          <w:rtl/>
        </w:rPr>
        <w:t>(שם</w:t>
      </w:r>
      <w:r w:rsidRPr="00BB1776">
        <w:rPr>
          <w:sz w:val="22"/>
          <w:szCs w:val="18"/>
          <w:rtl/>
        </w:rPr>
        <w:t>)</w:t>
      </w:r>
      <w:r w:rsidRPr="00BB1776">
        <w:rPr>
          <w:rFonts w:hint="cs"/>
          <w:sz w:val="22"/>
          <w:szCs w:val="22"/>
          <w:rtl/>
        </w:rPr>
        <w:t xml:space="preserve"> נסתפקו אי גילוח הראש ג"כ בכלל הגזירה לפי שאי"ז ניוול כ"כ כשלא מסתפר קודם המועד, ועיי"ש שצידדו עוד דאפשר שגילוח הראש אי"ז צורך המועד ויש לאוסרו מצד מלאכה במועד, עיי"ש, ובגמ' </w:t>
      </w:r>
      <w:r w:rsidRPr="00BB1776">
        <w:rPr>
          <w:sz w:val="22"/>
          <w:szCs w:val="18"/>
          <w:rtl/>
        </w:rPr>
        <w:t>(</w:t>
      </w:r>
      <w:r w:rsidRPr="00BB1776">
        <w:rPr>
          <w:rFonts w:hint="cs"/>
          <w:sz w:val="22"/>
          <w:szCs w:val="18"/>
          <w:rtl/>
        </w:rPr>
        <w:t>להלן</w:t>
      </w:r>
      <w:r w:rsidRPr="00BB1776">
        <w:rPr>
          <w:sz w:val="22"/>
          <w:szCs w:val="18"/>
          <w:rtl/>
        </w:rPr>
        <w:t>)</w:t>
      </w:r>
      <w:r w:rsidRPr="00BB1776">
        <w:rPr>
          <w:rFonts w:hint="cs"/>
          <w:sz w:val="22"/>
          <w:szCs w:val="22"/>
          <w:rtl/>
        </w:rPr>
        <w:t xml:space="preserve"> נסתפקו לגבי גילוח קטן במועד אי הוא בכלל הגזירה, ומשמע דא</w:t>
      </w:r>
      <w:r w:rsidR="00C74196" w:rsidRPr="00BB1776">
        <w:rPr>
          <w:rFonts w:hint="cs"/>
          <w:sz w:val="22"/>
          <w:szCs w:val="22"/>
          <w:rtl/>
        </w:rPr>
        <w:t>יירי ב</w:t>
      </w:r>
      <w:r w:rsidRPr="00BB1776">
        <w:rPr>
          <w:rFonts w:hint="cs"/>
          <w:sz w:val="22"/>
          <w:szCs w:val="22"/>
          <w:rtl/>
        </w:rPr>
        <w:t xml:space="preserve">גילוח הראש </w:t>
      </w:r>
      <w:r w:rsidR="00C74196" w:rsidRPr="00BB1776">
        <w:rPr>
          <w:rFonts w:hint="cs"/>
          <w:sz w:val="22"/>
          <w:szCs w:val="18"/>
          <w:rtl/>
        </w:rPr>
        <w:t>(דלקטן אין זקן, וכ"ה ברש"י שם</w:t>
      </w:r>
      <w:r w:rsidR="00C74196" w:rsidRPr="00BB1776">
        <w:rPr>
          <w:sz w:val="22"/>
          <w:szCs w:val="18"/>
          <w:rtl/>
        </w:rPr>
        <w:t>)</w:t>
      </w:r>
      <w:r w:rsidR="00C74196" w:rsidRPr="00BB1776">
        <w:rPr>
          <w:rFonts w:hint="cs"/>
          <w:sz w:val="22"/>
          <w:szCs w:val="22"/>
          <w:rtl/>
        </w:rPr>
        <w:t xml:space="preserve"> ומבואר ד</w:t>
      </w:r>
      <w:r w:rsidRPr="00BB1776">
        <w:rPr>
          <w:rFonts w:hint="cs"/>
          <w:sz w:val="22"/>
          <w:szCs w:val="22"/>
          <w:rtl/>
        </w:rPr>
        <w:t>נאסר</w:t>
      </w:r>
      <w:r w:rsidR="00C74196" w:rsidRPr="00BB1776">
        <w:rPr>
          <w:rFonts w:hint="cs"/>
          <w:sz w:val="22"/>
          <w:szCs w:val="22"/>
          <w:rtl/>
        </w:rPr>
        <w:t xml:space="preserve"> רק</w:t>
      </w:r>
      <w:r w:rsidRPr="00BB1776">
        <w:rPr>
          <w:rFonts w:hint="cs"/>
          <w:sz w:val="22"/>
          <w:szCs w:val="22"/>
          <w:rtl/>
        </w:rPr>
        <w:t xml:space="preserve"> מטעם גזירה</w:t>
      </w:r>
      <w:r w:rsidR="00C74196" w:rsidRPr="00BB1776">
        <w:rPr>
          <w:rFonts w:hint="cs"/>
          <w:sz w:val="22"/>
          <w:szCs w:val="22"/>
          <w:rtl/>
        </w:rPr>
        <w:t>,</w:t>
      </w:r>
      <w:r w:rsidRPr="00BB1776">
        <w:rPr>
          <w:rFonts w:hint="cs"/>
          <w:sz w:val="22"/>
          <w:szCs w:val="22"/>
          <w:rtl/>
        </w:rPr>
        <w:t xml:space="preserve"> וכן </w:t>
      </w:r>
      <w:r w:rsidR="00C74196" w:rsidRPr="00BB1776">
        <w:rPr>
          <w:rFonts w:hint="cs"/>
          <w:sz w:val="22"/>
          <w:szCs w:val="22"/>
          <w:rtl/>
        </w:rPr>
        <w:t>פש</w:t>
      </w:r>
      <w:r w:rsidRPr="00BB1776">
        <w:rPr>
          <w:rFonts w:hint="cs"/>
          <w:sz w:val="22"/>
          <w:szCs w:val="22"/>
          <w:rtl/>
        </w:rPr>
        <w:t xml:space="preserve">וט לדינא דשערות הראש הן בכלל הגזירה, ועי' במ"ב </w:t>
      </w:r>
      <w:r w:rsidRPr="00BB1776">
        <w:rPr>
          <w:rFonts w:hint="cs"/>
          <w:sz w:val="22"/>
          <w:szCs w:val="18"/>
          <w:rtl/>
        </w:rPr>
        <w:t>(ג</w:t>
      </w:r>
      <w:r w:rsidRPr="00BB1776">
        <w:rPr>
          <w:sz w:val="22"/>
          <w:szCs w:val="18"/>
          <w:rtl/>
        </w:rPr>
        <w:t>)</w:t>
      </w:r>
      <w:r w:rsidRPr="00BB1776">
        <w:rPr>
          <w:rFonts w:hint="cs"/>
          <w:sz w:val="22"/>
          <w:szCs w:val="22"/>
          <w:rtl/>
        </w:rPr>
        <w:t xml:space="preserve"> דפשוט דהיינו בין בגילוח הראש בתער ובין במספרים.</w:t>
      </w:r>
    </w:p>
    <w:p w14:paraId="17C8522C" w14:textId="6693AF3F" w:rsidR="00220F8A" w:rsidRDefault="00575BB7" w:rsidP="00BB1776">
      <w:pPr>
        <w:jc w:val="both"/>
        <w:rPr>
          <w:sz w:val="22"/>
          <w:szCs w:val="22"/>
          <w:rtl/>
        </w:rPr>
      </w:pPr>
      <w:r w:rsidRPr="00BB1776">
        <w:rPr>
          <w:rFonts w:hint="cs"/>
          <w:sz w:val="22"/>
          <w:szCs w:val="22"/>
          <w:rtl/>
        </w:rPr>
        <w:t xml:space="preserve">ובשאר שערות הגוף, </w:t>
      </w:r>
      <w:r w:rsidR="00B33AD6" w:rsidRPr="00BB1776">
        <w:rPr>
          <w:rFonts w:hint="cs"/>
          <w:sz w:val="22"/>
          <w:szCs w:val="22"/>
          <w:rtl/>
        </w:rPr>
        <w:t xml:space="preserve">עי' מג"א </w:t>
      </w:r>
      <w:r w:rsidR="00B33AD6" w:rsidRPr="00BB1776">
        <w:rPr>
          <w:rFonts w:hint="cs"/>
          <w:sz w:val="22"/>
          <w:szCs w:val="18"/>
          <w:rtl/>
        </w:rPr>
        <w:t>(יב</w:t>
      </w:r>
      <w:r w:rsidR="00B33AD6" w:rsidRPr="00BB1776">
        <w:rPr>
          <w:sz w:val="22"/>
          <w:szCs w:val="18"/>
          <w:rtl/>
        </w:rPr>
        <w:t>)</w:t>
      </w:r>
      <w:r w:rsidR="00B33AD6" w:rsidRPr="00BB1776">
        <w:rPr>
          <w:rFonts w:hint="cs"/>
          <w:sz w:val="22"/>
          <w:szCs w:val="22"/>
          <w:rtl/>
        </w:rPr>
        <w:t xml:space="preserve"> </w:t>
      </w:r>
      <w:r w:rsidR="00A37ADF" w:rsidRPr="00BB1776">
        <w:rPr>
          <w:rFonts w:hint="cs"/>
          <w:sz w:val="22"/>
          <w:szCs w:val="22"/>
          <w:rtl/>
        </w:rPr>
        <w:t>שהביא מ</w:t>
      </w:r>
      <w:r w:rsidR="00B33AD6" w:rsidRPr="00BB1776">
        <w:rPr>
          <w:rFonts w:hint="cs"/>
          <w:sz w:val="22"/>
          <w:szCs w:val="22"/>
          <w:rtl/>
        </w:rPr>
        <w:t>ליקוטי פרדס דהסרת שיער לצורך הקזת דם מותר משום פיקו"נ, ודייק דמשמע דבמכה בעלמא אסור להסיר השיער לצורך הדבקת הרטיה, ונתקשה מ"ש מגילוח השפה דמותר</w:t>
      </w:r>
      <w:r w:rsidR="00A37ADF" w:rsidRPr="00BB1776">
        <w:rPr>
          <w:rFonts w:hint="cs"/>
          <w:sz w:val="22"/>
          <w:szCs w:val="22"/>
          <w:rtl/>
        </w:rPr>
        <w:t xml:space="preserve"> </w:t>
      </w:r>
      <w:r w:rsidR="00A37ADF" w:rsidRPr="00BB1776">
        <w:rPr>
          <w:rFonts w:hint="cs"/>
          <w:sz w:val="22"/>
          <w:szCs w:val="18"/>
          <w:rtl/>
        </w:rPr>
        <w:t>(סעי' ח'</w:t>
      </w:r>
      <w:r w:rsidR="00A37ADF" w:rsidRPr="00BB1776">
        <w:rPr>
          <w:sz w:val="22"/>
          <w:szCs w:val="18"/>
          <w:rtl/>
        </w:rPr>
        <w:t>)</w:t>
      </w:r>
      <w:r w:rsidR="00B33AD6" w:rsidRPr="00BB1776">
        <w:rPr>
          <w:rFonts w:hint="cs"/>
          <w:sz w:val="22"/>
          <w:szCs w:val="22"/>
          <w:rtl/>
        </w:rPr>
        <w:t>, ופי' ד</w:t>
      </w:r>
      <w:r w:rsidR="00A37ADF" w:rsidRPr="00BB1776">
        <w:rPr>
          <w:rFonts w:hint="cs"/>
          <w:sz w:val="22"/>
          <w:szCs w:val="22"/>
          <w:rtl/>
        </w:rPr>
        <w:t xml:space="preserve">הפרדס </w:t>
      </w:r>
      <w:r w:rsidR="00B33AD6" w:rsidRPr="00BB1776">
        <w:rPr>
          <w:rFonts w:hint="cs"/>
          <w:sz w:val="22"/>
          <w:szCs w:val="22"/>
          <w:rtl/>
        </w:rPr>
        <w:t>ס"ל ד</w:t>
      </w:r>
      <w:r w:rsidR="00A37ADF" w:rsidRPr="00BB1776">
        <w:rPr>
          <w:rFonts w:hint="cs"/>
          <w:sz w:val="22"/>
          <w:szCs w:val="22"/>
          <w:rtl/>
        </w:rPr>
        <w:t>הותר לגלח רק שפה ה</w:t>
      </w:r>
      <w:r w:rsidR="00B33AD6" w:rsidRPr="00BB1776">
        <w:rPr>
          <w:rFonts w:hint="cs"/>
          <w:sz w:val="22"/>
          <w:szCs w:val="22"/>
          <w:rtl/>
        </w:rPr>
        <w:t>מעכבת אכילה,</w:t>
      </w:r>
      <w:r w:rsidR="00A37ADF" w:rsidRPr="00BB1776">
        <w:rPr>
          <w:rFonts w:hint="cs"/>
          <w:sz w:val="22"/>
          <w:szCs w:val="22"/>
          <w:rtl/>
        </w:rPr>
        <w:t xml:space="preserve"> אך שאר גילוח אסור וה"ה גילוח לצורך רטיה</w:t>
      </w:r>
      <w:r w:rsidR="00C74196" w:rsidRPr="00BB1776">
        <w:rPr>
          <w:rFonts w:hint="cs"/>
          <w:sz w:val="22"/>
          <w:szCs w:val="22"/>
          <w:rtl/>
        </w:rPr>
        <w:t xml:space="preserve"> </w:t>
      </w:r>
      <w:r w:rsidR="00C74196" w:rsidRPr="00BB1776">
        <w:rPr>
          <w:rFonts w:hint="cs"/>
          <w:sz w:val="22"/>
          <w:szCs w:val="18"/>
          <w:rtl/>
        </w:rPr>
        <w:t>(זולת להקזה, ומצד פיקו"נ</w:t>
      </w:r>
      <w:r w:rsidR="00C74196" w:rsidRPr="00BB1776">
        <w:rPr>
          <w:sz w:val="22"/>
          <w:szCs w:val="18"/>
          <w:rtl/>
        </w:rPr>
        <w:t>)</w:t>
      </w:r>
      <w:r w:rsidR="00A37ADF" w:rsidRPr="00BB1776">
        <w:rPr>
          <w:rFonts w:hint="cs"/>
          <w:sz w:val="22"/>
          <w:szCs w:val="22"/>
          <w:rtl/>
        </w:rPr>
        <w:t xml:space="preserve">, </w:t>
      </w:r>
      <w:r w:rsidR="00B33AD6" w:rsidRPr="00BB1776">
        <w:rPr>
          <w:rFonts w:hint="cs"/>
          <w:sz w:val="22"/>
          <w:szCs w:val="22"/>
          <w:rtl/>
        </w:rPr>
        <w:t xml:space="preserve">אך לדידן דקימ"ל דמותר </w:t>
      </w:r>
      <w:r w:rsidR="00A37ADF" w:rsidRPr="00BB1776">
        <w:rPr>
          <w:rFonts w:hint="cs"/>
          <w:sz w:val="22"/>
          <w:szCs w:val="22"/>
          <w:rtl/>
        </w:rPr>
        <w:t xml:space="preserve">לגלח שפה </w:t>
      </w:r>
      <w:r w:rsidR="00B33AD6" w:rsidRPr="00BB1776">
        <w:rPr>
          <w:rFonts w:hint="cs"/>
          <w:sz w:val="22"/>
          <w:szCs w:val="22"/>
          <w:rtl/>
        </w:rPr>
        <w:t>בכל גווני</w:t>
      </w:r>
      <w:r w:rsidR="00A37ADF" w:rsidRPr="00BB1776">
        <w:rPr>
          <w:rFonts w:hint="cs"/>
          <w:sz w:val="22"/>
          <w:szCs w:val="22"/>
          <w:rtl/>
        </w:rPr>
        <w:t xml:space="preserve"> ואפי' כשאין מעכבת אכילה כ"ש שיש להתיר גילוח לצורך מכה, וסיים דכן משמע סוסי' תקמו, ופי' במחצית </w:t>
      </w:r>
      <w:r w:rsidR="00A37ADF" w:rsidRPr="00BB1776">
        <w:rPr>
          <w:sz w:val="22"/>
          <w:szCs w:val="18"/>
          <w:rtl/>
        </w:rPr>
        <w:t>(</w:t>
      </w:r>
      <w:r w:rsidR="00A37ADF" w:rsidRPr="00BB1776">
        <w:rPr>
          <w:rFonts w:hint="cs"/>
          <w:sz w:val="22"/>
          <w:szCs w:val="18"/>
          <w:rtl/>
        </w:rPr>
        <w:t>שם</w:t>
      </w:r>
      <w:r w:rsidR="00A37ADF" w:rsidRPr="00BB1776">
        <w:rPr>
          <w:sz w:val="22"/>
          <w:szCs w:val="18"/>
          <w:rtl/>
        </w:rPr>
        <w:t>)</w:t>
      </w:r>
      <w:r w:rsidR="00A37ADF" w:rsidRPr="00BB1776">
        <w:rPr>
          <w:rFonts w:hint="cs"/>
          <w:sz w:val="22"/>
          <w:szCs w:val="22"/>
          <w:rtl/>
        </w:rPr>
        <w:t xml:space="preserve"> ו</w:t>
      </w:r>
      <w:r w:rsidR="00B33AD6" w:rsidRPr="00BB1776">
        <w:rPr>
          <w:rFonts w:hint="cs"/>
          <w:sz w:val="22"/>
          <w:szCs w:val="22"/>
          <w:rtl/>
        </w:rPr>
        <w:t xml:space="preserve">בשעה"צ </w:t>
      </w:r>
      <w:r w:rsidR="00B33AD6" w:rsidRPr="00BB1776">
        <w:rPr>
          <w:rFonts w:hint="cs"/>
          <w:sz w:val="22"/>
          <w:szCs w:val="18"/>
          <w:rtl/>
        </w:rPr>
        <w:t>(טו</w:t>
      </w:r>
      <w:r w:rsidR="00B33AD6" w:rsidRPr="00BB1776">
        <w:rPr>
          <w:sz w:val="22"/>
          <w:szCs w:val="18"/>
          <w:rtl/>
        </w:rPr>
        <w:t>)</w:t>
      </w:r>
      <w:r w:rsidR="00B33AD6" w:rsidRPr="00BB1776">
        <w:rPr>
          <w:rFonts w:hint="cs"/>
          <w:sz w:val="22"/>
          <w:szCs w:val="22"/>
          <w:rtl/>
        </w:rPr>
        <w:t xml:space="preserve"> דכוונתו </w:t>
      </w:r>
      <w:r w:rsidR="00A37ADF" w:rsidRPr="00BB1776">
        <w:rPr>
          <w:rFonts w:hint="cs"/>
          <w:sz w:val="22"/>
          <w:szCs w:val="22"/>
          <w:rtl/>
        </w:rPr>
        <w:t xml:space="preserve">לדייק </w:t>
      </w:r>
      <w:r w:rsidR="00C74196" w:rsidRPr="00BB1776">
        <w:rPr>
          <w:rFonts w:hint="cs"/>
          <w:sz w:val="22"/>
          <w:szCs w:val="22"/>
          <w:rtl/>
        </w:rPr>
        <w:t xml:space="preserve">מהא דהתירו לאישה להעביר שער בית השחי וביה"ע במועד </w:t>
      </w:r>
      <w:r w:rsidR="00B33AD6" w:rsidRPr="00BB1776">
        <w:rPr>
          <w:rFonts w:hint="cs"/>
          <w:sz w:val="22"/>
          <w:szCs w:val="22"/>
          <w:rtl/>
        </w:rPr>
        <w:t xml:space="preserve">דגזרו רק </w:t>
      </w:r>
      <w:r w:rsidR="00C74196" w:rsidRPr="00BB1776">
        <w:rPr>
          <w:rFonts w:hint="cs"/>
          <w:sz w:val="22"/>
          <w:szCs w:val="22"/>
          <w:rtl/>
        </w:rPr>
        <w:t xml:space="preserve">על </w:t>
      </w:r>
      <w:r w:rsidR="00B33AD6" w:rsidRPr="00BB1776">
        <w:rPr>
          <w:rFonts w:hint="cs"/>
          <w:sz w:val="22"/>
          <w:szCs w:val="22"/>
          <w:rtl/>
        </w:rPr>
        <w:t xml:space="preserve">שער הראש והזקן </w:t>
      </w:r>
      <w:r w:rsidR="00A37ADF" w:rsidRPr="00BB1776">
        <w:rPr>
          <w:rFonts w:hint="cs"/>
          <w:sz w:val="22"/>
          <w:szCs w:val="22"/>
          <w:rtl/>
        </w:rPr>
        <w:t>ו</w:t>
      </w:r>
      <w:r w:rsidR="00B33AD6" w:rsidRPr="00BB1776">
        <w:rPr>
          <w:rFonts w:hint="cs"/>
          <w:sz w:val="22"/>
          <w:szCs w:val="22"/>
          <w:rtl/>
        </w:rPr>
        <w:t>לא בשאר שער הגוף</w:t>
      </w:r>
      <w:r w:rsidR="000668E5" w:rsidRPr="00BB1776">
        <w:rPr>
          <w:rStyle w:val="af0"/>
          <w:sz w:val="22"/>
          <w:szCs w:val="22"/>
          <w:rtl/>
        </w:rPr>
        <w:footnoteReference w:id="1"/>
      </w:r>
      <w:r w:rsidR="00A37ADF" w:rsidRPr="00BB1776">
        <w:rPr>
          <w:rFonts w:hint="cs"/>
          <w:sz w:val="22"/>
          <w:szCs w:val="22"/>
          <w:rtl/>
        </w:rPr>
        <w:t>, ועיי"ש בשעה"צ שהניח בצע"ק.</w:t>
      </w:r>
    </w:p>
    <w:p w14:paraId="727E6211" w14:textId="5A840F7D" w:rsidR="004A3D89" w:rsidRPr="004A3D89" w:rsidRDefault="004A3D89" w:rsidP="00BB1776">
      <w:pPr>
        <w:jc w:val="both"/>
        <w:rPr>
          <w:sz w:val="22"/>
          <w:szCs w:val="22"/>
          <w:rtl/>
        </w:rPr>
      </w:pPr>
      <w:r>
        <w:rPr>
          <w:rFonts w:hint="cs"/>
          <w:sz w:val="22"/>
          <w:szCs w:val="22"/>
          <w:rtl/>
        </w:rPr>
        <w:t xml:space="preserve">ובביה"ל </w:t>
      </w:r>
      <w:r w:rsidRPr="004A3D89">
        <w:rPr>
          <w:rFonts w:hint="cs"/>
          <w:sz w:val="22"/>
          <w:szCs w:val="18"/>
          <w:rtl/>
        </w:rPr>
        <w:t>(ד"ה כל</w:t>
      </w:r>
      <w:r w:rsidRPr="004A3D89">
        <w:rPr>
          <w:sz w:val="22"/>
          <w:szCs w:val="18"/>
          <w:rtl/>
        </w:rPr>
        <w:t>)</w:t>
      </w:r>
      <w:r>
        <w:rPr>
          <w:rFonts w:hint="cs"/>
          <w:sz w:val="22"/>
          <w:szCs w:val="22"/>
          <w:rtl/>
        </w:rPr>
        <w:t xml:space="preserve"> צידד דאף דעת הליקוטי פרדס כמג"א דנאסר רק בגילוח הראש, אלא דהוא מיירי בקע"פ זעצין, והיינו הקזה שבראש, ולצורך זה צריך לגלח ראשו מעיקרא, ובעי' להתירא דפיקו"נ דוקא, אך בשאר הקזות שבגוף מודה דשרי אף בלא פיקו"נ.</w:t>
      </w:r>
    </w:p>
    <w:p w14:paraId="4DF568FF" w14:textId="6A0FC9CF" w:rsidR="00142914" w:rsidRPr="00BB1776" w:rsidRDefault="00142914" w:rsidP="00BB1776">
      <w:pPr>
        <w:pStyle w:val="3"/>
        <w:jc w:val="both"/>
        <w:rPr>
          <w:rtl/>
        </w:rPr>
      </w:pPr>
      <w:r w:rsidRPr="00BB1776">
        <w:rPr>
          <w:rFonts w:hint="cs"/>
          <w:rtl/>
        </w:rPr>
        <w:t>גילוח לרפואה</w:t>
      </w:r>
    </w:p>
    <w:p w14:paraId="12298D72" w14:textId="3C45C29C" w:rsidR="004066D7" w:rsidRPr="00BB1776" w:rsidRDefault="00C74196" w:rsidP="00BB1776">
      <w:pPr>
        <w:jc w:val="both"/>
        <w:rPr>
          <w:sz w:val="22"/>
          <w:szCs w:val="22"/>
          <w:rtl/>
        </w:rPr>
      </w:pPr>
      <w:r w:rsidRPr="00BB1776">
        <w:rPr>
          <w:rFonts w:hint="cs"/>
          <w:sz w:val="22"/>
          <w:szCs w:val="22"/>
          <w:rtl/>
        </w:rPr>
        <w:t>ו</w:t>
      </w:r>
      <w:r w:rsidR="004066D7" w:rsidRPr="00BB1776">
        <w:rPr>
          <w:rFonts w:hint="cs"/>
          <w:sz w:val="22"/>
          <w:szCs w:val="22"/>
          <w:rtl/>
        </w:rPr>
        <w:t xml:space="preserve">בחי"א </w:t>
      </w:r>
      <w:r w:rsidR="004066D7" w:rsidRPr="00BB1776">
        <w:rPr>
          <w:rFonts w:hint="cs"/>
          <w:sz w:val="22"/>
          <w:szCs w:val="18"/>
          <w:rtl/>
        </w:rPr>
        <w:t>(קט,ד</w:t>
      </w:r>
      <w:r w:rsidR="004066D7" w:rsidRPr="00BB1776">
        <w:rPr>
          <w:sz w:val="22"/>
          <w:szCs w:val="18"/>
          <w:rtl/>
        </w:rPr>
        <w:t>)</w:t>
      </w:r>
      <w:r w:rsidR="004066D7" w:rsidRPr="00BB1776">
        <w:rPr>
          <w:rFonts w:hint="cs"/>
          <w:sz w:val="22"/>
          <w:szCs w:val="22"/>
          <w:rtl/>
        </w:rPr>
        <w:t xml:space="preserve"> התיר למי שיש שחין בראשו לגלח השער אפי' בתער, ודייק כן מתוספתא </w:t>
      </w:r>
      <w:r w:rsidR="004066D7" w:rsidRPr="00BB1776">
        <w:rPr>
          <w:rFonts w:hint="cs"/>
          <w:sz w:val="22"/>
          <w:szCs w:val="18"/>
          <w:rtl/>
        </w:rPr>
        <w:t>(פסחים, ג,יד</w:t>
      </w:r>
      <w:r w:rsidR="004066D7" w:rsidRPr="00BB1776">
        <w:rPr>
          <w:sz w:val="22"/>
          <w:szCs w:val="18"/>
          <w:rtl/>
        </w:rPr>
        <w:t>)</w:t>
      </w:r>
      <w:r w:rsidR="004066D7" w:rsidRPr="00BB1776">
        <w:rPr>
          <w:rFonts w:hint="cs"/>
          <w:sz w:val="22"/>
          <w:szCs w:val="22"/>
          <w:rtl/>
        </w:rPr>
        <w:t xml:space="preserve"> דקתני מי שעלתה לו מכה בראשו מותר להסתפר במועד, והעתיקו במ"ב </w:t>
      </w:r>
      <w:r w:rsidR="004066D7" w:rsidRPr="00BB1776">
        <w:rPr>
          <w:rFonts w:hint="cs"/>
          <w:sz w:val="22"/>
          <w:szCs w:val="18"/>
          <w:rtl/>
        </w:rPr>
        <w:t>(כא</w:t>
      </w:r>
      <w:r w:rsidR="004066D7" w:rsidRPr="00BB1776">
        <w:rPr>
          <w:sz w:val="22"/>
          <w:szCs w:val="18"/>
          <w:rtl/>
        </w:rPr>
        <w:t>)</w:t>
      </w:r>
      <w:r w:rsidR="004066D7" w:rsidRPr="00BB1776">
        <w:rPr>
          <w:rFonts w:hint="cs"/>
          <w:sz w:val="22"/>
          <w:szCs w:val="22"/>
          <w:rtl/>
        </w:rPr>
        <w:t>,</w:t>
      </w:r>
      <w:r w:rsidRPr="00BB1776">
        <w:rPr>
          <w:rFonts w:hint="cs"/>
          <w:sz w:val="22"/>
          <w:szCs w:val="22"/>
          <w:rtl/>
        </w:rPr>
        <w:t xml:space="preserve"> אכן</w:t>
      </w:r>
      <w:r w:rsidR="004066D7" w:rsidRPr="00BB1776">
        <w:rPr>
          <w:rFonts w:hint="cs"/>
          <w:sz w:val="22"/>
          <w:szCs w:val="22"/>
          <w:rtl/>
        </w:rPr>
        <w:t xml:space="preserve"> </w:t>
      </w:r>
      <w:r w:rsidRPr="00BB1776">
        <w:rPr>
          <w:rFonts w:hint="cs"/>
          <w:sz w:val="22"/>
          <w:szCs w:val="22"/>
          <w:rtl/>
        </w:rPr>
        <w:t xml:space="preserve">העיר בביה"ל </w:t>
      </w:r>
      <w:r w:rsidRPr="00BB1776">
        <w:rPr>
          <w:rFonts w:hint="cs"/>
          <w:sz w:val="22"/>
          <w:szCs w:val="18"/>
          <w:rtl/>
        </w:rPr>
        <w:t>(ה, כל אדם</w:t>
      </w:r>
      <w:r w:rsidRPr="00BB1776">
        <w:rPr>
          <w:sz w:val="22"/>
          <w:szCs w:val="18"/>
          <w:rtl/>
        </w:rPr>
        <w:t>)</w:t>
      </w:r>
      <w:r w:rsidRPr="00BB1776">
        <w:rPr>
          <w:rFonts w:hint="cs"/>
          <w:sz w:val="22"/>
          <w:szCs w:val="22"/>
          <w:rtl/>
        </w:rPr>
        <w:t xml:space="preserve"> </w:t>
      </w:r>
      <w:r w:rsidR="004066D7" w:rsidRPr="00BB1776">
        <w:rPr>
          <w:rFonts w:hint="cs"/>
          <w:sz w:val="22"/>
          <w:szCs w:val="22"/>
          <w:rtl/>
        </w:rPr>
        <w:t xml:space="preserve">דלדעת המג"א </w:t>
      </w:r>
      <w:r w:rsidR="004066D7" w:rsidRPr="00BB1776">
        <w:rPr>
          <w:rFonts w:hint="cs"/>
          <w:sz w:val="22"/>
          <w:szCs w:val="18"/>
          <w:rtl/>
        </w:rPr>
        <w:t>(הנ"ל</w:t>
      </w:r>
      <w:r w:rsidR="004066D7" w:rsidRPr="00BB1776">
        <w:rPr>
          <w:sz w:val="22"/>
          <w:szCs w:val="18"/>
          <w:rtl/>
        </w:rPr>
        <w:t>)</w:t>
      </w:r>
      <w:r w:rsidR="004066D7" w:rsidRPr="00BB1776">
        <w:rPr>
          <w:rFonts w:hint="cs"/>
          <w:sz w:val="22"/>
          <w:szCs w:val="22"/>
          <w:rtl/>
        </w:rPr>
        <w:t xml:space="preserve"> שנקט </w:t>
      </w:r>
      <w:r w:rsidR="00A37ADF" w:rsidRPr="00BB1776">
        <w:rPr>
          <w:rFonts w:hint="cs"/>
          <w:sz w:val="22"/>
          <w:szCs w:val="22"/>
          <w:rtl/>
        </w:rPr>
        <w:t xml:space="preserve">דההיתר לגלח לצורך הקזה ומכה הוא משום דלא גזרו על שערות הגוף, </w:t>
      </w:r>
      <w:r w:rsidR="004066D7" w:rsidRPr="00BB1776">
        <w:rPr>
          <w:rFonts w:hint="cs"/>
          <w:sz w:val="22"/>
          <w:szCs w:val="22"/>
          <w:rtl/>
        </w:rPr>
        <w:t>מבואר ד</w:t>
      </w:r>
      <w:r w:rsidR="00A37ADF" w:rsidRPr="00BB1776">
        <w:rPr>
          <w:rFonts w:hint="cs"/>
          <w:sz w:val="22"/>
          <w:szCs w:val="22"/>
          <w:rtl/>
        </w:rPr>
        <w:t xml:space="preserve">אין לגלח לצורך מכה שבראשו, </w:t>
      </w:r>
      <w:r w:rsidR="004066D7" w:rsidRPr="00BB1776">
        <w:rPr>
          <w:rFonts w:hint="cs"/>
          <w:sz w:val="22"/>
          <w:szCs w:val="22"/>
          <w:rtl/>
        </w:rPr>
        <w:t>וצ"ע מהתוספתא הנ"ל.</w:t>
      </w:r>
    </w:p>
    <w:p w14:paraId="3E1BD3FD" w14:textId="76784704" w:rsidR="00FB493F" w:rsidRPr="00BB1776" w:rsidRDefault="004066D7" w:rsidP="00BB1776">
      <w:pPr>
        <w:jc w:val="both"/>
        <w:rPr>
          <w:sz w:val="22"/>
          <w:szCs w:val="22"/>
          <w:rtl/>
        </w:rPr>
      </w:pPr>
      <w:r w:rsidRPr="00BB1776">
        <w:rPr>
          <w:rFonts w:hint="cs"/>
          <w:sz w:val="22"/>
          <w:szCs w:val="22"/>
          <w:rtl/>
        </w:rPr>
        <w:t>ובביה"ל</w:t>
      </w:r>
      <w:r w:rsidR="00C74196" w:rsidRPr="00BB1776">
        <w:rPr>
          <w:rFonts w:hint="cs"/>
          <w:sz w:val="22"/>
          <w:szCs w:val="22"/>
          <w:rtl/>
        </w:rPr>
        <w:t xml:space="preserve"> </w:t>
      </w:r>
      <w:r w:rsidRPr="00BB1776">
        <w:rPr>
          <w:rFonts w:hint="cs"/>
          <w:sz w:val="22"/>
          <w:szCs w:val="22"/>
          <w:rtl/>
        </w:rPr>
        <w:t xml:space="preserve">תי' ע"פ מש"כ במנחת ביכורים </w:t>
      </w:r>
      <w:r w:rsidRPr="00BB1776">
        <w:rPr>
          <w:rFonts w:hint="cs"/>
          <w:sz w:val="22"/>
          <w:szCs w:val="18"/>
          <w:rtl/>
        </w:rPr>
        <w:t>(על התוספתא, שם</w:t>
      </w:r>
      <w:r w:rsidRPr="00BB1776">
        <w:rPr>
          <w:sz w:val="22"/>
          <w:szCs w:val="18"/>
          <w:rtl/>
        </w:rPr>
        <w:t>)</w:t>
      </w:r>
      <w:r w:rsidRPr="00BB1776">
        <w:rPr>
          <w:rFonts w:hint="cs"/>
          <w:sz w:val="22"/>
          <w:szCs w:val="22"/>
          <w:rtl/>
        </w:rPr>
        <w:t xml:space="preserve"> דהתם מיירי במי שהיה לו מכה בראשו ולא יכל לגלח ואח"כ נתרפא במועד, דהתירוהו לגלח לפי שהיה אנוס ולא היה יכול לגלח מעיקרא</w:t>
      </w:r>
      <w:r w:rsidRPr="00BB1776">
        <w:rPr>
          <w:rStyle w:val="af0"/>
          <w:sz w:val="22"/>
          <w:szCs w:val="22"/>
          <w:rtl/>
        </w:rPr>
        <w:footnoteReference w:id="2"/>
      </w:r>
      <w:r w:rsidRPr="00BB1776">
        <w:rPr>
          <w:rFonts w:hint="cs"/>
          <w:sz w:val="22"/>
          <w:szCs w:val="22"/>
          <w:rtl/>
        </w:rPr>
        <w:t>, וא"כ אין ראיה להתיר לגלח ראשו לצורך המכה</w:t>
      </w:r>
      <w:r w:rsidR="00FB493F" w:rsidRPr="00BB1776">
        <w:rPr>
          <w:rFonts w:hint="cs"/>
          <w:sz w:val="22"/>
          <w:szCs w:val="22"/>
          <w:rtl/>
        </w:rPr>
        <w:t xml:space="preserve">, </w:t>
      </w:r>
      <w:r w:rsidR="00C46E87" w:rsidRPr="00BB1776">
        <w:rPr>
          <w:rFonts w:hint="cs"/>
          <w:sz w:val="22"/>
          <w:szCs w:val="22"/>
          <w:rtl/>
        </w:rPr>
        <w:t>ו</w:t>
      </w:r>
      <w:r w:rsidR="00FB493F" w:rsidRPr="00BB1776">
        <w:rPr>
          <w:rFonts w:hint="cs"/>
          <w:sz w:val="22"/>
          <w:szCs w:val="22"/>
          <w:rtl/>
        </w:rPr>
        <w:t xml:space="preserve">ע"ע </w:t>
      </w:r>
      <w:r w:rsidR="00C46E87" w:rsidRPr="00BB1776">
        <w:rPr>
          <w:rFonts w:hint="cs"/>
          <w:sz w:val="22"/>
          <w:szCs w:val="22"/>
          <w:rtl/>
        </w:rPr>
        <w:t>בפמ"ג</w:t>
      </w:r>
      <w:r w:rsidRPr="00BB1776">
        <w:rPr>
          <w:rFonts w:hint="cs"/>
          <w:sz w:val="22"/>
          <w:szCs w:val="22"/>
          <w:rtl/>
        </w:rPr>
        <w:t xml:space="preserve"> </w:t>
      </w:r>
      <w:r w:rsidRPr="00BB1776">
        <w:rPr>
          <w:rFonts w:hint="cs"/>
          <w:sz w:val="22"/>
          <w:szCs w:val="18"/>
          <w:rtl/>
        </w:rPr>
        <w:t>(א"א,יב, מש"ז,ז</w:t>
      </w:r>
      <w:r w:rsidRPr="00BB1776">
        <w:rPr>
          <w:sz w:val="22"/>
          <w:szCs w:val="18"/>
          <w:rtl/>
        </w:rPr>
        <w:t>)</w:t>
      </w:r>
      <w:r w:rsidRPr="00BB1776">
        <w:rPr>
          <w:rFonts w:hint="cs"/>
          <w:sz w:val="22"/>
          <w:szCs w:val="22"/>
          <w:rtl/>
        </w:rPr>
        <w:t xml:space="preserve"> </w:t>
      </w:r>
      <w:r w:rsidR="00FB493F" w:rsidRPr="00BB1776">
        <w:rPr>
          <w:rFonts w:hint="cs"/>
          <w:sz w:val="22"/>
          <w:szCs w:val="22"/>
          <w:rtl/>
        </w:rPr>
        <w:t>שציין ל</w:t>
      </w:r>
      <w:r w:rsidRPr="00BB1776">
        <w:rPr>
          <w:rFonts w:hint="cs"/>
          <w:sz w:val="22"/>
          <w:szCs w:val="22"/>
          <w:rtl/>
        </w:rPr>
        <w:t xml:space="preserve">רע"ב </w:t>
      </w:r>
      <w:r w:rsidRPr="00BB1776">
        <w:rPr>
          <w:rFonts w:hint="cs"/>
          <w:sz w:val="22"/>
          <w:szCs w:val="18"/>
          <w:rtl/>
        </w:rPr>
        <w:t>(מו"ק, ג,א</w:t>
      </w:r>
      <w:r w:rsidRPr="00BB1776">
        <w:rPr>
          <w:sz w:val="22"/>
          <w:szCs w:val="18"/>
          <w:rtl/>
        </w:rPr>
        <w:t>)</w:t>
      </w:r>
      <w:r w:rsidR="00FB493F" w:rsidRPr="00BB1776">
        <w:rPr>
          <w:rFonts w:hint="cs"/>
          <w:sz w:val="22"/>
          <w:szCs w:val="22"/>
          <w:rtl/>
        </w:rPr>
        <w:t xml:space="preserve"> דמצורע שמגלח סביבות הנתק לא חשיב גילוח כיון שאין מגלח כל ראשו, [</w:t>
      </w:r>
      <w:r w:rsidR="00C46E87" w:rsidRPr="002A7CB8">
        <w:rPr>
          <w:rFonts w:hint="cs"/>
          <w:sz w:val="22"/>
          <w:szCs w:val="22"/>
          <w:rtl/>
        </w:rPr>
        <w:t>ו</w:t>
      </w:r>
      <w:r w:rsidR="00FB493F" w:rsidRPr="002A7CB8">
        <w:rPr>
          <w:rFonts w:hint="cs"/>
          <w:sz w:val="22"/>
          <w:szCs w:val="22"/>
          <w:rtl/>
        </w:rPr>
        <w:t>כעי"ז</w:t>
      </w:r>
      <w:r w:rsidR="00C46E87" w:rsidRPr="002A7CB8">
        <w:rPr>
          <w:rFonts w:hint="cs"/>
          <w:sz w:val="22"/>
          <w:szCs w:val="22"/>
          <w:rtl/>
        </w:rPr>
        <w:t xml:space="preserve"> ברש"י כת"י</w:t>
      </w:r>
      <w:r w:rsidR="00FB493F" w:rsidRPr="00BB1776">
        <w:rPr>
          <w:rFonts w:hint="cs"/>
          <w:sz w:val="22"/>
          <w:szCs w:val="22"/>
          <w:rtl/>
        </w:rPr>
        <w:t>]</w:t>
      </w:r>
      <w:r w:rsidR="00C46E87" w:rsidRPr="00BB1776">
        <w:rPr>
          <w:rFonts w:hint="cs"/>
          <w:sz w:val="22"/>
          <w:szCs w:val="22"/>
          <w:rtl/>
        </w:rPr>
        <w:t>,</w:t>
      </w:r>
      <w:r w:rsidR="00FB493F" w:rsidRPr="00BB1776">
        <w:rPr>
          <w:rFonts w:hint="cs"/>
          <w:sz w:val="22"/>
          <w:szCs w:val="22"/>
          <w:rtl/>
        </w:rPr>
        <w:t xml:space="preserve"> ולפי"ז י"ל דמטעם זה התירו בתוספתא לגלח סביבות המכה כיון שאין מגלח כל ראשו</w:t>
      </w:r>
      <w:r w:rsidR="00FB493F" w:rsidRPr="00BB1776">
        <w:rPr>
          <w:rStyle w:val="af0"/>
          <w:sz w:val="22"/>
          <w:szCs w:val="22"/>
          <w:rtl/>
        </w:rPr>
        <w:footnoteReference w:id="3"/>
      </w:r>
      <w:r w:rsidR="00FB493F" w:rsidRPr="00BB1776">
        <w:rPr>
          <w:rFonts w:hint="cs"/>
          <w:sz w:val="22"/>
          <w:szCs w:val="22"/>
          <w:rtl/>
        </w:rPr>
        <w:t>.</w:t>
      </w:r>
    </w:p>
    <w:p w14:paraId="2B58759B" w14:textId="7106D555" w:rsidR="00C46E87" w:rsidRPr="00BB1776" w:rsidRDefault="00C46E87" w:rsidP="00BB1776">
      <w:pPr>
        <w:jc w:val="both"/>
        <w:rPr>
          <w:sz w:val="22"/>
          <w:szCs w:val="22"/>
          <w:rtl/>
        </w:rPr>
      </w:pPr>
      <w:r w:rsidRPr="00BB1776">
        <w:rPr>
          <w:rFonts w:hint="cs"/>
          <w:sz w:val="22"/>
          <w:szCs w:val="22"/>
          <w:rtl/>
        </w:rPr>
        <w:t>ול</w:t>
      </w:r>
      <w:r w:rsidR="00FB493F" w:rsidRPr="00BB1776">
        <w:rPr>
          <w:rFonts w:hint="cs"/>
          <w:sz w:val="22"/>
          <w:szCs w:val="22"/>
          <w:rtl/>
        </w:rPr>
        <w:t>פי"ד</w:t>
      </w:r>
      <w:r w:rsidR="00C74196" w:rsidRPr="00BB1776">
        <w:rPr>
          <w:rFonts w:hint="cs"/>
          <w:sz w:val="22"/>
          <w:szCs w:val="22"/>
          <w:rtl/>
        </w:rPr>
        <w:t xml:space="preserve"> הפמ"ג</w:t>
      </w:r>
      <w:r w:rsidR="00FB493F" w:rsidRPr="00BB1776">
        <w:rPr>
          <w:rFonts w:hint="cs"/>
          <w:sz w:val="22"/>
          <w:szCs w:val="22"/>
          <w:rtl/>
        </w:rPr>
        <w:t xml:space="preserve"> יש ללמוד </w:t>
      </w:r>
      <w:r w:rsidRPr="00BB1776">
        <w:rPr>
          <w:rFonts w:hint="cs"/>
          <w:sz w:val="22"/>
          <w:szCs w:val="22"/>
          <w:rtl/>
        </w:rPr>
        <w:t>היתר לכיבוס כתם</w:t>
      </w:r>
      <w:r w:rsidR="00FB493F" w:rsidRPr="00BB1776">
        <w:rPr>
          <w:rFonts w:hint="cs"/>
          <w:sz w:val="22"/>
          <w:szCs w:val="22"/>
          <w:rtl/>
        </w:rPr>
        <w:t>, דמאחר</w:t>
      </w:r>
      <w:r w:rsidRPr="00BB1776">
        <w:rPr>
          <w:rFonts w:hint="cs"/>
          <w:sz w:val="22"/>
          <w:szCs w:val="22"/>
          <w:rtl/>
        </w:rPr>
        <w:t xml:space="preserve"> שאין מכבס כל הבגד</w:t>
      </w:r>
      <w:r w:rsidR="00FB493F" w:rsidRPr="00BB1776">
        <w:rPr>
          <w:rFonts w:hint="cs"/>
          <w:sz w:val="22"/>
          <w:szCs w:val="22"/>
          <w:rtl/>
        </w:rPr>
        <w:t xml:space="preserve"> לא חשיב כיבוס ושרי</w:t>
      </w:r>
      <w:r w:rsidRPr="00BB1776">
        <w:rPr>
          <w:rFonts w:hint="cs"/>
          <w:sz w:val="22"/>
          <w:szCs w:val="22"/>
          <w:rtl/>
        </w:rPr>
        <w:t xml:space="preserve">, </w:t>
      </w:r>
      <w:r w:rsidR="00FB493F" w:rsidRPr="00BB1776">
        <w:rPr>
          <w:rFonts w:hint="cs"/>
          <w:sz w:val="22"/>
          <w:szCs w:val="22"/>
          <w:rtl/>
        </w:rPr>
        <w:t xml:space="preserve">וכעי"ז נקטו הפוסקים [אגרו"מ </w:t>
      </w:r>
      <w:r w:rsidR="00FB493F" w:rsidRPr="00BB1776">
        <w:rPr>
          <w:rFonts w:hint="cs"/>
          <w:sz w:val="22"/>
          <w:szCs w:val="18"/>
          <w:rtl/>
        </w:rPr>
        <w:t>(או"ח ה,לו אות א</w:t>
      </w:r>
      <w:r w:rsidR="00FB493F" w:rsidRPr="00BB1776">
        <w:rPr>
          <w:sz w:val="22"/>
          <w:szCs w:val="18"/>
          <w:rtl/>
        </w:rPr>
        <w:t>)</w:t>
      </w:r>
      <w:r w:rsidR="00FB493F" w:rsidRPr="00BB1776">
        <w:rPr>
          <w:rFonts w:hint="cs"/>
          <w:sz w:val="22"/>
          <w:szCs w:val="22"/>
          <w:rtl/>
        </w:rPr>
        <w:t xml:space="preserve"> הגריש"א הגרשז"א והגרש"ו, ועו"פ], </w:t>
      </w:r>
      <w:r w:rsidR="00C74196" w:rsidRPr="00BB1776">
        <w:rPr>
          <w:rFonts w:hint="cs"/>
          <w:sz w:val="22"/>
          <w:szCs w:val="22"/>
          <w:rtl/>
        </w:rPr>
        <w:t>ו</w:t>
      </w:r>
      <w:r w:rsidR="00FB493F" w:rsidRPr="00BB1776">
        <w:rPr>
          <w:rFonts w:hint="cs"/>
          <w:sz w:val="22"/>
          <w:szCs w:val="22"/>
          <w:rtl/>
        </w:rPr>
        <w:t xml:space="preserve">בחו"ש </w:t>
      </w:r>
      <w:r w:rsidR="00FB493F" w:rsidRPr="00BB1776">
        <w:rPr>
          <w:rFonts w:hint="cs"/>
          <w:sz w:val="22"/>
          <w:szCs w:val="18"/>
          <w:rtl/>
        </w:rPr>
        <w:t>(עמ' רלח</w:t>
      </w:r>
      <w:r w:rsidR="00FB493F" w:rsidRPr="00BB1776">
        <w:rPr>
          <w:sz w:val="22"/>
          <w:szCs w:val="18"/>
          <w:rtl/>
        </w:rPr>
        <w:t>)</w:t>
      </w:r>
      <w:r w:rsidR="00FB493F" w:rsidRPr="00BB1776">
        <w:rPr>
          <w:rFonts w:hint="cs"/>
          <w:sz w:val="22"/>
          <w:szCs w:val="22"/>
          <w:rtl/>
        </w:rPr>
        <w:t xml:space="preserve"> נתקשה </w:t>
      </w:r>
      <w:r w:rsidR="00C74196" w:rsidRPr="00BB1776">
        <w:rPr>
          <w:rFonts w:hint="cs"/>
          <w:sz w:val="22"/>
          <w:szCs w:val="22"/>
          <w:rtl/>
        </w:rPr>
        <w:t xml:space="preserve">ע"ז </w:t>
      </w:r>
      <w:r w:rsidR="00FB493F" w:rsidRPr="00BB1776">
        <w:rPr>
          <w:rFonts w:hint="cs"/>
          <w:sz w:val="22"/>
          <w:szCs w:val="22"/>
          <w:rtl/>
        </w:rPr>
        <w:t xml:space="preserve">מבעלת הכתם </w:t>
      </w:r>
      <w:r w:rsidR="00FB493F" w:rsidRPr="00BB1776">
        <w:rPr>
          <w:rFonts w:hint="cs"/>
          <w:sz w:val="22"/>
          <w:szCs w:val="18"/>
          <w:rtl/>
        </w:rPr>
        <w:t>(תקלד,א</w:t>
      </w:r>
      <w:r w:rsidR="00FB493F" w:rsidRPr="00BB1776">
        <w:rPr>
          <w:sz w:val="22"/>
          <w:szCs w:val="18"/>
          <w:rtl/>
        </w:rPr>
        <w:t>)</w:t>
      </w:r>
      <w:r w:rsidR="00FB493F" w:rsidRPr="00BB1776">
        <w:rPr>
          <w:rFonts w:hint="cs"/>
          <w:sz w:val="22"/>
          <w:szCs w:val="22"/>
          <w:rtl/>
        </w:rPr>
        <w:t xml:space="preserve"> שהתירו לה לכבס, ומשמע דלשאר אדם אסור, וכן הק' </w:t>
      </w:r>
      <w:r w:rsidRPr="00BB1776">
        <w:rPr>
          <w:rFonts w:hint="cs"/>
          <w:sz w:val="22"/>
          <w:szCs w:val="22"/>
          <w:rtl/>
        </w:rPr>
        <w:t>הגרח"ק</w:t>
      </w:r>
      <w:r w:rsidR="00FB493F" w:rsidRPr="00BB1776">
        <w:rPr>
          <w:rFonts w:hint="cs"/>
          <w:sz w:val="22"/>
          <w:szCs w:val="22"/>
          <w:rtl/>
        </w:rPr>
        <w:t xml:space="preserve"> להגריש"א, ותי' לו דלבעלת הכתם הותר לכבס כל הבגד, אך לשאר אדם אסור בכה"ג, אך לכבס כתם לחוד שרי ואינו בכלל הגזירה.</w:t>
      </w:r>
    </w:p>
    <w:p w14:paraId="0E64C2C6" w14:textId="2AF462C1" w:rsidR="00615DF4" w:rsidRPr="00BB1776" w:rsidRDefault="00615DF4" w:rsidP="00D73299">
      <w:pPr>
        <w:jc w:val="both"/>
        <w:rPr>
          <w:sz w:val="22"/>
          <w:szCs w:val="22"/>
          <w:rtl/>
        </w:rPr>
      </w:pPr>
      <w:r w:rsidRPr="00BB1776">
        <w:rPr>
          <w:rFonts w:hint="cs"/>
          <w:sz w:val="22"/>
          <w:szCs w:val="22"/>
          <w:rtl/>
        </w:rPr>
        <w:t xml:space="preserve">ומ"מ בגילוח לצורך מכה, עיי"ש בביה"ל </w:t>
      </w:r>
      <w:r w:rsidR="004A3D89">
        <w:rPr>
          <w:rFonts w:hint="cs"/>
          <w:sz w:val="22"/>
          <w:szCs w:val="22"/>
          <w:rtl/>
        </w:rPr>
        <w:t>שצידד להקל כחיי"א לגלח לצורך שחין שבראשו, אך ש</w:t>
      </w:r>
      <w:r w:rsidR="002A7CB8">
        <w:rPr>
          <w:rFonts w:hint="cs"/>
          <w:sz w:val="22"/>
          <w:szCs w:val="22"/>
          <w:rtl/>
        </w:rPr>
        <w:t xml:space="preserve">אין להתיר </w:t>
      </w:r>
      <w:r w:rsidR="00D73299">
        <w:rPr>
          <w:rFonts w:hint="cs"/>
          <w:sz w:val="22"/>
          <w:szCs w:val="22"/>
          <w:rtl/>
        </w:rPr>
        <w:t xml:space="preserve">אם היה </w:t>
      </w:r>
      <w:r w:rsidRPr="00BB1776">
        <w:rPr>
          <w:rFonts w:hint="cs"/>
          <w:sz w:val="22"/>
          <w:szCs w:val="22"/>
          <w:rtl/>
        </w:rPr>
        <w:t>יכול לגלח קודם המועד</w:t>
      </w:r>
      <w:r w:rsidR="00D73299">
        <w:rPr>
          <w:rFonts w:hint="cs"/>
          <w:sz w:val="22"/>
          <w:szCs w:val="22"/>
          <w:rtl/>
        </w:rPr>
        <w:t>.</w:t>
      </w:r>
    </w:p>
    <w:p w14:paraId="7CA07DE8" w14:textId="341853C2" w:rsidR="00615DF4" w:rsidRPr="00BB1776" w:rsidRDefault="00615DF4" w:rsidP="00BB1776">
      <w:pPr>
        <w:jc w:val="both"/>
        <w:rPr>
          <w:sz w:val="22"/>
          <w:szCs w:val="22"/>
          <w:rtl/>
        </w:rPr>
      </w:pPr>
      <w:r w:rsidRPr="00BB1776">
        <w:rPr>
          <w:rFonts w:hint="cs"/>
          <w:sz w:val="22"/>
          <w:szCs w:val="22"/>
          <w:rtl/>
        </w:rPr>
        <w:t xml:space="preserve">והוסיף בביה"ל, דגילוח לצורך רפואה שלא יכבד חוליו עליו ודאי שרי, וכדכתב בשו"ע </w:t>
      </w:r>
      <w:r w:rsidRPr="00BB1776">
        <w:rPr>
          <w:rFonts w:hint="cs"/>
          <w:sz w:val="22"/>
          <w:szCs w:val="18"/>
          <w:rtl/>
        </w:rPr>
        <w:t>(תקלב,ב</w:t>
      </w:r>
      <w:r w:rsidRPr="00BB1776">
        <w:rPr>
          <w:sz w:val="22"/>
          <w:szCs w:val="18"/>
          <w:rtl/>
        </w:rPr>
        <w:t>)</w:t>
      </w:r>
      <w:r w:rsidRPr="00BB1776">
        <w:rPr>
          <w:rFonts w:hint="cs"/>
          <w:sz w:val="22"/>
          <w:szCs w:val="22"/>
          <w:rtl/>
        </w:rPr>
        <w:t xml:space="preserve"> דכל רפואה מותר </w:t>
      </w:r>
      <w:r w:rsidRPr="00BB1776">
        <w:rPr>
          <w:rFonts w:hint="cs"/>
          <w:sz w:val="22"/>
          <w:szCs w:val="22"/>
          <w:rtl/>
        </w:rPr>
        <w:lastRenderedPageBreak/>
        <w:t xml:space="preserve">בחוה"מ, וכן כשמצטער הרבה ע"י השחין שבראשו דחשיב כחולה </w:t>
      </w:r>
      <w:r w:rsidRPr="00BB1776">
        <w:rPr>
          <w:rFonts w:hint="cs"/>
          <w:sz w:val="22"/>
          <w:szCs w:val="18"/>
          <w:rtl/>
        </w:rPr>
        <w:t>(כסי' שכח,יז</w:t>
      </w:r>
      <w:r w:rsidRPr="00BB1776">
        <w:rPr>
          <w:sz w:val="22"/>
          <w:szCs w:val="18"/>
          <w:rtl/>
        </w:rPr>
        <w:t>)</w:t>
      </w:r>
      <w:r w:rsidRPr="00BB1776">
        <w:rPr>
          <w:rFonts w:hint="cs"/>
          <w:sz w:val="22"/>
          <w:szCs w:val="22"/>
          <w:rtl/>
        </w:rPr>
        <w:t xml:space="preserve"> מותר לגלח</w:t>
      </w:r>
      <w:r w:rsidR="000668E5" w:rsidRPr="00BB1776">
        <w:rPr>
          <w:rFonts w:hint="cs"/>
          <w:sz w:val="22"/>
          <w:szCs w:val="22"/>
          <w:rtl/>
        </w:rPr>
        <w:t>, ומשמעות דבריו דלצורך מיחוש לחוד אין להתיר,</w:t>
      </w:r>
      <w:r w:rsidR="00E40987" w:rsidRPr="00BB1776">
        <w:rPr>
          <w:rFonts w:hint="cs"/>
          <w:sz w:val="22"/>
          <w:szCs w:val="22"/>
          <w:rtl/>
        </w:rPr>
        <w:t xml:space="preserve"> וכ"מ בדבריו להלן </w:t>
      </w:r>
      <w:r w:rsidR="00E40987" w:rsidRPr="00BB1776">
        <w:rPr>
          <w:rFonts w:hint="cs"/>
          <w:sz w:val="22"/>
          <w:szCs w:val="18"/>
          <w:rtl/>
        </w:rPr>
        <w:t>(תקלב,ה</w:t>
      </w:r>
      <w:r w:rsidR="00E40987" w:rsidRPr="00BB1776">
        <w:rPr>
          <w:sz w:val="22"/>
          <w:szCs w:val="18"/>
          <w:rtl/>
        </w:rPr>
        <w:t>)</w:t>
      </w:r>
      <w:r w:rsidR="00E40987" w:rsidRPr="00BB1776">
        <w:rPr>
          <w:rFonts w:hint="cs"/>
          <w:sz w:val="22"/>
          <w:szCs w:val="22"/>
          <w:rtl/>
        </w:rPr>
        <w:t xml:space="preserve"> שפי' דהחידוש בשו"ע שרפואה במועד מותרת היינו להתיר מלאכה גמורה לצורך חולה שאין בו סכנה, א</w:t>
      </w:r>
      <w:r w:rsidR="002A7CB8">
        <w:rPr>
          <w:rFonts w:hint="cs"/>
          <w:sz w:val="22"/>
          <w:szCs w:val="22"/>
          <w:rtl/>
        </w:rPr>
        <w:t>ך צ"ע בסו"ד</w:t>
      </w:r>
      <w:r w:rsidR="00E40987" w:rsidRPr="00BB1776">
        <w:rPr>
          <w:rFonts w:hint="cs"/>
          <w:sz w:val="22"/>
          <w:szCs w:val="22"/>
          <w:rtl/>
        </w:rPr>
        <w:t xml:space="preserve"> ב</w:t>
      </w:r>
      <w:r w:rsidR="002A7CB8">
        <w:rPr>
          <w:rFonts w:hint="cs"/>
          <w:sz w:val="22"/>
          <w:szCs w:val="22"/>
          <w:rtl/>
        </w:rPr>
        <w:t>מ"ב</w:t>
      </w:r>
      <w:r w:rsidR="00E40987" w:rsidRPr="00BB1776">
        <w:rPr>
          <w:rFonts w:hint="cs"/>
          <w:sz w:val="22"/>
          <w:szCs w:val="22"/>
          <w:rtl/>
        </w:rPr>
        <w:t xml:space="preserve"> </w:t>
      </w:r>
      <w:r w:rsidR="00E40987" w:rsidRPr="00BB1776">
        <w:rPr>
          <w:rFonts w:hint="cs"/>
          <w:sz w:val="22"/>
          <w:szCs w:val="18"/>
          <w:rtl/>
        </w:rPr>
        <w:t>(שם</w:t>
      </w:r>
      <w:r w:rsidR="00E40987" w:rsidRPr="00BB1776">
        <w:rPr>
          <w:sz w:val="22"/>
          <w:szCs w:val="18"/>
          <w:rtl/>
        </w:rPr>
        <w:t>)</w:t>
      </w:r>
      <w:r w:rsidR="00E40987" w:rsidRPr="00BB1776">
        <w:rPr>
          <w:rFonts w:hint="cs"/>
          <w:sz w:val="22"/>
          <w:szCs w:val="22"/>
          <w:rtl/>
        </w:rPr>
        <w:t xml:space="preserve"> </w:t>
      </w:r>
      <w:r w:rsidR="002A7CB8">
        <w:rPr>
          <w:rFonts w:hint="cs"/>
          <w:sz w:val="22"/>
          <w:szCs w:val="22"/>
          <w:rtl/>
        </w:rPr>
        <w:t>ש</w:t>
      </w:r>
      <w:r w:rsidR="005B1C53" w:rsidRPr="00BB1776">
        <w:rPr>
          <w:rFonts w:hint="cs"/>
          <w:sz w:val="22"/>
          <w:szCs w:val="22"/>
          <w:rtl/>
        </w:rPr>
        <w:t>מבואר ד</w:t>
      </w:r>
      <w:r w:rsidR="002A7CB8">
        <w:rPr>
          <w:rFonts w:hint="cs"/>
          <w:sz w:val="22"/>
          <w:szCs w:val="22"/>
          <w:rtl/>
        </w:rPr>
        <w:t>בכלל ה</w:t>
      </w:r>
      <w:r w:rsidR="005B1C53" w:rsidRPr="00BB1776">
        <w:rPr>
          <w:rFonts w:hint="cs"/>
          <w:sz w:val="22"/>
          <w:szCs w:val="22"/>
          <w:rtl/>
        </w:rPr>
        <w:t>ה</w:t>
      </w:r>
      <w:r w:rsidR="002A7CB8">
        <w:rPr>
          <w:rFonts w:hint="cs"/>
          <w:sz w:val="22"/>
          <w:szCs w:val="22"/>
          <w:rtl/>
        </w:rPr>
        <w:t>יתר</w:t>
      </w:r>
      <w:r w:rsidR="005B1C53" w:rsidRPr="00BB1776">
        <w:rPr>
          <w:rFonts w:hint="cs"/>
          <w:sz w:val="22"/>
          <w:szCs w:val="22"/>
          <w:rtl/>
        </w:rPr>
        <w:t xml:space="preserve"> </w:t>
      </w:r>
      <w:r w:rsidR="002A7CB8">
        <w:rPr>
          <w:rFonts w:hint="cs"/>
          <w:sz w:val="22"/>
          <w:szCs w:val="22"/>
          <w:rtl/>
        </w:rPr>
        <w:t xml:space="preserve">במועד </w:t>
      </w:r>
      <w:r w:rsidR="005B1C53" w:rsidRPr="00BB1776">
        <w:rPr>
          <w:rFonts w:hint="cs"/>
          <w:sz w:val="22"/>
          <w:szCs w:val="22"/>
          <w:rtl/>
        </w:rPr>
        <w:t>אף שלא לחוש לשחיקת סממנין, ומשמע דהותר</w:t>
      </w:r>
      <w:r w:rsidR="002A7CB8">
        <w:rPr>
          <w:rFonts w:hint="cs"/>
          <w:sz w:val="22"/>
          <w:szCs w:val="22"/>
          <w:rtl/>
        </w:rPr>
        <w:t xml:space="preserve"> </w:t>
      </w:r>
      <w:r w:rsidR="005B1C53" w:rsidRPr="00BB1776">
        <w:rPr>
          <w:rFonts w:hint="cs"/>
          <w:sz w:val="22"/>
          <w:szCs w:val="22"/>
          <w:rtl/>
        </w:rPr>
        <w:t>אף ל</w:t>
      </w:r>
      <w:r w:rsidR="002A7CB8">
        <w:rPr>
          <w:rFonts w:hint="cs"/>
          <w:sz w:val="22"/>
          <w:szCs w:val="22"/>
          <w:rtl/>
        </w:rPr>
        <w:t xml:space="preserve">צורך </w:t>
      </w:r>
      <w:r w:rsidR="005B1C53" w:rsidRPr="00BB1776">
        <w:rPr>
          <w:rFonts w:hint="cs"/>
          <w:sz w:val="22"/>
          <w:szCs w:val="22"/>
          <w:rtl/>
        </w:rPr>
        <w:t>מיחוש בעלמא</w:t>
      </w:r>
      <w:r w:rsidR="002A7CB8">
        <w:rPr>
          <w:rStyle w:val="af0"/>
          <w:sz w:val="22"/>
          <w:szCs w:val="22"/>
          <w:rtl/>
        </w:rPr>
        <w:footnoteReference w:id="4"/>
      </w:r>
      <w:r w:rsidR="002A7CB8">
        <w:rPr>
          <w:rFonts w:hint="cs"/>
          <w:sz w:val="22"/>
          <w:szCs w:val="22"/>
          <w:rtl/>
        </w:rPr>
        <w:t>.</w:t>
      </w:r>
      <w:r w:rsidR="00E40987" w:rsidRPr="00BB1776">
        <w:rPr>
          <w:rFonts w:hint="cs"/>
          <w:sz w:val="22"/>
          <w:szCs w:val="22"/>
          <w:rtl/>
        </w:rPr>
        <w:t xml:space="preserve"> </w:t>
      </w:r>
    </w:p>
    <w:p w14:paraId="36112B57" w14:textId="3FE7FF61" w:rsidR="00C74196" w:rsidRPr="00BB1776" w:rsidRDefault="005B1C53" w:rsidP="00BB1776">
      <w:pPr>
        <w:jc w:val="both"/>
        <w:rPr>
          <w:sz w:val="22"/>
          <w:szCs w:val="22"/>
          <w:rtl/>
        </w:rPr>
      </w:pPr>
      <w:r w:rsidRPr="00BB1776">
        <w:rPr>
          <w:rFonts w:hint="cs"/>
          <w:sz w:val="22"/>
          <w:szCs w:val="22"/>
          <w:rtl/>
        </w:rPr>
        <w:t xml:space="preserve">ולגבי קטן נקטי' </w:t>
      </w:r>
      <w:r w:rsidRPr="00BB1776">
        <w:rPr>
          <w:rFonts w:hint="cs"/>
          <w:sz w:val="22"/>
          <w:szCs w:val="18"/>
          <w:rtl/>
        </w:rPr>
        <w:t>(סעי' ו'</w:t>
      </w:r>
      <w:r w:rsidRPr="00BB1776">
        <w:rPr>
          <w:sz w:val="22"/>
          <w:szCs w:val="18"/>
          <w:rtl/>
        </w:rPr>
        <w:t>)</w:t>
      </w:r>
      <w:r w:rsidRPr="00BB1776">
        <w:rPr>
          <w:rFonts w:hint="cs"/>
          <w:sz w:val="22"/>
          <w:szCs w:val="22"/>
          <w:rtl/>
        </w:rPr>
        <w:t xml:space="preserve"> להתיר לגלחו במועד אפי' נולד קודם המועד [דאינו בכלל הגזירה</w:t>
      </w:r>
      <w:r w:rsidRPr="00BB1776">
        <w:rPr>
          <w:rStyle w:val="af0"/>
          <w:sz w:val="22"/>
          <w:szCs w:val="22"/>
          <w:rtl/>
        </w:rPr>
        <w:footnoteReference w:id="5"/>
      </w:r>
      <w:r w:rsidRPr="00BB1776">
        <w:rPr>
          <w:rFonts w:hint="cs"/>
          <w:sz w:val="22"/>
          <w:szCs w:val="22"/>
          <w:rtl/>
        </w:rPr>
        <w:t xml:space="preserve">], וכתב במג"א </w:t>
      </w:r>
      <w:r w:rsidRPr="00BB1776">
        <w:rPr>
          <w:sz w:val="22"/>
          <w:szCs w:val="18"/>
          <w:rtl/>
        </w:rPr>
        <w:t>(</w:t>
      </w:r>
      <w:r w:rsidRPr="00BB1776">
        <w:rPr>
          <w:rFonts w:hint="cs"/>
          <w:sz w:val="22"/>
          <w:szCs w:val="18"/>
          <w:rtl/>
        </w:rPr>
        <w:t>ח</w:t>
      </w:r>
      <w:r w:rsidRPr="00BB1776">
        <w:rPr>
          <w:sz w:val="22"/>
          <w:szCs w:val="18"/>
          <w:rtl/>
        </w:rPr>
        <w:t>)</w:t>
      </w:r>
      <w:r w:rsidRPr="00BB1776">
        <w:rPr>
          <w:rFonts w:hint="cs"/>
          <w:sz w:val="22"/>
          <w:szCs w:val="22"/>
          <w:rtl/>
        </w:rPr>
        <w:t xml:space="preserve"> דדוקא כשיש לו שיער רב ומצטער מחמתו, ומשמע דהותר לצורך צער גרידא, אכן דהתם הטעם דבקטן לא גזרו כלל ורק דמצד איסור מלאכה במועד אין להתיר אא"כ הוא מצטער וחשיב צורך המועד, ופשוט, ולפי"ז לגבי חלאקה במועד, אף שאין לאסור מצד גזירה מ"מ כיון שאין לקטן צער בשערות אי"ז צורך המועד כלל, [וכן הביאו בשם הגרח"ק], אכן לפי מש"כ ב</w:t>
      </w:r>
      <w:r w:rsidR="00770470" w:rsidRPr="00BB1776">
        <w:rPr>
          <w:rFonts w:hint="cs"/>
          <w:sz w:val="22"/>
          <w:szCs w:val="22"/>
          <w:rtl/>
        </w:rPr>
        <w:t xml:space="preserve">רמ"א </w:t>
      </w:r>
      <w:r w:rsidR="00770470" w:rsidRPr="00BB1776">
        <w:rPr>
          <w:rFonts w:hint="cs"/>
          <w:sz w:val="22"/>
          <w:szCs w:val="18"/>
          <w:rtl/>
        </w:rPr>
        <w:t>(סעי' ז'</w:t>
      </w:r>
      <w:r w:rsidR="00770470" w:rsidRPr="00BB1776">
        <w:rPr>
          <w:sz w:val="22"/>
          <w:szCs w:val="18"/>
          <w:rtl/>
        </w:rPr>
        <w:t>)</w:t>
      </w:r>
      <w:r w:rsidR="00770470" w:rsidRPr="00BB1776">
        <w:rPr>
          <w:rFonts w:hint="cs"/>
          <w:sz w:val="22"/>
          <w:szCs w:val="22"/>
          <w:rtl/>
        </w:rPr>
        <w:t xml:space="preserve"> מה</w:t>
      </w:r>
      <w:r w:rsidRPr="00BB1776">
        <w:rPr>
          <w:rFonts w:hint="cs"/>
          <w:sz w:val="22"/>
          <w:szCs w:val="22"/>
          <w:rtl/>
        </w:rPr>
        <w:t xml:space="preserve">תה"ד </w:t>
      </w:r>
      <w:r w:rsidR="00770470" w:rsidRPr="00BB1776">
        <w:rPr>
          <w:rFonts w:hint="cs"/>
          <w:sz w:val="22"/>
          <w:szCs w:val="18"/>
          <w:rtl/>
        </w:rPr>
        <w:t>(סי' פ"ז</w:t>
      </w:r>
      <w:r w:rsidR="00770470" w:rsidRPr="00BB1776">
        <w:rPr>
          <w:sz w:val="22"/>
          <w:szCs w:val="18"/>
          <w:rtl/>
        </w:rPr>
        <w:t>)</w:t>
      </w:r>
      <w:r w:rsidR="00770470" w:rsidRPr="00BB1776">
        <w:rPr>
          <w:rFonts w:hint="cs"/>
          <w:sz w:val="22"/>
          <w:szCs w:val="22"/>
          <w:rtl/>
        </w:rPr>
        <w:t xml:space="preserve"> להתיר למומר שחזר בתשובה לגלח במועד ומשום שנהגו שלא לצרפו לכל דבר שבקדושה עד שיגלח, ומשמע דמותר לגלח לצורך מצוה דחשיב כצורך המועד, וי"ל דה"ה במנהג דחלאקה דחשיב כצורך מצוה ושרי</w:t>
      </w:r>
      <w:r w:rsidR="002A7CB8">
        <w:rPr>
          <w:rFonts w:hint="cs"/>
          <w:sz w:val="22"/>
          <w:szCs w:val="22"/>
          <w:rtl/>
        </w:rPr>
        <w:t>, אבל למעשה אין להקל בזה דאי"ז מצוה ממש</w:t>
      </w:r>
      <w:r w:rsidR="00770470" w:rsidRPr="00BB1776">
        <w:rPr>
          <w:rFonts w:hint="cs"/>
          <w:sz w:val="22"/>
          <w:szCs w:val="22"/>
          <w:rtl/>
        </w:rPr>
        <w:t>.</w:t>
      </w:r>
    </w:p>
    <w:p w14:paraId="2A88DCA2" w14:textId="67ABB59F" w:rsidR="00142914" w:rsidRPr="00BB1776" w:rsidRDefault="00142914" w:rsidP="00BB1776">
      <w:pPr>
        <w:pStyle w:val="2"/>
        <w:jc w:val="both"/>
        <w:rPr>
          <w:rtl/>
        </w:rPr>
      </w:pPr>
      <w:r w:rsidRPr="00BB1776">
        <w:rPr>
          <w:rFonts w:hint="cs"/>
          <w:rtl/>
        </w:rPr>
        <w:t>ואלו מגלחין במועד, ודין אנוס</w:t>
      </w:r>
    </w:p>
    <w:p w14:paraId="76B68EB7" w14:textId="67520176" w:rsidR="000668E5" w:rsidRPr="00BB1776" w:rsidRDefault="000668E5" w:rsidP="00BB1776">
      <w:pPr>
        <w:jc w:val="both"/>
        <w:rPr>
          <w:rFonts w:cs="Arial"/>
          <w:sz w:val="22"/>
          <w:szCs w:val="22"/>
          <w:rtl/>
        </w:rPr>
      </w:pPr>
      <w:r w:rsidRPr="00BB1776">
        <w:rPr>
          <w:rFonts w:hint="cs"/>
          <w:sz w:val="22"/>
          <w:szCs w:val="22"/>
          <w:rtl/>
        </w:rPr>
        <w:t xml:space="preserve">ובמתני' </w:t>
      </w:r>
      <w:r w:rsidRPr="00BB1776">
        <w:rPr>
          <w:rFonts w:hint="cs"/>
          <w:sz w:val="22"/>
          <w:szCs w:val="18"/>
          <w:rtl/>
        </w:rPr>
        <w:t>(מו"ק שם</w:t>
      </w:r>
      <w:r w:rsidRPr="00BB1776">
        <w:rPr>
          <w:sz w:val="22"/>
          <w:szCs w:val="18"/>
          <w:rtl/>
        </w:rPr>
        <w:t>)</w:t>
      </w:r>
      <w:r w:rsidRPr="00BB1776">
        <w:rPr>
          <w:rFonts w:hint="cs"/>
          <w:sz w:val="22"/>
          <w:szCs w:val="22"/>
          <w:rtl/>
        </w:rPr>
        <w:t xml:space="preserve"> </w:t>
      </w:r>
      <w:r w:rsidRPr="00BB1776">
        <w:rPr>
          <w:rFonts w:cs="Arial" w:hint="cs"/>
          <w:sz w:val="22"/>
          <w:szCs w:val="22"/>
          <w:rtl/>
        </w:rPr>
        <w:t>ואלו</w:t>
      </w:r>
      <w:r w:rsidRPr="00BB1776">
        <w:rPr>
          <w:rFonts w:cs="Arial"/>
          <w:sz w:val="22"/>
          <w:szCs w:val="22"/>
          <w:rtl/>
        </w:rPr>
        <w:t xml:space="preserve"> </w:t>
      </w:r>
      <w:r w:rsidRPr="00BB1776">
        <w:rPr>
          <w:rFonts w:cs="Arial" w:hint="cs"/>
          <w:sz w:val="22"/>
          <w:szCs w:val="22"/>
          <w:rtl/>
        </w:rPr>
        <w:t>מגלחין</w:t>
      </w:r>
      <w:r w:rsidRPr="00BB1776">
        <w:rPr>
          <w:rFonts w:cs="Arial"/>
          <w:sz w:val="22"/>
          <w:szCs w:val="22"/>
          <w:rtl/>
        </w:rPr>
        <w:t xml:space="preserve"> </w:t>
      </w:r>
      <w:r w:rsidRPr="00BB1776">
        <w:rPr>
          <w:rFonts w:cs="Arial" w:hint="cs"/>
          <w:sz w:val="22"/>
          <w:szCs w:val="22"/>
          <w:rtl/>
        </w:rPr>
        <w:t>במועד</w:t>
      </w:r>
      <w:r w:rsidRPr="00BB1776">
        <w:rPr>
          <w:rFonts w:cs="Arial"/>
          <w:sz w:val="22"/>
          <w:szCs w:val="22"/>
          <w:rtl/>
        </w:rPr>
        <w:t xml:space="preserve"> </w:t>
      </w:r>
      <w:r w:rsidRPr="00BB1776">
        <w:rPr>
          <w:rFonts w:cs="Arial" w:hint="cs"/>
          <w:sz w:val="22"/>
          <w:szCs w:val="22"/>
          <w:rtl/>
        </w:rPr>
        <w:t>הבא</w:t>
      </w:r>
      <w:r w:rsidRPr="00BB1776">
        <w:rPr>
          <w:rFonts w:cs="Arial"/>
          <w:sz w:val="22"/>
          <w:szCs w:val="22"/>
          <w:rtl/>
        </w:rPr>
        <w:t xml:space="preserve"> </w:t>
      </w:r>
      <w:r w:rsidRPr="00BB1776">
        <w:rPr>
          <w:rFonts w:cs="Arial" w:hint="cs"/>
          <w:sz w:val="22"/>
          <w:szCs w:val="22"/>
          <w:rtl/>
        </w:rPr>
        <w:t>ממדינת</w:t>
      </w:r>
      <w:r w:rsidRPr="00BB1776">
        <w:rPr>
          <w:rFonts w:cs="Arial"/>
          <w:sz w:val="22"/>
          <w:szCs w:val="22"/>
          <w:rtl/>
        </w:rPr>
        <w:t xml:space="preserve"> </w:t>
      </w:r>
      <w:r w:rsidRPr="00BB1776">
        <w:rPr>
          <w:rFonts w:cs="Arial" w:hint="cs"/>
          <w:sz w:val="22"/>
          <w:szCs w:val="22"/>
          <w:rtl/>
        </w:rPr>
        <w:t>הים</w:t>
      </w:r>
      <w:r w:rsidRPr="00BB1776">
        <w:rPr>
          <w:rFonts w:cs="Arial"/>
          <w:sz w:val="22"/>
          <w:szCs w:val="22"/>
          <w:rtl/>
        </w:rPr>
        <w:t xml:space="preserve"> </w:t>
      </w:r>
      <w:r w:rsidRPr="00BB1776">
        <w:rPr>
          <w:rFonts w:cs="Arial" w:hint="cs"/>
          <w:sz w:val="22"/>
          <w:szCs w:val="22"/>
          <w:rtl/>
        </w:rPr>
        <w:t>ומבית</w:t>
      </w:r>
      <w:r w:rsidRPr="00BB1776">
        <w:rPr>
          <w:rFonts w:cs="Arial"/>
          <w:sz w:val="22"/>
          <w:szCs w:val="22"/>
          <w:rtl/>
        </w:rPr>
        <w:t xml:space="preserve"> </w:t>
      </w:r>
      <w:r w:rsidRPr="00BB1776">
        <w:rPr>
          <w:rFonts w:cs="Arial" w:hint="cs"/>
          <w:sz w:val="22"/>
          <w:szCs w:val="22"/>
          <w:rtl/>
        </w:rPr>
        <w:t>השביה</w:t>
      </w:r>
      <w:r w:rsidRPr="00BB1776">
        <w:rPr>
          <w:rFonts w:cs="Arial"/>
          <w:sz w:val="22"/>
          <w:szCs w:val="22"/>
          <w:rtl/>
        </w:rPr>
        <w:t xml:space="preserve"> </w:t>
      </w:r>
      <w:r w:rsidRPr="00BB1776">
        <w:rPr>
          <w:rFonts w:cs="Arial" w:hint="cs"/>
          <w:sz w:val="22"/>
          <w:szCs w:val="22"/>
          <w:rtl/>
        </w:rPr>
        <w:t>והיוצא</w:t>
      </w:r>
      <w:r w:rsidRPr="00BB1776">
        <w:rPr>
          <w:rFonts w:cs="Arial"/>
          <w:sz w:val="22"/>
          <w:szCs w:val="22"/>
          <w:rtl/>
        </w:rPr>
        <w:t xml:space="preserve"> </w:t>
      </w:r>
      <w:r w:rsidRPr="00BB1776">
        <w:rPr>
          <w:rFonts w:cs="Arial" w:hint="cs"/>
          <w:sz w:val="22"/>
          <w:szCs w:val="22"/>
          <w:rtl/>
        </w:rPr>
        <w:t>מבית</w:t>
      </w:r>
      <w:r w:rsidRPr="00BB1776">
        <w:rPr>
          <w:rFonts w:cs="Arial"/>
          <w:sz w:val="22"/>
          <w:szCs w:val="22"/>
          <w:rtl/>
        </w:rPr>
        <w:t xml:space="preserve"> </w:t>
      </w:r>
      <w:r w:rsidRPr="00BB1776">
        <w:rPr>
          <w:rFonts w:cs="Arial" w:hint="cs"/>
          <w:sz w:val="22"/>
          <w:szCs w:val="22"/>
          <w:rtl/>
        </w:rPr>
        <w:t>האסורין</w:t>
      </w:r>
      <w:r w:rsidRPr="00BB1776">
        <w:rPr>
          <w:rFonts w:cs="Arial"/>
          <w:sz w:val="22"/>
          <w:szCs w:val="22"/>
          <w:rtl/>
        </w:rPr>
        <w:t xml:space="preserve"> </w:t>
      </w:r>
      <w:r w:rsidRPr="00BB1776">
        <w:rPr>
          <w:rFonts w:cs="Arial" w:hint="cs"/>
          <w:sz w:val="22"/>
          <w:szCs w:val="22"/>
          <w:rtl/>
        </w:rPr>
        <w:t>והמנודה</w:t>
      </w:r>
      <w:r w:rsidRPr="00BB1776">
        <w:rPr>
          <w:rFonts w:cs="Arial"/>
          <w:sz w:val="22"/>
          <w:szCs w:val="22"/>
          <w:rtl/>
        </w:rPr>
        <w:t xml:space="preserve"> </w:t>
      </w:r>
      <w:r w:rsidRPr="00BB1776">
        <w:rPr>
          <w:rFonts w:cs="Arial" w:hint="cs"/>
          <w:sz w:val="22"/>
          <w:szCs w:val="22"/>
          <w:rtl/>
        </w:rPr>
        <w:t>שהתירו</w:t>
      </w:r>
      <w:r w:rsidRPr="00BB1776">
        <w:rPr>
          <w:rFonts w:cs="Arial"/>
          <w:sz w:val="22"/>
          <w:szCs w:val="22"/>
          <w:rtl/>
        </w:rPr>
        <w:t xml:space="preserve"> </w:t>
      </w:r>
      <w:r w:rsidRPr="00BB1776">
        <w:rPr>
          <w:rFonts w:cs="Arial" w:hint="cs"/>
          <w:sz w:val="22"/>
          <w:szCs w:val="22"/>
          <w:rtl/>
        </w:rPr>
        <w:t>לו</w:t>
      </w:r>
      <w:r w:rsidRPr="00BB1776">
        <w:rPr>
          <w:rFonts w:cs="Arial"/>
          <w:sz w:val="22"/>
          <w:szCs w:val="22"/>
          <w:rtl/>
        </w:rPr>
        <w:t xml:space="preserve"> </w:t>
      </w:r>
      <w:r w:rsidRPr="00BB1776">
        <w:rPr>
          <w:rFonts w:cs="Arial" w:hint="cs"/>
          <w:sz w:val="22"/>
          <w:szCs w:val="22"/>
          <w:rtl/>
        </w:rPr>
        <w:t>חכמים</w:t>
      </w:r>
      <w:r w:rsidRPr="00BB1776">
        <w:rPr>
          <w:rFonts w:cs="Arial"/>
          <w:sz w:val="22"/>
          <w:szCs w:val="22"/>
          <w:rtl/>
        </w:rPr>
        <w:t xml:space="preserve"> </w:t>
      </w:r>
      <w:r w:rsidRPr="00BB1776">
        <w:rPr>
          <w:rFonts w:cs="Arial" w:hint="cs"/>
          <w:sz w:val="22"/>
          <w:szCs w:val="22"/>
          <w:rtl/>
        </w:rPr>
        <w:t>וכן</w:t>
      </w:r>
      <w:r w:rsidRPr="00BB1776">
        <w:rPr>
          <w:rFonts w:cs="Arial"/>
          <w:sz w:val="22"/>
          <w:szCs w:val="22"/>
          <w:rtl/>
        </w:rPr>
        <w:t xml:space="preserve"> </w:t>
      </w:r>
      <w:r w:rsidRPr="00BB1776">
        <w:rPr>
          <w:rFonts w:cs="Arial" w:hint="cs"/>
          <w:sz w:val="22"/>
          <w:szCs w:val="22"/>
          <w:rtl/>
        </w:rPr>
        <w:t>מי</w:t>
      </w:r>
      <w:r w:rsidRPr="00BB1776">
        <w:rPr>
          <w:rFonts w:cs="Arial"/>
          <w:sz w:val="22"/>
          <w:szCs w:val="22"/>
          <w:rtl/>
        </w:rPr>
        <w:t xml:space="preserve"> </w:t>
      </w:r>
      <w:r w:rsidRPr="00BB1776">
        <w:rPr>
          <w:rFonts w:cs="Arial" w:hint="cs"/>
          <w:sz w:val="22"/>
          <w:szCs w:val="22"/>
          <w:rtl/>
        </w:rPr>
        <w:t>שנשאל</w:t>
      </w:r>
      <w:r w:rsidRPr="00BB1776">
        <w:rPr>
          <w:rFonts w:cs="Arial"/>
          <w:sz w:val="22"/>
          <w:szCs w:val="22"/>
          <w:rtl/>
        </w:rPr>
        <w:t xml:space="preserve"> </w:t>
      </w:r>
      <w:r w:rsidRPr="00BB1776">
        <w:rPr>
          <w:rFonts w:cs="Arial" w:hint="cs"/>
          <w:sz w:val="22"/>
          <w:szCs w:val="22"/>
          <w:rtl/>
        </w:rPr>
        <w:t>לחכם</w:t>
      </w:r>
      <w:r w:rsidRPr="00BB1776">
        <w:rPr>
          <w:rFonts w:cs="Arial"/>
          <w:sz w:val="22"/>
          <w:szCs w:val="22"/>
          <w:rtl/>
        </w:rPr>
        <w:t xml:space="preserve"> </w:t>
      </w:r>
      <w:r w:rsidRPr="00BB1776">
        <w:rPr>
          <w:rFonts w:cs="Arial" w:hint="cs"/>
          <w:sz w:val="22"/>
          <w:szCs w:val="22"/>
          <w:rtl/>
        </w:rPr>
        <w:t xml:space="preserve">והותר וכו', ובגמ' נסתפקו באבדה לו אבדה בערב הרגל דהיה אנוס ולא יכל להסתפר, ופשטו לאיסור </w:t>
      </w:r>
      <w:r w:rsidRPr="00BB1776">
        <w:rPr>
          <w:rFonts w:cs="Arial" w:hint="cs"/>
          <w:sz w:val="22"/>
          <w:szCs w:val="18"/>
          <w:rtl/>
        </w:rPr>
        <w:t>(דא"כ יאמרו כל הסריקין אסורין סריקי בייתוס מותרין</w:t>
      </w:r>
      <w:r w:rsidRPr="00BB1776">
        <w:rPr>
          <w:rFonts w:cs="Arial"/>
          <w:sz w:val="22"/>
          <w:szCs w:val="18"/>
          <w:rtl/>
        </w:rPr>
        <w:t>)</w:t>
      </w:r>
      <w:r w:rsidRPr="00BB1776">
        <w:rPr>
          <w:rFonts w:cs="Arial" w:hint="cs"/>
          <w:sz w:val="22"/>
          <w:szCs w:val="22"/>
          <w:rtl/>
        </w:rPr>
        <w:t xml:space="preserve"> ודוקא בהנך אונסין דמתני' התירו משום דמוכחא מילתא</w:t>
      </w:r>
      <w:r w:rsidR="002F2EE3" w:rsidRPr="00BB1776">
        <w:rPr>
          <w:rFonts w:cs="Arial" w:hint="cs"/>
          <w:sz w:val="22"/>
          <w:szCs w:val="22"/>
          <w:rtl/>
        </w:rPr>
        <w:t xml:space="preserve">, ובב"י </w:t>
      </w:r>
      <w:r w:rsidR="002F2EE3" w:rsidRPr="00BB1776">
        <w:rPr>
          <w:rFonts w:cs="Arial" w:hint="cs"/>
          <w:sz w:val="22"/>
          <w:szCs w:val="18"/>
          <w:rtl/>
        </w:rPr>
        <w:t>(ג</w:t>
      </w:r>
      <w:r w:rsidR="002F2EE3" w:rsidRPr="00BB1776">
        <w:rPr>
          <w:rFonts w:cs="Arial"/>
          <w:sz w:val="22"/>
          <w:szCs w:val="18"/>
          <w:rtl/>
        </w:rPr>
        <w:t>)</w:t>
      </w:r>
      <w:r w:rsidR="002F2EE3" w:rsidRPr="00BB1776">
        <w:rPr>
          <w:rFonts w:cs="Arial" w:hint="cs"/>
          <w:sz w:val="22"/>
          <w:szCs w:val="22"/>
          <w:rtl/>
        </w:rPr>
        <w:t xml:space="preserve"> הביא מתשו' הרשב"א </w:t>
      </w:r>
      <w:r w:rsidR="002F2EE3" w:rsidRPr="00BB1776">
        <w:rPr>
          <w:rFonts w:cs="Arial"/>
          <w:sz w:val="22"/>
          <w:szCs w:val="18"/>
          <w:rtl/>
        </w:rPr>
        <w:t>(</w:t>
      </w:r>
      <w:r w:rsidR="002F2EE3" w:rsidRPr="00BB1776">
        <w:rPr>
          <w:rFonts w:cs="Arial" w:hint="cs"/>
          <w:sz w:val="22"/>
          <w:szCs w:val="18"/>
          <w:rtl/>
        </w:rPr>
        <w:t>ג,רעה</w:t>
      </w:r>
      <w:r w:rsidR="002F2EE3" w:rsidRPr="00BB1776">
        <w:rPr>
          <w:rFonts w:cs="Arial"/>
          <w:sz w:val="22"/>
          <w:szCs w:val="18"/>
          <w:rtl/>
        </w:rPr>
        <w:t>)</w:t>
      </w:r>
      <w:r w:rsidR="002F2EE3" w:rsidRPr="00BB1776">
        <w:rPr>
          <w:rFonts w:cs="Arial" w:hint="cs"/>
          <w:sz w:val="22"/>
          <w:szCs w:val="22"/>
          <w:rtl/>
        </w:rPr>
        <w:t xml:space="preserve"> דה"ה חולה שנתרפא במועד אסור לגלח דאי"ז אונס דמוכח, וכ"פ בשו"ע </w:t>
      </w:r>
      <w:r w:rsidR="002F2EE3" w:rsidRPr="00BB1776">
        <w:rPr>
          <w:rFonts w:cs="Arial" w:hint="cs"/>
          <w:sz w:val="22"/>
          <w:szCs w:val="18"/>
          <w:rtl/>
        </w:rPr>
        <w:t>(סעי' ג'</w:t>
      </w:r>
      <w:r w:rsidR="002F2EE3" w:rsidRPr="00BB1776">
        <w:rPr>
          <w:rFonts w:cs="Arial"/>
          <w:sz w:val="22"/>
          <w:szCs w:val="18"/>
          <w:rtl/>
        </w:rPr>
        <w:t>)</w:t>
      </w:r>
      <w:r w:rsidRPr="00BB1776">
        <w:rPr>
          <w:rFonts w:cs="Arial" w:hint="cs"/>
          <w:sz w:val="22"/>
          <w:szCs w:val="22"/>
          <w:rtl/>
        </w:rPr>
        <w:t>.</w:t>
      </w:r>
    </w:p>
    <w:p w14:paraId="75AF1FE6" w14:textId="6C9ECD46" w:rsidR="002F2EE3" w:rsidRPr="00BB1776" w:rsidRDefault="000668E5" w:rsidP="00BB1776">
      <w:pPr>
        <w:jc w:val="both"/>
        <w:rPr>
          <w:rFonts w:cs="Arial"/>
          <w:sz w:val="22"/>
          <w:szCs w:val="22"/>
          <w:rtl/>
        </w:rPr>
      </w:pPr>
      <w:r w:rsidRPr="00BB1776">
        <w:rPr>
          <w:rFonts w:cs="Arial" w:hint="cs"/>
          <w:sz w:val="22"/>
          <w:szCs w:val="22"/>
          <w:rtl/>
        </w:rPr>
        <w:t xml:space="preserve">וברש"י דבלא מוכחא מילתא לא ידעי כו"ע דאנוס היה ויאמרו דכיוון להשהות במועד, ומשמע דבהנך דמתני' ידעי כו"ע דאנוס הוא, </w:t>
      </w:r>
      <w:r w:rsidR="002F2EE3" w:rsidRPr="00BB1776">
        <w:rPr>
          <w:rFonts w:cs="Arial" w:hint="cs"/>
          <w:sz w:val="22"/>
          <w:szCs w:val="22"/>
          <w:rtl/>
        </w:rPr>
        <w:t>ובריטב"א</w:t>
      </w:r>
      <w:r w:rsidR="002F2EE3" w:rsidRPr="00BB1776">
        <w:rPr>
          <w:rFonts w:cs="Arial"/>
          <w:sz w:val="22"/>
          <w:szCs w:val="22"/>
          <w:rtl/>
        </w:rPr>
        <w:t xml:space="preserve"> </w:t>
      </w:r>
      <w:r w:rsidR="005B1631" w:rsidRPr="00BB1776">
        <w:rPr>
          <w:rFonts w:cs="Arial" w:hint="cs"/>
          <w:sz w:val="22"/>
          <w:szCs w:val="22"/>
          <w:rtl/>
        </w:rPr>
        <w:t xml:space="preserve">כתב </w:t>
      </w:r>
      <w:r w:rsidR="002F2EE3" w:rsidRPr="00BB1776">
        <w:rPr>
          <w:rFonts w:cs="Arial" w:hint="cs"/>
          <w:sz w:val="22"/>
          <w:szCs w:val="22"/>
          <w:rtl/>
        </w:rPr>
        <w:t>'דהתם</w:t>
      </w:r>
      <w:r w:rsidR="002F2EE3" w:rsidRPr="00BB1776">
        <w:rPr>
          <w:rFonts w:cs="Arial"/>
          <w:sz w:val="22"/>
          <w:szCs w:val="22"/>
          <w:rtl/>
        </w:rPr>
        <w:t xml:space="preserve"> </w:t>
      </w:r>
      <w:r w:rsidR="002F2EE3" w:rsidRPr="00BB1776">
        <w:rPr>
          <w:rFonts w:cs="Arial" w:hint="cs"/>
          <w:sz w:val="22"/>
          <w:szCs w:val="22"/>
          <w:rtl/>
        </w:rPr>
        <w:t>קלא</w:t>
      </w:r>
      <w:r w:rsidR="002F2EE3" w:rsidRPr="00BB1776">
        <w:rPr>
          <w:rFonts w:cs="Arial"/>
          <w:sz w:val="22"/>
          <w:szCs w:val="22"/>
          <w:rtl/>
        </w:rPr>
        <w:t xml:space="preserve"> </w:t>
      </w:r>
      <w:r w:rsidR="002F2EE3" w:rsidRPr="00BB1776">
        <w:rPr>
          <w:rFonts w:cs="Arial" w:hint="cs"/>
          <w:sz w:val="22"/>
          <w:szCs w:val="22"/>
          <w:rtl/>
        </w:rPr>
        <w:t>רבה</w:t>
      </w:r>
      <w:r w:rsidR="002F2EE3" w:rsidRPr="00BB1776">
        <w:rPr>
          <w:rFonts w:cs="Arial"/>
          <w:sz w:val="22"/>
          <w:szCs w:val="22"/>
          <w:rtl/>
        </w:rPr>
        <w:t xml:space="preserve"> </w:t>
      </w:r>
      <w:r w:rsidR="002F2EE3" w:rsidRPr="00BB1776">
        <w:rPr>
          <w:rFonts w:cs="Arial" w:hint="cs"/>
          <w:sz w:val="22"/>
          <w:szCs w:val="22"/>
          <w:rtl/>
        </w:rPr>
        <w:t>אית</w:t>
      </w:r>
      <w:r w:rsidR="002F2EE3" w:rsidRPr="00BB1776">
        <w:rPr>
          <w:rFonts w:cs="Arial"/>
          <w:sz w:val="22"/>
          <w:szCs w:val="22"/>
          <w:rtl/>
        </w:rPr>
        <w:t xml:space="preserve"> </w:t>
      </w:r>
      <w:r w:rsidR="002F2EE3" w:rsidRPr="00BB1776">
        <w:rPr>
          <w:rFonts w:cs="Arial" w:hint="cs"/>
          <w:sz w:val="22"/>
          <w:szCs w:val="22"/>
          <w:rtl/>
        </w:rPr>
        <w:t>להו</w:t>
      </w:r>
      <w:r w:rsidR="002F2EE3" w:rsidRPr="00BB1776">
        <w:rPr>
          <w:rFonts w:cs="Arial"/>
          <w:sz w:val="22"/>
          <w:szCs w:val="22"/>
          <w:rtl/>
        </w:rPr>
        <w:t xml:space="preserve"> </w:t>
      </w:r>
      <w:r w:rsidR="002F2EE3" w:rsidRPr="00BB1776">
        <w:rPr>
          <w:rFonts w:cs="Arial" w:hint="cs"/>
          <w:sz w:val="22"/>
          <w:szCs w:val="22"/>
          <w:rtl/>
        </w:rPr>
        <w:t>וכולי</w:t>
      </w:r>
      <w:r w:rsidR="002F2EE3" w:rsidRPr="00BB1776">
        <w:rPr>
          <w:rFonts w:cs="Arial"/>
          <w:sz w:val="22"/>
          <w:szCs w:val="22"/>
          <w:rtl/>
        </w:rPr>
        <w:t xml:space="preserve"> </w:t>
      </w:r>
      <w:r w:rsidR="002F2EE3" w:rsidRPr="00BB1776">
        <w:rPr>
          <w:rFonts w:cs="Arial" w:hint="cs"/>
          <w:sz w:val="22"/>
          <w:szCs w:val="22"/>
          <w:rtl/>
        </w:rPr>
        <w:t>עלמא</w:t>
      </w:r>
      <w:r w:rsidR="002F2EE3" w:rsidRPr="00BB1776">
        <w:rPr>
          <w:rFonts w:cs="Arial"/>
          <w:sz w:val="22"/>
          <w:szCs w:val="22"/>
          <w:rtl/>
        </w:rPr>
        <w:t xml:space="preserve"> </w:t>
      </w:r>
      <w:r w:rsidR="002F2EE3" w:rsidRPr="00BB1776">
        <w:rPr>
          <w:rFonts w:cs="Arial" w:hint="cs"/>
          <w:sz w:val="22"/>
          <w:szCs w:val="22"/>
          <w:rtl/>
        </w:rPr>
        <w:t>ידעי</w:t>
      </w:r>
      <w:r w:rsidR="002F2EE3" w:rsidRPr="00BB1776">
        <w:rPr>
          <w:rFonts w:cs="Arial"/>
          <w:sz w:val="22"/>
          <w:szCs w:val="22"/>
          <w:rtl/>
        </w:rPr>
        <w:t xml:space="preserve"> </w:t>
      </w:r>
      <w:r w:rsidR="002F2EE3" w:rsidRPr="00BB1776">
        <w:rPr>
          <w:rFonts w:cs="Arial" w:hint="cs"/>
          <w:sz w:val="22"/>
          <w:szCs w:val="22"/>
          <w:rtl/>
        </w:rPr>
        <w:t>שאנוסין</w:t>
      </w:r>
      <w:r w:rsidR="002F2EE3" w:rsidRPr="00BB1776">
        <w:rPr>
          <w:rFonts w:cs="Arial"/>
          <w:sz w:val="22"/>
          <w:szCs w:val="22"/>
          <w:rtl/>
        </w:rPr>
        <w:t xml:space="preserve"> </w:t>
      </w:r>
      <w:r w:rsidR="002F2EE3" w:rsidRPr="00BB1776">
        <w:rPr>
          <w:rFonts w:cs="Arial" w:hint="cs"/>
          <w:sz w:val="22"/>
          <w:szCs w:val="22"/>
          <w:rtl/>
        </w:rPr>
        <w:t>גמורין</w:t>
      </w:r>
      <w:r w:rsidR="002F2EE3" w:rsidRPr="00BB1776">
        <w:rPr>
          <w:rFonts w:cs="Arial"/>
          <w:sz w:val="22"/>
          <w:szCs w:val="22"/>
          <w:rtl/>
        </w:rPr>
        <w:t xml:space="preserve"> </w:t>
      </w:r>
      <w:r w:rsidR="002F2EE3" w:rsidRPr="00BB1776">
        <w:rPr>
          <w:rFonts w:cs="Arial" w:hint="cs"/>
          <w:sz w:val="22"/>
          <w:szCs w:val="22"/>
          <w:rtl/>
        </w:rPr>
        <w:t>היו</w:t>
      </w:r>
      <w:r w:rsidR="002F2EE3" w:rsidRPr="00BB1776">
        <w:rPr>
          <w:rFonts w:cs="Arial"/>
          <w:sz w:val="22"/>
          <w:szCs w:val="22"/>
          <w:rtl/>
        </w:rPr>
        <w:t xml:space="preserve"> </w:t>
      </w:r>
      <w:r w:rsidR="002F2EE3" w:rsidRPr="00BB1776">
        <w:rPr>
          <w:rFonts w:cs="Arial" w:hint="cs"/>
          <w:sz w:val="22"/>
          <w:szCs w:val="22"/>
          <w:rtl/>
        </w:rPr>
        <w:t>ולא</w:t>
      </w:r>
      <w:r w:rsidR="002F2EE3" w:rsidRPr="00BB1776">
        <w:rPr>
          <w:rFonts w:cs="Arial"/>
          <w:sz w:val="22"/>
          <w:szCs w:val="22"/>
          <w:rtl/>
        </w:rPr>
        <w:t xml:space="preserve"> </w:t>
      </w:r>
      <w:r w:rsidR="002F2EE3" w:rsidRPr="00BB1776">
        <w:rPr>
          <w:rFonts w:cs="Arial" w:hint="cs"/>
          <w:sz w:val="22"/>
          <w:szCs w:val="22"/>
          <w:rtl/>
        </w:rPr>
        <w:t>אתי</w:t>
      </w:r>
      <w:r w:rsidR="002F2EE3" w:rsidRPr="00BB1776">
        <w:rPr>
          <w:rFonts w:cs="Arial"/>
          <w:sz w:val="22"/>
          <w:szCs w:val="22"/>
          <w:rtl/>
        </w:rPr>
        <w:t xml:space="preserve"> </w:t>
      </w:r>
      <w:r w:rsidR="002F2EE3" w:rsidRPr="00BB1776">
        <w:rPr>
          <w:rFonts w:cs="Arial" w:hint="cs"/>
          <w:sz w:val="22"/>
          <w:szCs w:val="22"/>
          <w:rtl/>
        </w:rPr>
        <w:t>לאיחלופי</w:t>
      </w:r>
      <w:r w:rsidR="002F2EE3" w:rsidRPr="00BB1776">
        <w:rPr>
          <w:rFonts w:cs="Arial"/>
          <w:sz w:val="22"/>
          <w:szCs w:val="22"/>
          <w:rtl/>
        </w:rPr>
        <w:t xml:space="preserve"> </w:t>
      </w:r>
      <w:r w:rsidR="002F2EE3" w:rsidRPr="00BB1776">
        <w:rPr>
          <w:rFonts w:cs="Arial" w:hint="cs"/>
          <w:sz w:val="22"/>
          <w:szCs w:val="22"/>
          <w:rtl/>
        </w:rPr>
        <w:t>בעלמא'.</w:t>
      </w:r>
    </w:p>
    <w:p w14:paraId="3071C28D" w14:textId="1809A07A" w:rsidR="002F2EE3" w:rsidRPr="00BB1776" w:rsidRDefault="002F2EE3" w:rsidP="00BB1776">
      <w:pPr>
        <w:jc w:val="both"/>
        <w:rPr>
          <w:sz w:val="22"/>
          <w:szCs w:val="22"/>
          <w:highlight w:val="yellow"/>
          <w:rtl/>
        </w:rPr>
      </w:pPr>
      <w:r w:rsidRPr="00BB1776">
        <w:rPr>
          <w:rFonts w:cs="Arial" w:hint="cs"/>
          <w:sz w:val="22"/>
          <w:szCs w:val="22"/>
          <w:rtl/>
        </w:rPr>
        <w:t xml:space="preserve">ובמ"ב </w:t>
      </w:r>
      <w:r w:rsidRPr="00BB1776">
        <w:rPr>
          <w:rFonts w:cs="Arial" w:hint="cs"/>
          <w:sz w:val="22"/>
          <w:szCs w:val="18"/>
          <w:rtl/>
        </w:rPr>
        <w:t>(סק"ה</w:t>
      </w:r>
      <w:r w:rsidRPr="00BB1776">
        <w:rPr>
          <w:rFonts w:cs="Arial"/>
          <w:sz w:val="22"/>
          <w:szCs w:val="18"/>
          <w:rtl/>
        </w:rPr>
        <w:t>)</w:t>
      </w:r>
      <w:r w:rsidRPr="00BB1776">
        <w:rPr>
          <w:rFonts w:cs="Arial" w:hint="cs"/>
          <w:sz w:val="22"/>
          <w:szCs w:val="22"/>
          <w:rtl/>
        </w:rPr>
        <w:t xml:space="preserve"> העתיק 'דהני אונסין </w:t>
      </w:r>
      <w:r w:rsidRPr="00BB1776">
        <w:rPr>
          <w:rFonts w:cs="Arial"/>
          <w:sz w:val="22"/>
          <w:szCs w:val="18"/>
          <w:rtl/>
        </w:rPr>
        <w:t>(</w:t>
      </w:r>
      <w:r w:rsidRPr="00BB1776">
        <w:rPr>
          <w:rFonts w:cs="Arial" w:hint="cs"/>
          <w:sz w:val="22"/>
          <w:szCs w:val="18"/>
          <w:rtl/>
        </w:rPr>
        <w:t>דמתני'</w:t>
      </w:r>
      <w:r w:rsidRPr="00BB1776">
        <w:rPr>
          <w:rFonts w:cs="Arial"/>
          <w:sz w:val="22"/>
          <w:szCs w:val="18"/>
          <w:rtl/>
        </w:rPr>
        <w:t>)</w:t>
      </w:r>
      <w:r w:rsidRPr="00BB1776">
        <w:rPr>
          <w:rFonts w:cs="Arial" w:hint="cs"/>
          <w:sz w:val="22"/>
          <w:szCs w:val="22"/>
          <w:rtl/>
        </w:rPr>
        <w:t xml:space="preserve"> מפורסמין וגלויין לכל הוא שא"א להם לגלח מקודם, אבל שארי אנסין אינם מפורסמין וידועים ואם נתיר להם יבוא להתיר אף שלא מתוך אונס', ופי' בשעה"צ </w:t>
      </w:r>
      <w:r w:rsidRPr="00BB1776">
        <w:rPr>
          <w:rFonts w:cs="Arial" w:hint="cs"/>
          <w:sz w:val="22"/>
          <w:szCs w:val="18"/>
          <w:rtl/>
        </w:rPr>
        <w:t>(ז</w:t>
      </w:r>
      <w:r w:rsidRPr="00BB1776">
        <w:rPr>
          <w:rFonts w:cs="Arial"/>
          <w:sz w:val="22"/>
          <w:szCs w:val="18"/>
          <w:rtl/>
        </w:rPr>
        <w:t>)</w:t>
      </w:r>
      <w:r w:rsidRPr="00BB1776">
        <w:rPr>
          <w:rFonts w:cs="Arial" w:hint="cs"/>
          <w:sz w:val="22"/>
          <w:szCs w:val="22"/>
          <w:rtl/>
        </w:rPr>
        <w:t xml:space="preserve"> דאין הטעם מצד שמפורסם לכל שהיה אנוס, דא"כ בנודר שנשאל לחכם במועד והתירו ג"כ אינו מפורסם </w:t>
      </w:r>
      <w:r w:rsidRPr="00BB1776">
        <w:rPr>
          <w:rFonts w:cs="Arial" w:hint="cs"/>
          <w:sz w:val="22"/>
          <w:szCs w:val="18"/>
          <w:rtl/>
        </w:rPr>
        <w:t>(דאטו הנודר נדר בפרהסיא דוקא, וההיתר הלא ביחיד ממחה ג"כ אין מפרסם</w:t>
      </w:r>
      <w:r w:rsidRPr="00BB1776">
        <w:rPr>
          <w:rFonts w:cs="Arial"/>
          <w:sz w:val="22"/>
          <w:szCs w:val="18"/>
          <w:rtl/>
        </w:rPr>
        <w:t>)</w:t>
      </w:r>
      <w:r w:rsidRPr="00BB1776">
        <w:rPr>
          <w:rFonts w:cs="Arial" w:hint="cs"/>
          <w:sz w:val="22"/>
          <w:szCs w:val="22"/>
          <w:rtl/>
        </w:rPr>
        <w:t xml:space="preserve"> ואפ"ה התירו, וביותר דחולה שנתרפא במועד אסור אף שהיה מפורסם לרבים שהיה חולה, ובע"כ דאי"ז תלוי אי מפורסם שהיה אנוס, אלא אי האונס מפורסם שא"א </w:t>
      </w:r>
      <w:r w:rsidRPr="00BB1776">
        <w:rPr>
          <w:rFonts w:cs="Arial" w:hint="cs"/>
          <w:sz w:val="22"/>
          <w:szCs w:val="22"/>
          <w:rtl/>
        </w:rPr>
        <w:t>לגלח מחמתו, ובחולה אי"ז מפורסם שא"י לגלח מחמת חוליו</w:t>
      </w:r>
      <w:r w:rsidR="004333F1" w:rsidRPr="00BB1776">
        <w:rPr>
          <w:rStyle w:val="af0"/>
          <w:rFonts w:cs="Arial"/>
          <w:sz w:val="22"/>
          <w:szCs w:val="22"/>
          <w:rtl/>
        </w:rPr>
        <w:footnoteReference w:id="6"/>
      </w:r>
      <w:r w:rsidRPr="00BB1776">
        <w:rPr>
          <w:rFonts w:cs="Arial"/>
          <w:sz w:val="22"/>
          <w:szCs w:val="22"/>
          <w:rtl/>
        </w:rPr>
        <w:t>.</w:t>
      </w:r>
    </w:p>
    <w:p w14:paraId="50AE403C" w14:textId="0ABE35D9" w:rsidR="00C67F99" w:rsidRPr="00BB1776" w:rsidRDefault="00142914" w:rsidP="00BB1776">
      <w:pPr>
        <w:jc w:val="both"/>
        <w:rPr>
          <w:sz w:val="22"/>
          <w:szCs w:val="22"/>
          <w:rtl/>
        </w:rPr>
      </w:pPr>
      <w:r w:rsidRPr="00BB1776">
        <w:rPr>
          <w:rFonts w:hint="cs"/>
          <w:sz w:val="22"/>
          <w:szCs w:val="22"/>
          <w:rtl/>
        </w:rPr>
        <w:t>ו</w:t>
      </w:r>
      <w:r w:rsidR="004333F1" w:rsidRPr="00BB1776">
        <w:rPr>
          <w:rFonts w:hint="cs"/>
          <w:sz w:val="22"/>
          <w:szCs w:val="22"/>
          <w:rtl/>
        </w:rPr>
        <w:t xml:space="preserve">דבריו צ"ע, א' </w:t>
      </w:r>
      <w:r w:rsidR="00C67F99" w:rsidRPr="00BB1776">
        <w:rPr>
          <w:rFonts w:hint="cs"/>
          <w:sz w:val="22"/>
          <w:szCs w:val="22"/>
          <w:rtl/>
        </w:rPr>
        <w:t xml:space="preserve">דבגמ' נסתפקו לגבי אומן שאבדה לו אבידה קודם הרגל אי חשיב אונס דמוכח </w:t>
      </w:r>
      <w:r w:rsidR="00C67F99" w:rsidRPr="00BB1776">
        <w:rPr>
          <w:rFonts w:hint="cs"/>
          <w:sz w:val="22"/>
          <w:szCs w:val="18"/>
          <w:rtl/>
        </w:rPr>
        <w:t>(והניחו בתיקו, ושיטת האו"ז (בהגהות אשרי, פ"ב סי' א', הו"ד בב"י ג</w:t>
      </w:r>
      <w:r w:rsidR="00C67F99" w:rsidRPr="00BB1776">
        <w:rPr>
          <w:sz w:val="22"/>
          <w:szCs w:val="18"/>
          <w:rtl/>
        </w:rPr>
        <w:t>)</w:t>
      </w:r>
      <w:r w:rsidR="00C67F99" w:rsidRPr="00BB1776">
        <w:rPr>
          <w:rFonts w:hint="cs"/>
          <w:sz w:val="22"/>
          <w:szCs w:val="18"/>
          <w:rtl/>
        </w:rPr>
        <w:t xml:space="preserve"> להקל, אך לדידן קי"ל להחמיר</w:t>
      </w:r>
      <w:r w:rsidR="00C67F99" w:rsidRPr="00BB1776">
        <w:rPr>
          <w:sz w:val="22"/>
          <w:szCs w:val="18"/>
          <w:rtl/>
        </w:rPr>
        <w:t>)</w:t>
      </w:r>
      <w:r w:rsidR="00C67F99" w:rsidRPr="00BB1776">
        <w:rPr>
          <w:rFonts w:hint="cs"/>
          <w:sz w:val="22"/>
          <w:szCs w:val="22"/>
          <w:rtl/>
        </w:rPr>
        <w:t>, ולדעת המ"ב דאין תלוי בפירסום שהיה אנוס אלא רק בפירסום שנחשב אונס, א"כ מה החילוק בין אומן ל</w:t>
      </w:r>
      <w:r w:rsidR="005B1631" w:rsidRPr="00BB1776">
        <w:rPr>
          <w:rFonts w:hint="cs"/>
          <w:sz w:val="22"/>
          <w:szCs w:val="22"/>
          <w:rtl/>
        </w:rPr>
        <w:t>סתם אדם</w:t>
      </w:r>
      <w:r w:rsidR="00C67F99" w:rsidRPr="00BB1776">
        <w:rPr>
          <w:rFonts w:hint="cs"/>
          <w:sz w:val="22"/>
          <w:szCs w:val="22"/>
          <w:rtl/>
        </w:rPr>
        <w:t xml:space="preserve"> ד</w:t>
      </w:r>
      <w:r w:rsidR="005B1631" w:rsidRPr="00BB1776">
        <w:rPr>
          <w:rFonts w:hint="cs"/>
          <w:sz w:val="22"/>
          <w:szCs w:val="22"/>
          <w:rtl/>
        </w:rPr>
        <w:t>ב</w:t>
      </w:r>
      <w:r w:rsidR="00C67F99" w:rsidRPr="00BB1776">
        <w:rPr>
          <w:rFonts w:hint="cs"/>
          <w:sz w:val="22"/>
          <w:szCs w:val="22"/>
          <w:rtl/>
        </w:rPr>
        <w:t>תרוייהו ידוע דכשצריכין לחזר אחר אבידתן</w:t>
      </w:r>
      <w:r w:rsidR="005B1631" w:rsidRPr="00BB1776">
        <w:rPr>
          <w:rFonts w:hint="cs"/>
          <w:sz w:val="22"/>
          <w:szCs w:val="22"/>
          <w:rtl/>
        </w:rPr>
        <w:t xml:space="preserve"> אין יכולים לגלח</w:t>
      </w:r>
      <w:r w:rsidR="00C67F99" w:rsidRPr="00BB1776">
        <w:rPr>
          <w:rFonts w:hint="cs"/>
          <w:sz w:val="22"/>
          <w:szCs w:val="22"/>
          <w:rtl/>
        </w:rPr>
        <w:t>.</w:t>
      </w:r>
    </w:p>
    <w:p w14:paraId="291DA305" w14:textId="5656E0B8" w:rsidR="004333F1" w:rsidRPr="00BB1776" w:rsidRDefault="00C67F99" w:rsidP="00BB1776">
      <w:pPr>
        <w:jc w:val="both"/>
        <w:rPr>
          <w:sz w:val="22"/>
          <w:szCs w:val="22"/>
          <w:rtl/>
        </w:rPr>
      </w:pPr>
      <w:r w:rsidRPr="00BB1776">
        <w:rPr>
          <w:rFonts w:hint="cs"/>
          <w:sz w:val="22"/>
          <w:szCs w:val="22"/>
          <w:rtl/>
        </w:rPr>
        <w:t xml:space="preserve">ב' ועוד קשה, </w:t>
      </w:r>
      <w:r w:rsidR="004333F1" w:rsidRPr="00BB1776">
        <w:rPr>
          <w:rFonts w:hint="cs"/>
          <w:sz w:val="22"/>
          <w:szCs w:val="22"/>
          <w:rtl/>
        </w:rPr>
        <w:t>ד</w:t>
      </w:r>
      <w:r w:rsidRPr="00BB1776">
        <w:rPr>
          <w:rFonts w:hint="cs"/>
          <w:sz w:val="22"/>
          <w:szCs w:val="22"/>
          <w:rtl/>
        </w:rPr>
        <w:t xml:space="preserve">נקטי' לאסור </w:t>
      </w:r>
      <w:r w:rsidR="004333F1" w:rsidRPr="00BB1776">
        <w:rPr>
          <w:rFonts w:hint="cs"/>
          <w:sz w:val="22"/>
          <w:szCs w:val="22"/>
          <w:rtl/>
        </w:rPr>
        <w:t xml:space="preserve">לגלח אפי' כשגילח קודם הרגל </w:t>
      </w:r>
      <w:r w:rsidR="004333F1" w:rsidRPr="00BB1776">
        <w:rPr>
          <w:rFonts w:hint="cs"/>
          <w:sz w:val="22"/>
          <w:szCs w:val="18"/>
          <w:rtl/>
        </w:rPr>
        <w:t>(סעי' ב'</w:t>
      </w:r>
      <w:r w:rsidR="004333F1" w:rsidRPr="00BB1776">
        <w:rPr>
          <w:sz w:val="22"/>
          <w:szCs w:val="18"/>
          <w:rtl/>
        </w:rPr>
        <w:t>)</w:t>
      </w:r>
      <w:r w:rsidR="004333F1" w:rsidRPr="00BB1776">
        <w:rPr>
          <w:rFonts w:hint="cs"/>
          <w:sz w:val="22"/>
          <w:szCs w:val="22"/>
          <w:rtl/>
        </w:rPr>
        <w:t xml:space="preserve">, ופי' הטור הטעם דמאחר שאין ידוע לכל שגילח קודם הרגל א"א להתיר, ולדעת המ"ב דא"צ שיתפרסם שהיה אנוס, רק שיהיה סוג אונס שידוע לכל שא"א לגלח מחמתו </w:t>
      </w:r>
      <w:r w:rsidR="004333F1" w:rsidRPr="00BB1776">
        <w:rPr>
          <w:rFonts w:hint="cs"/>
          <w:sz w:val="22"/>
          <w:szCs w:val="18"/>
          <w:rtl/>
        </w:rPr>
        <w:t>(ודומיא דנדר</w:t>
      </w:r>
      <w:r w:rsidR="004333F1" w:rsidRPr="00BB1776">
        <w:rPr>
          <w:sz w:val="22"/>
          <w:szCs w:val="18"/>
          <w:rtl/>
        </w:rPr>
        <w:t>)</w:t>
      </w:r>
      <w:r w:rsidR="004333F1" w:rsidRPr="00BB1776">
        <w:rPr>
          <w:rFonts w:hint="cs"/>
          <w:sz w:val="22"/>
          <w:szCs w:val="22"/>
          <w:rtl/>
        </w:rPr>
        <w:t>, א"כ אף שאין ידוע שגילח קודם המועד מ"מ כו"ע יודעים שאם גילח קודם המועד וחזר שערו וגדל וצריך לחזור ולגלחו במועד שהוא אונס.</w:t>
      </w:r>
    </w:p>
    <w:p w14:paraId="0BD4F00A" w14:textId="5F44F0A6" w:rsidR="00142914" w:rsidRPr="00BB1776" w:rsidRDefault="00C67F99" w:rsidP="00BB1776">
      <w:pPr>
        <w:jc w:val="both"/>
        <w:rPr>
          <w:sz w:val="22"/>
          <w:szCs w:val="22"/>
          <w:rtl/>
        </w:rPr>
      </w:pPr>
      <w:r w:rsidRPr="00BB1776">
        <w:rPr>
          <w:rFonts w:hint="cs"/>
          <w:sz w:val="22"/>
          <w:szCs w:val="22"/>
          <w:rtl/>
        </w:rPr>
        <w:t>ג</w:t>
      </w:r>
      <w:r w:rsidR="004333F1" w:rsidRPr="00BB1776">
        <w:rPr>
          <w:rFonts w:hint="cs"/>
          <w:sz w:val="22"/>
          <w:szCs w:val="22"/>
          <w:rtl/>
        </w:rPr>
        <w:t xml:space="preserve">' וכיוצ"ב קשה, </w:t>
      </w:r>
      <w:r w:rsidR="005B1631" w:rsidRPr="00BB1776">
        <w:rPr>
          <w:rFonts w:hint="cs"/>
          <w:sz w:val="22"/>
          <w:szCs w:val="22"/>
          <w:rtl/>
        </w:rPr>
        <w:t xml:space="preserve">לגבי כיבוס שהתירו למי שיש לו רק חלוק א' לכבסו במועד, ורק באופן שאזורו מוכיח עליו, </w:t>
      </w:r>
      <w:r w:rsidR="006816E4" w:rsidRPr="00BB1776">
        <w:rPr>
          <w:rFonts w:hint="cs"/>
          <w:sz w:val="22"/>
          <w:szCs w:val="22"/>
          <w:rtl/>
        </w:rPr>
        <w:t>ולסברת המ"ב אמאי צריך הוכחה של אזור הלא הוא מפורסם לכל דכשיש לו רק חלוק א' א"א לו בלא לכבסו שוב במועד.</w:t>
      </w:r>
    </w:p>
    <w:p w14:paraId="7F0DD1A1" w14:textId="7F8B50D7" w:rsidR="006816E4" w:rsidRPr="00BB1776" w:rsidRDefault="006816E4" w:rsidP="00BB1776">
      <w:pPr>
        <w:jc w:val="both"/>
        <w:rPr>
          <w:sz w:val="22"/>
          <w:szCs w:val="22"/>
          <w:rtl/>
        </w:rPr>
      </w:pPr>
      <w:r w:rsidRPr="00BB1776">
        <w:rPr>
          <w:rFonts w:hint="cs"/>
          <w:sz w:val="22"/>
          <w:szCs w:val="22"/>
          <w:rtl/>
        </w:rPr>
        <w:t xml:space="preserve">ולולא דברי המ"ב היה מקום לומר דבעי' שהאונס יהיה מפורסם לכל, ואפ"ה נדר חשיב אונס מפורסם דמאחר דכו"ע ראוהו </w:t>
      </w:r>
      <w:r w:rsidR="00DD6AB0" w:rsidRPr="00BB1776">
        <w:rPr>
          <w:rFonts w:hint="cs"/>
          <w:sz w:val="22"/>
          <w:szCs w:val="22"/>
          <w:rtl/>
        </w:rPr>
        <w:t xml:space="preserve">כמה ימים </w:t>
      </w:r>
      <w:r w:rsidRPr="00BB1776">
        <w:rPr>
          <w:rFonts w:hint="cs"/>
          <w:sz w:val="22"/>
          <w:szCs w:val="22"/>
          <w:rtl/>
        </w:rPr>
        <w:t>קודם הרגל שהוא מגודל ואינו מגלח והסביר להם שהוא מכח הנדר נתפרסם הדבר שהוא אנוס</w:t>
      </w:r>
      <w:r w:rsidRPr="00BB1776">
        <w:rPr>
          <w:rStyle w:val="af0"/>
          <w:sz w:val="22"/>
          <w:szCs w:val="22"/>
          <w:rtl/>
        </w:rPr>
        <w:footnoteReference w:id="7"/>
      </w:r>
      <w:r w:rsidRPr="00BB1776">
        <w:rPr>
          <w:rFonts w:hint="cs"/>
          <w:sz w:val="22"/>
          <w:szCs w:val="22"/>
          <w:rtl/>
        </w:rPr>
        <w:t>,</w:t>
      </w:r>
      <w:r w:rsidR="00DD6AB0" w:rsidRPr="00BB1776">
        <w:rPr>
          <w:rFonts w:hint="cs"/>
          <w:sz w:val="22"/>
          <w:szCs w:val="22"/>
          <w:rtl/>
        </w:rPr>
        <w:t xml:space="preserve"> ועי' בספר חוהמ"כ שתי' עוד ע"פ הירושלמי דמיירי בנדר שלא מצאו פתח להתירו, א"כ מיירי שחיזר מעיקרא אצל אנשים הרבה להתיר נדרו ועי"ז נתפרסם הדבר, ועי'.</w:t>
      </w:r>
    </w:p>
    <w:p w14:paraId="4243FFC4" w14:textId="26F6036D" w:rsidR="00770470" w:rsidRPr="00BB1776" w:rsidRDefault="00DD6AB0" w:rsidP="00BB1776">
      <w:pPr>
        <w:jc w:val="both"/>
        <w:rPr>
          <w:sz w:val="22"/>
          <w:szCs w:val="22"/>
          <w:highlight w:val="yellow"/>
          <w:rtl/>
        </w:rPr>
      </w:pPr>
      <w:r w:rsidRPr="00BB1776">
        <w:rPr>
          <w:rFonts w:hint="cs"/>
          <w:sz w:val="22"/>
          <w:szCs w:val="22"/>
          <w:rtl/>
        </w:rPr>
        <w:t xml:space="preserve">ודו"ק במשנ"ת לעיל מהביה"ל </w:t>
      </w:r>
      <w:r w:rsidRPr="00BB1776">
        <w:rPr>
          <w:rFonts w:hint="cs"/>
          <w:sz w:val="22"/>
          <w:szCs w:val="18"/>
          <w:rtl/>
        </w:rPr>
        <w:t>(ח, כל אדם</w:t>
      </w:r>
      <w:r w:rsidRPr="00BB1776">
        <w:rPr>
          <w:sz w:val="22"/>
          <w:szCs w:val="18"/>
          <w:rtl/>
        </w:rPr>
        <w:t>)</w:t>
      </w:r>
      <w:r w:rsidRPr="00BB1776">
        <w:rPr>
          <w:rFonts w:hint="cs"/>
          <w:sz w:val="22"/>
          <w:szCs w:val="22"/>
          <w:rtl/>
        </w:rPr>
        <w:t xml:space="preserve"> ע"פ מנחת ביכורים לפרש דמי שהיה לו מכה בראשו ולא היה יכול לגלח ונתרפא במועד דחשיב אונס ומותר לגלח במועד, וצ"ע דבחולה שנתרפא במועד לא חשיב אונס דמוכח </w:t>
      </w:r>
      <w:r w:rsidRPr="00BB1776">
        <w:rPr>
          <w:rFonts w:hint="cs"/>
          <w:sz w:val="22"/>
          <w:szCs w:val="18"/>
          <w:rtl/>
        </w:rPr>
        <w:t>(וכנ"ל</w:t>
      </w:r>
      <w:r w:rsidRPr="00BB1776">
        <w:rPr>
          <w:sz w:val="22"/>
          <w:szCs w:val="18"/>
          <w:rtl/>
        </w:rPr>
        <w:t>)</w:t>
      </w:r>
      <w:r w:rsidRPr="00BB1776">
        <w:rPr>
          <w:rFonts w:hint="cs"/>
          <w:sz w:val="22"/>
          <w:szCs w:val="22"/>
          <w:rtl/>
        </w:rPr>
        <w:t>, ו</w:t>
      </w:r>
      <w:r w:rsidR="002A7CB8">
        <w:rPr>
          <w:rFonts w:hint="cs"/>
          <w:sz w:val="22"/>
          <w:szCs w:val="22"/>
          <w:rtl/>
        </w:rPr>
        <w:t>אכן ד</w:t>
      </w:r>
      <w:r w:rsidRPr="00BB1776">
        <w:rPr>
          <w:rFonts w:hint="cs"/>
          <w:sz w:val="22"/>
          <w:szCs w:val="22"/>
          <w:rtl/>
        </w:rPr>
        <w:t xml:space="preserve">לשיטת המ"ב גופיה </w:t>
      </w:r>
      <w:r w:rsidR="00C74196" w:rsidRPr="00BB1776">
        <w:rPr>
          <w:rFonts w:hint="cs"/>
          <w:sz w:val="22"/>
          <w:szCs w:val="22"/>
          <w:rtl/>
        </w:rPr>
        <w:t xml:space="preserve">דסגי שידוע שאונס זה מונע מלגלח </w:t>
      </w:r>
      <w:r w:rsidRPr="00BB1776">
        <w:rPr>
          <w:rFonts w:hint="cs"/>
          <w:sz w:val="22"/>
          <w:szCs w:val="22"/>
          <w:rtl/>
        </w:rPr>
        <w:t>ניחא דבמכה יודעים כולם ש</w:t>
      </w:r>
      <w:r w:rsidR="00C74196" w:rsidRPr="00BB1776">
        <w:rPr>
          <w:rFonts w:hint="cs"/>
          <w:sz w:val="22"/>
          <w:szCs w:val="22"/>
          <w:rtl/>
        </w:rPr>
        <w:t>ה</w:t>
      </w:r>
      <w:r w:rsidRPr="00BB1776">
        <w:rPr>
          <w:rFonts w:hint="cs"/>
          <w:sz w:val="22"/>
          <w:szCs w:val="22"/>
          <w:rtl/>
        </w:rPr>
        <w:t>מכה מונעתו מלגלח</w:t>
      </w:r>
      <w:r w:rsidR="00C74196" w:rsidRPr="00BB1776">
        <w:rPr>
          <w:rFonts w:hint="cs"/>
          <w:sz w:val="22"/>
          <w:szCs w:val="22"/>
          <w:rtl/>
        </w:rPr>
        <w:t xml:space="preserve"> ועדיף מחולה שאין ידוע כ"כ שחוליו מונעו מלגלח.</w:t>
      </w:r>
    </w:p>
    <w:p w14:paraId="1DEBCED5" w14:textId="006915B4" w:rsidR="00142914" w:rsidRPr="00BB1776" w:rsidRDefault="00142914" w:rsidP="00BB1776">
      <w:pPr>
        <w:pStyle w:val="2"/>
        <w:jc w:val="both"/>
        <w:rPr>
          <w:rtl/>
        </w:rPr>
      </w:pPr>
      <w:r w:rsidRPr="00BB1776">
        <w:rPr>
          <w:rFonts w:hint="cs"/>
          <w:rtl/>
        </w:rPr>
        <w:t>היתר דנדר ונידוי</w:t>
      </w:r>
    </w:p>
    <w:p w14:paraId="59766750" w14:textId="463A5766" w:rsidR="0000626B" w:rsidRPr="00624EEC" w:rsidRDefault="0000626B" w:rsidP="00BB1776">
      <w:pPr>
        <w:jc w:val="both"/>
        <w:rPr>
          <w:sz w:val="22"/>
          <w:szCs w:val="22"/>
          <w:rtl/>
        </w:rPr>
      </w:pPr>
      <w:r w:rsidRPr="00624EEC">
        <w:rPr>
          <w:rFonts w:hint="cs"/>
          <w:sz w:val="22"/>
          <w:szCs w:val="22"/>
          <w:rtl/>
        </w:rPr>
        <w:t>בירושלמי נתקשה דלמה התירו למנודה שהתירוהו במועד דהו"ל לפייס בע"ד קודם המועד, והעמידו דאכתי לא חייל עליו הנידוי ל' יום וא"א להתירו עדיין אפי' אי יפייס חבירו, והעתיקוהו הרא"ש והטור לדינא, אולם בב"י דייק בדעת הרי"ף והרמב"ם דבכל גוונא שהתירו למנודה במועד מותר לספר, ופי' טעמם דכיון שקודם המועד לא היה בדעתו לפייס את בע"ד חשיב אנוס.</w:t>
      </w:r>
    </w:p>
    <w:p w14:paraId="7CF51C62" w14:textId="77777777" w:rsidR="0000626B" w:rsidRPr="00624EEC" w:rsidRDefault="0000626B" w:rsidP="00BB1776">
      <w:pPr>
        <w:jc w:val="both"/>
        <w:rPr>
          <w:sz w:val="22"/>
          <w:szCs w:val="22"/>
          <w:rtl/>
        </w:rPr>
      </w:pPr>
      <w:r w:rsidRPr="00624EEC">
        <w:rPr>
          <w:rFonts w:hint="cs"/>
          <w:sz w:val="22"/>
          <w:szCs w:val="22"/>
          <w:rtl/>
        </w:rPr>
        <w:lastRenderedPageBreak/>
        <w:t>וכיוצ"ב לגבי נדר, דבירושלמי העמידו דוקא כשלא היה יכול להתירו קודם המועד, וכגון שלא מצאו פתח לנדרו עד שבא חכם במועד והתירו, וכ"פ ברא"ש ובטור, אולם ברי"ף ורמב"ם השמיטו כן וסתמו להתיר בכל ענין, ופי' הב"י דס"ל דמאחר שהיה בדעתו קודם הרגל להשלים נדרו חשיב אנוס.</w:t>
      </w:r>
    </w:p>
    <w:p w14:paraId="7409F16F" w14:textId="7BE98D05" w:rsidR="00624EEC" w:rsidRPr="00624EEC" w:rsidRDefault="0000626B" w:rsidP="00BB1776">
      <w:pPr>
        <w:jc w:val="both"/>
        <w:rPr>
          <w:sz w:val="22"/>
          <w:szCs w:val="22"/>
          <w:rtl/>
        </w:rPr>
      </w:pPr>
      <w:r w:rsidRPr="00624EEC">
        <w:rPr>
          <w:rFonts w:hint="cs"/>
          <w:sz w:val="22"/>
          <w:szCs w:val="22"/>
          <w:rtl/>
        </w:rPr>
        <w:t xml:space="preserve">ולדינא, </w:t>
      </w:r>
      <w:r w:rsidR="00624EEC" w:rsidRPr="00624EEC">
        <w:rPr>
          <w:rFonts w:hint="cs"/>
          <w:sz w:val="22"/>
          <w:szCs w:val="22"/>
          <w:rtl/>
        </w:rPr>
        <w:t>בשו"ע סתם להתיר בין במנודה ובין בנדר, ומשמע דס"ל כדעת הרי"ף והרמב"ם הנ"ל שהתירו בכל ענין שלא היה בדעתו להתיר קודם הרגל</w:t>
      </w:r>
      <w:r w:rsidRPr="00624EEC">
        <w:rPr>
          <w:rFonts w:hint="cs"/>
          <w:sz w:val="22"/>
          <w:szCs w:val="22"/>
          <w:rtl/>
        </w:rPr>
        <w:t xml:space="preserve">, </w:t>
      </w:r>
      <w:r w:rsidR="00624EEC" w:rsidRPr="00624EEC">
        <w:rPr>
          <w:rFonts w:hint="cs"/>
          <w:sz w:val="22"/>
          <w:szCs w:val="22"/>
          <w:rtl/>
        </w:rPr>
        <w:t xml:space="preserve">אולם במ"ב </w:t>
      </w:r>
      <w:r w:rsidR="00624EEC" w:rsidRPr="00624EEC">
        <w:rPr>
          <w:rFonts w:hint="cs"/>
          <w:sz w:val="22"/>
          <w:szCs w:val="18"/>
          <w:rtl/>
        </w:rPr>
        <w:t>(י</w:t>
      </w:r>
      <w:r w:rsidR="00624EEC" w:rsidRPr="00624EEC">
        <w:rPr>
          <w:sz w:val="22"/>
          <w:szCs w:val="18"/>
          <w:rtl/>
        </w:rPr>
        <w:t>)</w:t>
      </w:r>
      <w:r w:rsidR="00624EEC" w:rsidRPr="00624EEC">
        <w:rPr>
          <w:rFonts w:hint="cs"/>
          <w:sz w:val="22"/>
          <w:szCs w:val="22"/>
          <w:rtl/>
        </w:rPr>
        <w:t xml:space="preserve"> הביא דיש חולקין ואוסרין במנודה שיכל לפייס ולהתיר נידויו קודם הרגל דחשיב פושע, וסיים דמ"מ המיקל יש לו על מי לסמוך כיון שהוא מילתא דרבנן, ולגבי נדר כתב </w:t>
      </w:r>
      <w:r w:rsidR="00624EEC" w:rsidRPr="00624EEC">
        <w:rPr>
          <w:rFonts w:hint="cs"/>
          <w:sz w:val="22"/>
          <w:szCs w:val="18"/>
          <w:rtl/>
        </w:rPr>
        <w:t>(יא</w:t>
      </w:r>
      <w:r w:rsidR="00624EEC" w:rsidRPr="00624EEC">
        <w:rPr>
          <w:sz w:val="22"/>
          <w:szCs w:val="18"/>
          <w:rtl/>
        </w:rPr>
        <w:t>)</w:t>
      </w:r>
      <w:r w:rsidR="00624EEC" w:rsidRPr="00624EEC">
        <w:rPr>
          <w:rFonts w:hint="cs"/>
          <w:sz w:val="22"/>
          <w:szCs w:val="22"/>
          <w:rtl/>
        </w:rPr>
        <w:t xml:space="preserve"> דגם בזה יש חולקין דכשיכול להתיר נדרו חשיב פושע אך שדעת המג"א להקל בזה כדעת השו"ע דאי"ז נחשב פשיעה</w:t>
      </w:r>
      <w:r w:rsidR="002A7CB8">
        <w:rPr>
          <w:rFonts w:hint="cs"/>
          <w:sz w:val="22"/>
          <w:szCs w:val="22"/>
          <w:rtl/>
        </w:rPr>
        <w:t xml:space="preserve">, וסיים בשעה"צ </w:t>
      </w:r>
      <w:r w:rsidR="002A7CB8" w:rsidRPr="002A7CB8">
        <w:rPr>
          <w:rFonts w:hint="cs"/>
          <w:sz w:val="22"/>
          <w:szCs w:val="18"/>
          <w:rtl/>
        </w:rPr>
        <w:t>(יא</w:t>
      </w:r>
      <w:r w:rsidR="002A7CB8" w:rsidRPr="002A7CB8">
        <w:rPr>
          <w:sz w:val="22"/>
          <w:szCs w:val="18"/>
          <w:rtl/>
        </w:rPr>
        <w:t>)</w:t>
      </w:r>
      <w:r w:rsidR="002A7CB8">
        <w:rPr>
          <w:rFonts w:hint="cs"/>
          <w:sz w:val="22"/>
          <w:szCs w:val="22"/>
          <w:rtl/>
        </w:rPr>
        <w:t xml:space="preserve"> שהמיקל לא הפסיד</w:t>
      </w:r>
      <w:r w:rsidR="00624EEC" w:rsidRPr="00624EEC">
        <w:rPr>
          <w:rFonts w:hint="cs"/>
          <w:sz w:val="22"/>
          <w:szCs w:val="22"/>
          <w:rtl/>
        </w:rPr>
        <w:t>.</w:t>
      </w:r>
    </w:p>
    <w:p w14:paraId="6953F42E" w14:textId="6B66ED2C" w:rsidR="00624EEC" w:rsidRPr="00624EEC" w:rsidRDefault="00624EEC" w:rsidP="00BB1776">
      <w:pPr>
        <w:jc w:val="both"/>
        <w:rPr>
          <w:sz w:val="22"/>
          <w:szCs w:val="22"/>
          <w:rtl/>
        </w:rPr>
      </w:pPr>
      <w:r w:rsidRPr="00624EEC">
        <w:rPr>
          <w:rFonts w:hint="cs"/>
          <w:sz w:val="22"/>
          <w:szCs w:val="22"/>
          <w:rtl/>
        </w:rPr>
        <w:t xml:space="preserve">ומשמעות דבריו דבנדר יש יותר צד להקל ממנודה, וכ"ה במג"א שלגבי מנודה </w:t>
      </w:r>
      <w:r w:rsidRPr="00624EEC">
        <w:rPr>
          <w:rFonts w:hint="cs"/>
          <w:sz w:val="22"/>
          <w:szCs w:val="18"/>
          <w:rtl/>
        </w:rPr>
        <w:t>(סק"ד</w:t>
      </w:r>
      <w:r w:rsidRPr="00624EEC">
        <w:rPr>
          <w:sz w:val="22"/>
          <w:szCs w:val="18"/>
          <w:rtl/>
        </w:rPr>
        <w:t>)</w:t>
      </w:r>
      <w:r w:rsidRPr="00624EEC">
        <w:rPr>
          <w:rFonts w:hint="cs"/>
          <w:sz w:val="22"/>
          <w:szCs w:val="22"/>
          <w:rtl/>
        </w:rPr>
        <w:t xml:space="preserve"> הביא דעת הרא"ש והטור להחמיר כשיכל לפייס קודם המועד, ולגבי נדר </w:t>
      </w:r>
      <w:r w:rsidRPr="00624EEC">
        <w:rPr>
          <w:rFonts w:hint="cs"/>
          <w:sz w:val="22"/>
          <w:szCs w:val="18"/>
          <w:rtl/>
        </w:rPr>
        <w:t>(סק"ה</w:t>
      </w:r>
      <w:r w:rsidRPr="00624EEC">
        <w:rPr>
          <w:sz w:val="22"/>
          <w:szCs w:val="18"/>
          <w:rtl/>
        </w:rPr>
        <w:t>)</w:t>
      </w:r>
      <w:r w:rsidRPr="00624EEC">
        <w:rPr>
          <w:rFonts w:hint="cs"/>
          <w:sz w:val="22"/>
          <w:szCs w:val="22"/>
          <w:rtl/>
        </w:rPr>
        <w:t xml:space="preserve"> כתב דנ"ל להקל בזה כדעת הרמב"ם דאף שיכל להתירו קודם המועד לא מיקרי פשיעה כיון שהיה סבור לקיים הנדר.</w:t>
      </w:r>
    </w:p>
    <w:p w14:paraId="12451235" w14:textId="7AD78D00" w:rsidR="00624EEC" w:rsidRPr="00624EEC" w:rsidRDefault="00624EEC" w:rsidP="00BB1776">
      <w:pPr>
        <w:jc w:val="both"/>
        <w:rPr>
          <w:sz w:val="22"/>
          <w:szCs w:val="22"/>
          <w:rtl/>
        </w:rPr>
      </w:pPr>
      <w:r w:rsidRPr="00624EEC">
        <w:rPr>
          <w:rFonts w:hint="cs"/>
          <w:sz w:val="22"/>
          <w:szCs w:val="22"/>
          <w:rtl/>
        </w:rPr>
        <w:t xml:space="preserve">אולם בגר"א משמע דב' הדינים תלויים זב"ז, </w:t>
      </w:r>
      <w:r w:rsidR="002A7CB8">
        <w:rPr>
          <w:rFonts w:hint="cs"/>
          <w:sz w:val="22"/>
          <w:szCs w:val="22"/>
          <w:rtl/>
        </w:rPr>
        <w:t xml:space="preserve">שהביא דכל ההוכחה להקל בנדר שלא כדעת הירושלמי הוא מכח זה שבנידוי קימ"ל דאפשר להתיר מיד וא"צ להמתין ל' יום, </w:t>
      </w:r>
      <w:r w:rsidRPr="00624EEC">
        <w:rPr>
          <w:rFonts w:hint="cs"/>
          <w:sz w:val="22"/>
          <w:szCs w:val="22"/>
          <w:rtl/>
        </w:rPr>
        <w:t>וא</w:t>
      </w:r>
      <w:r w:rsidR="002A7CB8">
        <w:rPr>
          <w:rFonts w:hint="cs"/>
          <w:sz w:val="22"/>
          <w:szCs w:val="22"/>
          <w:rtl/>
        </w:rPr>
        <w:t>"כ מבואר</w:t>
      </w:r>
      <w:r w:rsidRPr="00624EEC">
        <w:rPr>
          <w:rFonts w:hint="cs"/>
          <w:sz w:val="22"/>
          <w:szCs w:val="22"/>
          <w:rtl/>
        </w:rPr>
        <w:t xml:space="preserve"> </w:t>
      </w:r>
      <w:r w:rsidR="002A7CB8">
        <w:rPr>
          <w:rFonts w:hint="cs"/>
          <w:sz w:val="22"/>
          <w:szCs w:val="22"/>
          <w:rtl/>
        </w:rPr>
        <w:t xml:space="preserve">דאין </w:t>
      </w:r>
      <w:r w:rsidRPr="00624EEC">
        <w:rPr>
          <w:rFonts w:hint="cs"/>
          <w:sz w:val="22"/>
          <w:szCs w:val="22"/>
          <w:rtl/>
        </w:rPr>
        <w:t>להקל בנדר טפי ממנודה.</w:t>
      </w:r>
    </w:p>
    <w:p w14:paraId="6629080E" w14:textId="5D510AE3" w:rsidR="00142914" w:rsidRPr="00BB1776" w:rsidRDefault="00142914" w:rsidP="00BB1776">
      <w:pPr>
        <w:pStyle w:val="2"/>
        <w:jc w:val="both"/>
        <w:rPr>
          <w:rtl/>
        </w:rPr>
      </w:pPr>
      <w:r w:rsidRPr="00BB1776">
        <w:rPr>
          <w:rFonts w:hint="cs"/>
          <w:rtl/>
        </w:rPr>
        <w:t>בא ממדינת הים</w:t>
      </w:r>
    </w:p>
    <w:p w14:paraId="4F26EACF" w14:textId="481625DD" w:rsidR="00142914" w:rsidRPr="00BB1776" w:rsidRDefault="00142914" w:rsidP="00BB1776">
      <w:pPr>
        <w:pStyle w:val="3"/>
        <w:jc w:val="both"/>
        <w:rPr>
          <w:rtl/>
        </w:rPr>
      </w:pPr>
      <w:r w:rsidRPr="00BB1776">
        <w:rPr>
          <w:rFonts w:hint="cs"/>
          <w:rtl/>
        </w:rPr>
        <w:t>ביצא בעיו"ט</w:t>
      </w:r>
    </w:p>
    <w:p w14:paraId="230AEC5B" w14:textId="316636C5" w:rsidR="00142914" w:rsidRPr="00BB1776" w:rsidRDefault="00142914" w:rsidP="00BB1776">
      <w:pPr>
        <w:jc w:val="both"/>
        <w:rPr>
          <w:rFonts w:cs="Arial"/>
          <w:sz w:val="22"/>
          <w:szCs w:val="22"/>
          <w:rtl/>
        </w:rPr>
      </w:pPr>
      <w:r w:rsidRPr="00BB1776">
        <w:rPr>
          <w:rFonts w:hint="cs"/>
          <w:sz w:val="22"/>
          <w:szCs w:val="22"/>
          <w:rtl/>
        </w:rPr>
        <w:t xml:space="preserve">במג"א </w:t>
      </w:r>
      <w:r w:rsidRPr="00BB1776">
        <w:rPr>
          <w:rFonts w:hint="cs"/>
          <w:sz w:val="22"/>
          <w:szCs w:val="18"/>
          <w:rtl/>
        </w:rPr>
        <w:t>(ו</w:t>
      </w:r>
      <w:r w:rsidRPr="00BB1776">
        <w:rPr>
          <w:sz w:val="22"/>
          <w:szCs w:val="18"/>
          <w:rtl/>
        </w:rPr>
        <w:t>)</w:t>
      </w:r>
      <w:r w:rsidRPr="00BB1776">
        <w:rPr>
          <w:rFonts w:hint="cs"/>
          <w:sz w:val="22"/>
          <w:szCs w:val="22"/>
          <w:rtl/>
        </w:rPr>
        <w:t xml:space="preserve"> דקדק ממש"כ רי"ו </w:t>
      </w:r>
      <w:r w:rsidRPr="00BB1776">
        <w:rPr>
          <w:rFonts w:hint="cs"/>
          <w:sz w:val="22"/>
          <w:szCs w:val="18"/>
          <w:rtl/>
        </w:rPr>
        <w:t>(הו"ד בב"י</w:t>
      </w:r>
      <w:r w:rsidRPr="00BB1776">
        <w:rPr>
          <w:sz w:val="22"/>
          <w:szCs w:val="18"/>
          <w:rtl/>
        </w:rPr>
        <w:t>)</w:t>
      </w:r>
      <w:r w:rsidRPr="00BB1776">
        <w:rPr>
          <w:rFonts w:hint="cs"/>
          <w:sz w:val="22"/>
          <w:szCs w:val="22"/>
          <w:rtl/>
        </w:rPr>
        <w:t xml:space="preserve"> </w:t>
      </w:r>
      <w:r w:rsidRPr="00BB1776">
        <w:rPr>
          <w:rFonts w:cs="Arial" w:hint="cs"/>
          <w:sz w:val="22"/>
          <w:szCs w:val="22"/>
          <w:rtl/>
        </w:rPr>
        <w:t>דהיתר לבא ממדינת</w:t>
      </w:r>
      <w:r w:rsidRPr="00BB1776">
        <w:rPr>
          <w:rFonts w:cs="Arial"/>
          <w:sz w:val="22"/>
          <w:szCs w:val="22"/>
          <w:rtl/>
        </w:rPr>
        <w:t xml:space="preserve"> </w:t>
      </w:r>
      <w:r w:rsidRPr="00BB1776">
        <w:rPr>
          <w:rFonts w:cs="Arial" w:hint="cs"/>
          <w:sz w:val="22"/>
          <w:szCs w:val="22"/>
          <w:rtl/>
        </w:rPr>
        <w:t>הים</w:t>
      </w:r>
      <w:r w:rsidRPr="00BB1776">
        <w:rPr>
          <w:rFonts w:cs="Arial"/>
          <w:sz w:val="22"/>
          <w:szCs w:val="22"/>
          <w:rtl/>
        </w:rPr>
        <w:t xml:space="preserve"> </w:t>
      </w:r>
      <w:r w:rsidRPr="00BB1776">
        <w:rPr>
          <w:rFonts w:cs="Arial" w:hint="cs"/>
          <w:sz w:val="22"/>
          <w:szCs w:val="22"/>
          <w:rtl/>
        </w:rPr>
        <w:t>מיירי 'כגון</w:t>
      </w:r>
      <w:r w:rsidRPr="00BB1776">
        <w:rPr>
          <w:rFonts w:cs="Arial"/>
          <w:sz w:val="22"/>
          <w:szCs w:val="22"/>
          <w:rtl/>
        </w:rPr>
        <w:t xml:space="preserve"> </w:t>
      </w:r>
      <w:r w:rsidRPr="00BB1776">
        <w:rPr>
          <w:rFonts w:cs="Arial" w:hint="cs"/>
          <w:sz w:val="22"/>
          <w:szCs w:val="22"/>
          <w:rtl/>
        </w:rPr>
        <w:t>שלא</w:t>
      </w:r>
      <w:r w:rsidRPr="00BB1776">
        <w:rPr>
          <w:rFonts w:cs="Arial"/>
          <w:sz w:val="22"/>
          <w:szCs w:val="22"/>
          <w:rtl/>
        </w:rPr>
        <w:t xml:space="preserve"> </w:t>
      </w:r>
      <w:r w:rsidRPr="00BB1776">
        <w:rPr>
          <w:rFonts w:cs="Arial" w:hint="cs"/>
          <w:sz w:val="22"/>
          <w:szCs w:val="22"/>
          <w:rtl/>
        </w:rPr>
        <w:t>בא</w:t>
      </w:r>
      <w:r w:rsidRPr="00BB1776">
        <w:rPr>
          <w:rFonts w:cs="Arial"/>
          <w:sz w:val="22"/>
          <w:szCs w:val="22"/>
          <w:rtl/>
        </w:rPr>
        <w:t xml:space="preserve"> </w:t>
      </w:r>
      <w:r w:rsidRPr="00BB1776">
        <w:rPr>
          <w:rFonts w:cs="Arial" w:hint="cs"/>
          <w:sz w:val="22"/>
          <w:szCs w:val="22"/>
          <w:rtl/>
        </w:rPr>
        <w:t>לישוב</w:t>
      </w:r>
      <w:r w:rsidRPr="00BB1776">
        <w:rPr>
          <w:rFonts w:cs="Arial"/>
          <w:sz w:val="22"/>
          <w:szCs w:val="22"/>
          <w:rtl/>
        </w:rPr>
        <w:t xml:space="preserve"> </w:t>
      </w:r>
      <w:r w:rsidRPr="00BB1776">
        <w:rPr>
          <w:rFonts w:cs="Arial" w:hint="cs"/>
          <w:sz w:val="22"/>
          <w:szCs w:val="22"/>
          <w:rtl/>
        </w:rPr>
        <w:t>עד</w:t>
      </w:r>
      <w:r w:rsidRPr="00BB1776">
        <w:rPr>
          <w:rFonts w:cs="Arial"/>
          <w:sz w:val="22"/>
          <w:szCs w:val="22"/>
          <w:rtl/>
        </w:rPr>
        <w:t xml:space="preserve"> </w:t>
      </w:r>
      <w:r w:rsidRPr="00BB1776">
        <w:rPr>
          <w:rFonts w:cs="Arial" w:hint="cs"/>
          <w:sz w:val="22"/>
          <w:szCs w:val="22"/>
          <w:rtl/>
        </w:rPr>
        <w:t>חוה"מ',</w:t>
      </w:r>
      <w:r w:rsidRPr="00BB1776">
        <w:rPr>
          <w:rFonts w:cs="Arial"/>
          <w:sz w:val="22"/>
          <w:szCs w:val="22"/>
          <w:rtl/>
        </w:rPr>
        <w:t xml:space="preserve"> </w:t>
      </w:r>
      <w:r w:rsidRPr="00BB1776">
        <w:rPr>
          <w:rFonts w:cs="Arial" w:hint="cs"/>
          <w:sz w:val="22"/>
          <w:szCs w:val="22"/>
          <w:rtl/>
        </w:rPr>
        <w:t xml:space="preserve">דמשמע דאם היה בעיו"ט בישוב אסור לגלח במועד, והעתיקו במ"ב </w:t>
      </w:r>
      <w:r w:rsidRPr="00BB1776">
        <w:rPr>
          <w:rFonts w:cs="Arial" w:hint="cs"/>
          <w:sz w:val="22"/>
          <w:szCs w:val="18"/>
          <w:rtl/>
        </w:rPr>
        <w:t>(יג</w:t>
      </w:r>
      <w:r w:rsidRPr="00BB1776">
        <w:rPr>
          <w:rFonts w:cs="Arial"/>
          <w:sz w:val="22"/>
          <w:szCs w:val="18"/>
          <w:rtl/>
        </w:rPr>
        <w:t>)</w:t>
      </w:r>
      <w:r w:rsidRPr="00BB1776">
        <w:rPr>
          <w:rFonts w:cs="Arial" w:hint="cs"/>
          <w:sz w:val="22"/>
          <w:szCs w:val="22"/>
          <w:rtl/>
        </w:rPr>
        <w:t xml:space="preserve"> ופי' דבכה"ג אי"ז אונס אף שבא לישוב רק במועד לפי שהיה יכול לגלח מעיקרא בתחילת היום, ומשמעות דבריו לאסור אף באופן שלא ידע מעיקרא בתחילת היום שעתיד לצאת מהישוב, וכ"ה להדיא בתשו' רח"ד אבולעפיא </w:t>
      </w:r>
      <w:r w:rsidRPr="00BB1776">
        <w:rPr>
          <w:rFonts w:cs="Arial" w:hint="cs"/>
          <w:sz w:val="22"/>
          <w:szCs w:val="18"/>
          <w:rtl/>
        </w:rPr>
        <w:t>(הובא בחוהמ"כ</w:t>
      </w:r>
      <w:r w:rsidRPr="00BB1776">
        <w:rPr>
          <w:rFonts w:cs="Arial"/>
          <w:sz w:val="22"/>
          <w:szCs w:val="18"/>
          <w:rtl/>
        </w:rPr>
        <w:t>)</w:t>
      </w:r>
      <w:r w:rsidRPr="00BB1776">
        <w:rPr>
          <w:rFonts w:cs="Arial" w:hint="cs"/>
          <w:sz w:val="22"/>
          <w:szCs w:val="22"/>
          <w:rtl/>
        </w:rPr>
        <w:t>.</w:t>
      </w:r>
    </w:p>
    <w:p w14:paraId="751A1AC6" w14:textId="4065D814" w:rsidR="00142914" w:rsidRPr="00BB1776" w:rsidRDefault="00142914" w:rsidP="00BB1776">
      <w:pPr>
        <w:jc w:val="both"/>
        <w:rPr>
          <w:rFonts w:cs="Arial"/>
          <w:sz w:val="22"/>
          <w:szCs w:val="22"/>
          <w:rtl/>
        </w:rPr>
      </w:pPr>
      <w:r w:rsidRPr="00BB1776">
        <w:rPr>
          <w:rFonts w:cs="Arial" w:hint="cs"/>
          <w:sz w:val="22"/>
          <w:szCs w:val="22"/>
          <w:rtl/>
        </w:rPr>
        <w:t xml:space="preserve">והנה, נתבאר לעיל </w:t>
      </w:r>
      <w:r w:rsidRPr="00BB1776">
        <w:rPr>
          <w:rFonts w:cs="Arial" w:hint="cs"/>
          <w:sz w:val="22"/>
          <w:szCs w:val="18"/>
          <w:rtl/>
        </w:rPr>
        <w:t>(שיעור 5</w:t>
      </w:r>
      <w:r w:rsidRPr="00BB1776">
        <w:rPr>
          <w:rFonts w:cs="Arial"/>
          <w:sz w:val="22"/>
          <w:szCs w:val="18"/>
          <w:rtl/>
        </w:rPr>
        <w:t>)</w:t>
      </w:r>
      <w:r w:rsidRPr="00BB1776">
        <w:rPr>
          <w:rFonts w:cs="Arial" w:hint="cs"/>
          <w:sz w:val="22"/>
          <w:szCs w:val="22"/>
          <w:rtl/>
        </w:rPr>
        <w:t xml:space="preserve"> מהחת"ס </w:t>
      </w:r>
      <w:r w:rsidRPr="00BB1776">
        <w:rPr>
          <w:rFonts w:cs="Arial" w:hint="cs"/>
          <w:sz w:val="22"/>
          <w:szCs w:val="18"/>
          <w:rtl/>
        </w:rPr>
        <w:t>(חו"מ, סי' מב</w:t>
      </w:r>
      <w:r w:rsidRPr="00BB1776">
        <w:rPr>
          <w:rFonts w:cs="Arial"/>
          <w:sz w:val="22"/>
          <w:szCs w:val="18"/>
          <w:rtl/>
        </w:rPr>
        <w:t>)</w:t>
      </w:r>
      <w:r w:rsidRPr="00BB1776">
        <w:rPr>
          <w:rFonts w:cs="Arial" w:hint="cs"/>
          <w:sz w:val="22"/>
          <w:szCs w:val="22"/>
          <w:rtl/>
        </w:rPr>
        <w:t xml:space="preserve"> בביאור דעת האגודה </w:t>
      </w:r>
      <w:r w:rsidRPr="00BB1776">
        <w:rPr>
          <w:rFonts w:cs="Arial" w:hint="cs"/>
          <w:sz w:val="22"/>
          <w:szCs w:val="18"/>
          <w:rtl/>
        </w:rPr>
        <w:t>(גיטין, קלב, הו"ד בב"י חו"מ רז</w:t>
      </w:r>
      <w:r w:rsidRPr="00BB1776">
        <w:rPr>
          <w:rFonts w:cs="Arial"/>
          <w:sz w:val="22"/>
          <w:szCs w:val="18"/>
          <w:rtl/>
        </w:rPr>
        <w:t>)</w:t>
      </w:r>
      <w:r w:rsidRPr="00BB1776">
        <w:rPr>
          <w:rFonts w:cs="Arial" w:hint="cs"/>
          <w:sz w:val="22"/>
          <w:szCs w:val="22"/>
          <w:rtl/>
        </w:rPr>
        <w:t xml:space="preserve"> דאונס ביום אחרון לא חשיב אונס, והיכי שיכל להתפלל בתחילת הזמן ואח"כ שכח אי"ז אונס, דמאחר שהגיע זמן תפילה מחויב הוא להתפלל מיד וכשעבר ולא התפלל חשיב כפושע </w:t>
      </w:r>
      <w:r w:rsidRPr="00BB1776">
        <w:rPr>
          <w:rFonts w:cs="Arial" w:hint="cs"/>
          <w:sz w:val="22"/>
          <w:szCs w:val="18"/>
          <w:rtl/>
        </w:rPr>
        <w:t>(ואף שנאנס לבסוף</w:t>
      </w:r>
      <w:r w:rsidRPr="00BB1776">
        <w:rPr>
          <w:rFonts w:cs="Arial"/>
          <w:sz w:val="22"/>
          <w:szCs w:val="18"/>
          <w:rtl/>
        </w:rPr>
        <w:t>)</w:t>
      </w:r>
      <w:r w:rsidRPr="00BB1776">
        <w:rPr>
          <w:rFonts w:cs="Arial" w:hint="cs"/>
          <w:sz w:val="22"/>
          <w:szCs w:val="22"/>
          <w:rtl/>
        </w:rPr>
        <w:t>, ונסתפק לענין מכוון מלאכתו במועד דכשיכול לעשות מעיקרא ושכח אי חשיב אנוס כיון שאין מצוה לעשות מיד כשיכול, ועיי"ש שדעת הפוסקים להקל בזה, וצ"ע לפי"ז לענין גילוח במועד, דיש להתיר אף כשהיה בתחילת עיו"ט בישוב, מאחר שהיה לו שהות לגלח אח"כ בסוף היום וחשיב אונס.</w:t>
      </w:r>
    </w:p>
    <w:p w14:paraId="05821538" w14:textId="7373B25A" w:rsidR="00142914" w:rsidRPr="00BB1776" w:rsidRDefault="00142914" w:rsidP="00BB1776">
      <w:pPr>
        <w:jc w:val="both"/>
        <w:rPr>
          <w:sz w:val="22"/>
          <w:szCs w:val="22"/>
          <w:rtl/>
        </w:rPr>
      </w:pPr>
      <w:r w:rsidRPr="00BB1776">
        <w:rPr>
          <w:rFonts w:cs="Arial" w:hint="cs"/>
          <w:sz w:val="22"/>
          <w:szCs w:val="22"/>
          <w:rtl/>
        </w:rPr>
        <w:t xml:space="preserve">והנה, כבר כתב בשו"ע </w:t>
      </w:r>
      <w:r w:rsidRPr="00BB1776">
        <w:rPr>
          <w:rFonts w:cs="Arial" w:hint="cs"/>
          <w:sz w:val="22"/>
          <w:szCs w:val="18"/>
          <w:rtl/>
        </w:rPr>
        <w:t>(סעי' א'</w:t>
      </w:r>
      <w:r w:rsidRPr="00BB1776">
        <w:rPr>
          <w:rFonts w:cs="Arial"/>
          <w:sz w:val="22"/>
          <w:szCs w:val="18"/>
          <w:rtl/>
        </w:rPr>
        <w:t>)</w:t>
      </w:r>
      <w:r w:rsidRPr="00BB1776">
        <w:rPr>
          <w:rFonts w:cs="Arial" w:hint="cs"/>
          <w:sz w:val="22"/>
          <w:szCs w:val="22"/>
          <w:rtl/>
        </w:rPr>
        <w:t xml:space="preserve"> דמצוה לגלח קודם הרגל, ובמ"ב </w:t>
      </w:r>
      <w:r w:rsidRPr="00BB1776">
        <w:rPr>
          <w:rFonts w:cs="Arial" w:hint="cs"/>
          <w:sz w:val="22"/>
          <w:szCs w:val="18"/>
          <w:rtl/>
        </w:rPr>
        <w:t>(ב</w:t>
      </w:r>
      <w:r w:rsidRPr="00BB1776">
        <w:rPr>
          <w:rFonts w:cs="Arial"/>
          <w:sz w:val="22"/>
          <w:szCs w:val="18"/>
          <w:rtl/>
        </w:rPr>
        <w:t>)</w:t>
      </w:r>
      <w:r w:rsidRPr="00BB1776">
        <w:rPr>
          <w:rFonts w:cs="Arial" w:hint="cs"/>
          <w:sz w:val="22"/>
          <w:szCs w:val="22"/>
          <w:rtl/>
        </w:rPr>
        <w:t xml:space="preserve"> דהיינו בין קודם חצות ובין לאחר חצות, ובשעה"צ </w:t>
      </w:r>
      <w:r w:rsidRPr="00BB1776">
        <w:rPr>
          <w:rFonts w:cs="Arial" w:hint="cs"/>
          <w:sz w:val="22"/>
          <w:szCs w:val="18"/>
          <w:rtl/>
        </w:rPr>
        <w:t>(ב</w:t>
      </w:r>
      <w:r w:rsidRPr="00BB1776">
        <w:rPr>
          <w:rFonts w:cs="Arial"/>
          <w:sz w:val="22"/>
          <w:szCs w:val="18"/>
          <w:rtl/>
        </w:rPr>
        <w:t>)</w:t>
      </w:r>
      <w:r w:rsidRPr="00BB1776">
        <w:rPr>
          <w:rFonts w:cs="Arial" w:hint="cs"/>
          <w:sz w:val="22"/>
          <w:szCs w:val="22"/>
          <w:rtl/>
        </w:rPr>
        <w:t xml:space="preserve"> מהפמ"ג דלכתחילה יגלח קודם חצות, וכמש"כ במג"א </w:t>
      </w:r>
      <w:r w:rsidRPr="00BB1776">
        <w:rPr>
          <w:rFonts w:cs="Arial" w:hint="cs"/>
          <w:sz w:val="22"/>
          <w:szCs w:val="18"/>
          <w:rtl/>
        </w:rPr>
        <w:t>(רנא,ה</w:t>
      </w:r>
      <w:r w:rsidRPr="00BB1776">
        <w:rPr>
          <w:rFonts w:cs="Arial"/>
          <w:sz w:val="22"/>
          <w:szCs w:val="18"/>
          <w:rtl/>
        </w:rPr>
        <w:t>)</w:t>
      </w:r>
      <w:r w:rsidRPr="00BB1776">
        <w:rPr>
          <w:rFonts w:cs="Arial" w:hint="cs"/>
          <w:sz w:val="22"/>
          <w:szCs w:val="22"/>
          <w:rtl/>
        </w:rPr>
        <w:t xml:space="preserve"> בשם האר"י שלא לגלח אחר מנחה גדולה בער"ש, אך סיים דמ"מ בדיעבד יש לסמוך להקל, וכשדחוק לו הזמן יכול לסמוך ע"ז אף לכתחילה, ושכן המנהג, עיי"ש, וי"ל לפי"ז דמאחר שלכתחילה צריך לגלח קודם חצות שוב א"י לדחות את הגילוח לסוף היום ולא יחשב אונס, אך דז"א, דכל מה שצריך להקדים קודם חצות הוא מצד שהגיע זמן מנחה</w:t>
      </w:r>
      <w:r w:rsidRPr="00BB1776">
        <w:rPr>
          <w:rStyle w:val="af0"/>
          <w:rFonts w:cs="Arial"/>
          <w:sz w:val="22"/>
          <w:szCs w:val="22"/>
          <w:rtl/>
        </w:rPr>
        <w:footnoteReference w:id="8"/>
      </w:r>
      <w:r w:rsidRPr="00BB1776">
        <w:rPr>
          <w:rFonts w:cs="Arial" w:hint="cs"/>
          <w:sz w:val="22"/>
          <w:szCs w:val="22"/>
          <w:rtl/>
        </w:rPr>
        <w:t>, והיכי שמתפלל מנחה גדולה ואח"כ מגלח שרי לכתחילה, א"כ א"צ כלל להקדים הגילוח קודם חצות</w:t>
      </w:r>
      <w:r w:rsidRPr="00BB1776">
        <w:rPr>
          <w:rStyle w:val="af0"/>
          <w:rFonts w:cs="Arial"/>
          <w:sz w:val="22"/>
          <w:szCs w:val="22"/>
          <w:rtl/>
        </w:rPr>
        <w:footnoteReference w:id="9"/>
      </w:r>
      <w:r w:rsidRPr="00BB1776">
        <w:rPr>
          <w:rFonts w:cs="Arial" w:hint="cs"/>
          <w:sz w:val="22"/>
          <w:szCs w:val="22"/>
          <w:rtl/>
        </w:rPr>
        <w:t xml:space="preserve"> ושפיר חשיב אונס ביום אחרון, וצ"ע.  </w:t>
      </w:r>
    </w:p>
    <w:p w14:paraId="6A74BF69" w14:textId="543570F4" w:rsidR="00142914" w:rsidRPr="00BB1776" w:rsidRDefault="00142914" w:rsidP="00BB1776">
      <w:pPr>
        <w:pStyle w:val="3"/>
        <w:jc w:val="both"/>
        <w:rPr>
          <w:rtl/>
        </w:rPr>
      </w:pPr>
      <w:r w:rsidRPr="00BB1776">
        <w:rPr>
          <w:rFonts w:hint="cs"/>
          <w:rtl/>
        </w:rPr>
        <w:t>ביצא קודם עיו"ט</w:t>
      </w:r>
    </w:p>
    <w:p w14:paraId="1BE01695" w14:textId="085CE40B" w:rsidR="00142914" w:rsidRPr="00BB1776" w:rsidRDefault="00142914" w:rsidP="00BB1776">
      <w:pPr>
        <w:jc w:val="both"/>
        <w:rPr>
          <w:rFonts w:cs="Arial"/>
          <w:sz w:val="22"/>
          <w:szCs w:val="22"/>
          <w:rtl/>
        </w:rPr>
      </w:pPr>
      <w:r w:rsidRPr="00BB1776">
        <w:rPr>
          <w:rFonts w:cs="Arial" w:hint="cs"/>
          <w:sz w:val="22"/>
          <w:szCs w:val="22"/>
          <w:rtl/>
        </w:rPr>
        <w:t xml:space="preserve">במג"א </w:t>
      </w:r>
      <w:r w:rsidRPr="00BB1776">
        <w:rPr>
          <w:rFonts w:cs="Arial" w:hint="cs"/>
          <w:sz w:val="22"/>
          <w:szCs w:val="18"/>
          <w:rtl/>
        </w:rPr>
        <w:t>(הנ"ל</w:t>
      </w:r>
      <w:r w:rsidRPr="00BB1776">
        <w:rPr>
          <w:rFonts w:cs="Arial"/>
          <w:sz w:val="22"/>
          <w:szCs w:val="18"/>
          <w:rtl/>
        </w:rPr>
        <w:t>)</w:t>
      </w:r>
      <w:r w:rsidRPr="00BB1776">
        <w:rPr>
          <w:rFonts w:cs="Arial" w:hint="cs"/>
          <w:sz w:val="22"/>
          <w:szCs w:val="22"/>
          <w:rtl/>
        </w:rPr>
        <w:t xml:space="preserve"> הוסיף דנ"ל דאם</w:t>
      </w:r>
      <w:r w:rsidRPr="00BB1776">
        <w:rPr>
          <w:rFonts w:cs="Arial"/>
          <w:sz w:val="22"/>
          <w:szCs w:val="22"/>
          <w:rtl/>
        </w:rPr>
        <w:t xml:space="preserve"> </w:t>
      </w:r>
      <w:r w:rsidRPr="00BB1776">
        <w:rPr>
          <w:rFonts w:cs="Arial" w:hint="cs"/>
          <w:sz w:val="22"/>
          <w:szCs w:val="22"/>
          <w:rtl/>
        </w:rPr>
        <w:t>היה</w:t>
      </w:r>
      <w:r w:rsidRPr="00BB1776">
        <w:rPr>
          <w:rFonts w:cs="Arial"/>
          <w:sz w:val="22"/>
          <w:szCs w:val="22"/>
          <w:rtl/>
        </w:rPr>
        <w:t xml:space="preserve"> </w:t>
      </w:r>
      <w:r w:rsidRPr="00BB1776">
        <w:rPr>
          <w:rFonts w:cs="Arial" w:hint="cs"/>
          <w:sz w:val="22"/>
          <w:szCs w:val="22"/>
          <w:rtl/>
        </w:rPr>
        <w:t>ב</w:t>
      </w:r>
      <w:r w:rsidRPr="00BB1776">
        <w:rPr>
          <w:rFonts w:cs="Arial"/>
          <w:sz w:val="22"/>
          <w:szCs w:val="22"/>
          <w:rtl/>
        </w:rPr>
        <w:t xml:space="preserve">' </w:t>
      </w:r>
      <w:r w:rsidRPr="00BB1776">
        <w:rPr>
          <w:rFonts w:cs="Arial" w:hint="cs"/>
          <w:sz w:val="22"/>
          <w:szCs w:val="22"/>
          <w:rtl/>
        </w:rPr>
        <w:t>ימים</w:t>
      </w:r>
      <w:r w:rsidRPr="00BB1776">
        <w:rPr>
          <w:rFonts w:cs="Arial"/>
          <w:sz w:val="22"/>
          <w:szCs w:val="22"/>
          <w:rtl/>
        </w:rPr>
        <w:t xml:space="preserve"> </w:t>
      </w:r>
      <w:r w:rsidRPr="00BB1776">
        <w:rPr>
          <w:rFonts w:cs="Arial" w:hint="cs"/>
          <w:sz w:val="22"/>
          <w:szCs w:val="22"/>
          <w:rtl/>
        </w:rPr>
        <w:t>או</w:t>
      </w:r>
      <w:r w:rsidRPr="00BB1776">
        <w:rPr>
          <w:rFonts w:cs="Arial"/>
          <w:sz w:val="22"/>
          <w:szCs w:val="22"/>
          <w:rtl/>
        </w:rPr>
        <w:t xml:space="preserve"> </w:t>
      </w:r>
      <w:r w:rsidRPr="00BB1776">
        <w:rPr>
          <w:rFonts w:cs="Arial" w:hint="cs"/>
          <w:sz w:val="22"/>
          <w:szCs w:val="22"/>
          <w:rtl/>
        </w:rPr>
        <w:t>ג</w:t>
      </w:r>
      <w:r w:rsidRPr="00BB1776">
        <w:rPr>
          <w:rFonts w:cs="Arial"/>
          <w:sz w:val="22"/>
          <w:szCs w:val="22"/>
          <w:rtl/>
        </w:rPr>
        <w:t xml:space="preserve">' </w:t>
      </w:r>
      <w:r w:rsidRPr="00BB1776">
        <w:rPr>
          <w:rFonts w:cs="Arial" w:hint="cs"/>
          <w:sz w:val="22"/>
          <w:szCs w:val="22"/>
          <w:rtl/>
        </w:rPr>
        <w:t>ימים</w:t>
      </w:r>
      <w:r w:rsidRPr="00BB1776">
        <w:rPr>
          <w:rFonts w:cs="Arial"/>
          <w:sz w:val="22"/>
          <w:szCs w:val="22"/>
          <w:rtl/>
        </w:rPr>
        <w:t xml:space="preserve"> </w:t>
      </w:r>
      <w:r w:rsidRPr="00BB1776">
        <w:rPr>
          <w:rFonts w:cs="Arial" w:hint="cs"/>
          <w:sz w:val="22"/>
          <w:szCs w:val="22"/>
          <w:rtl/>
        </w:rPr>
        <w:t>קודם</w:t>
      </w:r>
      <w:r w:rsidRPr="00BB1776">
        <w:rPr>
          <w:rFonts w:cs="Arial"/>
          <w:sz w:val="22"/>
          <w:szCs w:val="22"/>
          <w:rtl/>
        </w:rPr>
        <w:t xml:space="preserve"> </w:t>
      </w:r>
      <w:r w:rsidRPr="00BB1776">
        <w:rPr>
          <w:rFonts w:cs="Arial" w:hint="cs"/>
          <w:sz w:val="22"/>
          <w:szCs w:val="22"/>
          <w:rtl/>
        </w:rPr>
        <w:t>יו"ט</w:t>
      </w:r>
      <w:r w:rsidRPr="00BB1776">
        <w:rPr>
          <w:rFonts w:cs="Arial"/>
          <w:sz w:val="22"/>
          <w:szCs w:val="22"/>
          <w:rtl/>
        </w:rPr>
        <w:t xml:space="preserve"> </w:t>
      </w:r>
      <w:r w:rsidRPr="00BB1776">
        <w:rPr>
          <w:rFonts w:cs="Arial" w:hint="cs"/>
          <w:sz w:val="22"/>
          <w:szCs w:val="22"/>
          <w:rtl/>
        </w:rPr>
        <w:t>בישוב</w:t>
      </w:r>
      <w:r w:rsidRPr="00BB1776">
        <w:rPr>
          <w:rFonts w:cs="Arial"/>
          <w:sz w:val="22"/>
          <w:szCs w:val="22"/>
          <w:rtl/>
        </w:rPr>
        <w:t xml:space="preserve"> </w:t>
      </w:r>
      <w:r w:rsidRPr="00BB1776">
        <w:rPr>
          <w:rFonts w:cs="Arial" w:hint="cs"/>
          <w:sz w:val="22"/>
          <w:szCs w:val="22"/>
          <w:rtl/>
        </w:rPr>
        <w:t>ובעי</w:t>
      </w:r>
      <w:r w:rsidRPr="00BB1776">
        <w:rPr>
          <w:rFonts w:cs="Arial"/>
          <w:sz w:val="22"/>
          <w:szCs w:val="22"/>
          <w:rtl/>
        </w:rPr>
        <w:t>"</w:t>
      </w:r>
      <w:r w:rsidRPr="00BB1776">
        <w:rPr>
          <w:rFonts w:cs="Arial" w:hint="cs"/>
          <w:sz w:val="22"/>
          <w:szCs w:val="22"/>
          <w:rtl/>
        </w:rPr>
        <w:t>ט</w:t>
      </w:r>
      <w:r w:rsidRPr="00BB1776">
        <w:rPr>
          <w:rFonts w:cs="Arial"/>
          <w:sz w:val="22"/>
          <w:szCs w:val="22"/>
          <w:rtl/>
        </w:rPr>
        <w:t xml:space="preserve"> </w:t>
      </w:r>
      <w:r w:rsidRPr="00BB1776">
        <w:rPr>
          <w:rFonts w:cs="Arial" w:hint="cs"/>
          <w:sz w:val="22"/>
          <w:szCs w:val="22"/>
          <w:rtl/>
        </w:rPr>
        <w:t>לא</w:t>
      </w:r>
      <w:r w:rsidRPr="00BB1776">
        <w:rPr>
          <w:rFonts w:cs="Arial"/>
          <w:sz w:val="22"/>
          <w:szCs w:val="22"/>
          <w:rtl/>
        </w:rPr>
        <w:t xml:space="preserve"> </w:t>
      </w:r>
      <w:r w:rsidRPr="00BB1776">
        <w:rPr>
          <w:rFonts w:cs="Arial" w:hint="cs"/>
          <w:sz w:val="22"/>
          <w:szCs w:val="22"/>
          <w:rtl/>
        </w:rPr>
        <w:t>היה</w:t>
      </w:r>
      <w:r w:rsidRPr="00BB1776">
        <w:rPr>
          <w:rFonts w:cs="Arial"/>
          <w:sz w:val="22"/>
          <w:szCs w:val="22"/>
          <w:rtl/>
        </w:rPr>
        <w:t xml:space="preserve"> </w:t>
      </w:r>
      <w:r w:rsidRPr="00BB1776">
        <w:rPr>
          <w:rFonts w:cs="Arial" w:hint="cs"/>
          <w:sz w:val="22"/>
          <w:szCs w:val="22"/>
          <w:rtl/>
        </w:rPr>
        <w:t>בישוב</w:t>
      </w:r>
      <w:r w:rsidRPr="00BB1776">
        <w:rPr>
          <w:rFonts w:cs="Arial"/>
          <w:sz w:val="22"/>
          <w:szCs w:val="22"/>
          <w:rtl/>
        </w:rPr>
        <w:t xml:space="preserve"> </w:t>
      </w:r>
      <w:r w:rsidRPr="00BB1776">
        <w:rPr>
          <w:rFonts w:cs="Arial" w:hint="cs"/>
          <w:sz w:val="22"/>
          <w:szCs w:val="22"/>
          <w:rtl/>
        </w:rPr>
        <w:t>מותר</w:t>
      </w:r>
      <w:r w:rsidRPr="00BB1776">
        <w:rPr>
          <w:rFonts w:cs="Arial"/>
          <w:sz w:val="22"/>
          <w:szCs w:val="22"/>
          <w:rtl/>
        </w:rPr>
        <w:t xml:space="preserve"> </w:t>
      </w:r>
      <w:r w:rsidRPr="00BB1776">
        <w:rPr>
          <w:rFonts w:cs="Arial" w:hint="cs"/>
          <w:sz w:val="22"/>
          <w:szCs w:val="22"/>
          <w:rtl/>
        </w:rPr>
        <w:t>לגלח</w:t>
      </w:r>
      <w:r w:rsidRPr="00BB1776">
        <w:rPr>
          <w:rFonts w:cs="Arial"/>
          <w:sz w:val="22"/>
          <w:szCs w:val="22"/>
          <w:rtl/>
        </w:rPr>
        <w:t xml:space="preserve"> </w:t>
      </w:r>
      <w:r w:rsidRPr="00BB1776">
        <w:rPr>
          <w:rFonts w:cs="Arial" w:hint="cs"/>
          <w:sz w:val="22"/>
          <w:szCs w:val="22"/>
          <w:rtl/>
        </w:rPr>
        <w:t>בח</w:t>
      </w:r>
      <w:r w:rsidRPr="00BB1776">
        <w:rPr>
          <w:rFonts w:cs="Arial"/>
          <w:sz w:val="22"/>
          <w:szCs w:val="22"/>
          <w:rtl/>
        </w:rPr>
        <w:t>"</w:t>
      </w:r>
      <w:r w:rsidRPr="00BB1776">
        <w:rPr>
          <w:rFonts w:cs="Arial" w:hint="cs"/>
          <w:sz w:val="22"/>
          <w:szCs w:val="22"/>
          <w:rtl/>
        </w:rPr>
        <w:t xml:space="preserve">ה, ובא"ר </w:t>
      </w:r>
      <w:r w:rsidRPr="00BB1776">
        <w:rPr>
          <w:rFonts w:cs="Arial" w:hint="cs"/>
          <w:sz w:val="22"/>
          <w:szCs w:val="18"/>
          <w:rtl/>
        </w:rPr>
        <w:t>(ה</w:t>
      </w:r>
      <w:r w:rsidRPr="00BB1776">
        <w:rPr>
          <w:rFonts w:cs="Arial"/>
          <w:sz w:val="22"/>
          <w:szCs w:val="18"/>
          <w:rtl/>
        </w:rPr>
        <w:t>)</w:t>
      </w:r>
      <w:r w:rsidRPr="00BB1776">
        <w:rPr>
          <w:rFonts w:cs="Arial" w:hint="cs"/>
          <w:sz w:val="22"/>
          <w:szCs w:val="22"/>
          <w:rtl/>
        </w:rPr>
        <w:t xml:space="preserve"> כתב דמש"כ מג"א לא נהירא, וכוונתו סתומה, ומשמע דהוקשה לו דאף שהיה אנוס בעיו"ט יש לקונסו מאחר שיכל לגלח קודם עיו"ט, ובפמ"ג </w:t>
      </w:r>
      <w:r w:rsidRPr="00BB1776">
        <w:rPr>
          <w:rFonts w:cs="Arial" w:hint="cs"/>
          <w:sz w:val="22"/>
          <w:szCs w:val="18"/>
          <w:rtl/>
        </w:rPr>
        <w:t>(א"א, שם</w:t>
      </w:r>
      <w:r w:rsidRPr="00BB1776">
        <w:rPr>
          <w:rFonts w:cs="Arial"/>
          <w:sz w:val="22"/>
          <w:szCs w:val="18"/>
          <w:rtl/>
        </w:rPr>
        <w:t>)</w:t>
      </w:r>
      <w:r w:rsidRPr="00BB1776">
        <w:rPr>
          <w:rFonts w:cs="Arial" w:hint="cs"/>
          <w:sz w:val="22"/>
          <w:szCs w:val="22"/>
          <w:rtl/>
        </w:rPr>
        <w:t xml:space="preserve"> פי' דעת המג"א דמאחר שהמצוה</w:t>
      </w:r>
      <w:r w:rsidRPr="00BB1776">
        <w:rPr>
          <w:rFonts w:cs="Arial"/>
          <w:sz w:val="22"/>
          <w:szCs w:val="22"/>
          <w:rtl/>
        </w:rPr>
        <w:t xml:space="preserve"> </w:t>
      </w:r>
      <w:r w:rsidRPr="00BB1776">
        <w:rPr>
          <w:rFonts w:cs="Arial" w:hint="cs"/>
          <w:sz w:val="22"/>
          <w:szCs w:val="22"/>
          <w:rtl/>
        </w:rPr>
        <w:t>לגלח</w:t>
      </w:r>
      <w:r w:rsidRPr="00BB1776">
        <w:rPr>
          <w:rFonts w:cs="Arial"/>
          <w:sz w:val="22"/>
          <w:szCs w:val="22"/>
          <w:rtl/>
        </w:rPr>
        <w:t xml:space="preserve"> </w:t>
      </w:r>
      <w:r w:rsidRPr="00BB1776">
        <w:rPr>
          <w:rFonts w:cs="Arial" w:hint="cs"/>
          <w:sz w:val="22"/>
          <w:szCs w:val="22"/>
          <w:rtl/>
        </w:rPr>
        <w:t>היא רק בערב</w:t>
      </w:r>
      <w:r w:rsidRPr="00BB1776">
        <w:rPr>
          <w:rFonts w:cs="Arial"/>
          <w:sz w:val="22"/>
          <w:szCs w:val="22"/>
          <w:rtl/>
        </w:rPr>
        <w:t xml:space="preserve"> </w:t>
      </w:r>
      <w:r w:rsidRPr="00BB1776">
        <w:rPr>
          <w:rFonts w:cs="Arial" w:hint="cs"/>
          <w:sz w:val="22"/>
          <w:szCs w:val="22"/>
          <w:rtl/>
        </w:rPr>
        <w:t>הרגל ולא קודם לכן שוב אין לקנוס מצד שיכל לגלח מקודם לכן אלא רק כשיכול היה לגלח בעיו"ט גופיה.</w:t>
      </w:r>
    </w:p>
    <w:p w14:paraId="7A77EF6C" w14:textId="3A8ED247" w:rsidR="00142914" w:rsidRPr="00BB1776" w:rsidRDefault="00142914" w:rsidP="00BB1776">
      <w:pPr>
        <w:jc w:val="both"/>
        <w:rPr>
          <w:sz w:val="22"/>
          <w:szCs w:val="22"/>
          <w:rtl/>
        </w:rPr>
      </w:pPr>
      <w:r w:rsidRPr="00BB1776">
        <w:rPr>
          <w:rFonts w:cs="Arial" w:hint="cs"/>
          <w:sz w:val="22"/>
          <w:szCs w:val="22"/>
          <w:rtl/>
        </w:rPr>
        <w:t xml:space="preserve">אכן, דודאי מסתברא דהיינו דוקא כשלא היה יודע מעיקרא שעתיד לצאת בעיו"ט ואח"כ כשהגיע עיו"ט כבר לא היה יכול לגלח, ומשו"ה לא קנסינן ליה אף שהיה יכול לגלח מעיקרא </w:t>
      </w:r>
      <w:r w:rsidRPr="00BB1776">
        <w:rPr>
          <w:rFonts w:cs="Arial"/>
          <w:sz w:val="22"/>
          <w:szCs w:val="18"/>
          <w:rtl/>
        </w:rPr>
        <w:t>(</w:t>
      </w:r>
      <w:r w:rsidRPr="00BB1776">
        <w:rPr>
          <w:rFonts w:cs="Arial" w:hint="cs"/>
          <w:sz w:val="22"/>
          <w:szCs w:val="18"/>
          <w:rtl/>
        </w:rPr>
        <w:t>כיון שאז לא היה מצוה</w:t>
      </w:r>
      <w:r w:rsidRPr="00BB1776">
        <w:rPr>
          <w:rFonts w:cs="Arial"/>
          <w:sz w:val="22"/>
          <w:szCs w:val="18"/>
          <w:rtl/>
        </w:rPr>
        <w:t>)</w:t>
      </w:r>
      <w:r w:rsidRPr="00BB1776">
        <w:rPr>
          <w:rStyle w:val="af0"/>
          <w:rFonts w:cs="Arial"/>
          <w:sz w:val="22"/>
          <w:szCs w:val="22"/>
          <w:rtl/>
        </w:rPr>
        <w:footnoteReference w:id="10"/>
      </w:r>
      <w:r w:rsidRPr="00BB1776">
        <w:rPr>
          <w:rFonts w:cs="Arial" w:hint="cs"/>
          <w:sz w:val="22"/>
          <w:szCs w:val="22"/>
          <w:rtl/>
        </w:rPr>
        <w:t xml:space="preserve">, אך באופן שכבר ידע מעיקרא שעתיד לצאת בערב הרגל היה מחויב לגלח כבר מעיקרא וקנסינן ליה, וכן הביאו בשם תשו' עמק הלכה </w:t>
      </w:r>
      <w:r w:rsidRPr="00BB1776">
        <w:rPr>
          <w:rFonts w:cs="Arial" w:hint="cs"/>
          <w:sz w:val="22"/>
          <w:szCs w:val="18"/>
          <w:rtl/>
        </w:rPr>
        <w:t>(קנד, ד"ה אך</w:t>
      </w:r>
      <w:r w:rsidRPr="00BB1776">
        <w:rPr>
          <w:rFonts w:cs="Arial"/>
          <w:sz w:val="22"/>
          <w:szCs w:val="18"/>
          <w:rtl/>
        </w:rPr>
        <w:t>)</w:t>
      </w:r>
      <w:r w:rsidRPr="00BB1776">
        <w:rPr>
          <w:rFonts w:cs="Arial" w:hint="cs"/>
          <w:sz w:val="22"/>
          <w:szCs w:val="22"/>
          <w:rtl/>
        </w:rPr>
        <w:t>.</w:t>
      </w:r>
    </w:p>
    <w:p w14:paraId="3D045FB7" w14:textId="5434326C" w:rsidR="00142914" w:rsidRPr="00BB1776" w:rsidRDefault="00142914" w:rsidP="00BB1776">
      <w:pPr>
        <w:pStyle w:val="3"/>
        <w:jc w:val="both"/>
        <w:rPr>
          <w:rtl/>
        </w:rPr>
      </w:pPr>
      <w:r w:rsidRPr="00BB1776">
        <w:rPr>
          <w:rFonts w:hint="cs"/>
          <w:rtl/>
        </w:rPr>
        <w:t>ביצא לטייל</w:t>
      </w:r>
    </w:p>
    <w:p w14:paraId="26F668C9" w14:textId="77478747" w:rsidR="002D4163" w:rsidRDefault="00624EEC" w:rsidP="00DB4B77">
      <w:pPr>
        <w:jc w:val="both"/>
        <w:rPr>
          <w:sz w:val="22"/>
          <w:szCs w:val="22"/>
          <w:rtl/>
        </w:rPr>
      </w:pPr>
      <w:r>
        <w:rPr>
          <w:rFonts w:hint="cs"/>
          <w:sz w:val="22"/>
          <w:szCs w:val="22"/>
          <w:rtl/>
        </w:rPr>
        <w:t>בגמ'</w:t>
      </w:r>
      <w:r w:rsidR="002D4163">
        <w:rPr>
          <w:rFonts w:hint="cs"/>
          <w:sz w:val="22"/>
          <w:szCs w:val="22"/>
          <w:rtl/>
        </w:rPr>
        <w:t xml:space="preserve"> מוקי דביצא לטייל מודו כו"ע דאסור לגלח לפי שיצא שלא ברשות, ובטור הביא שיטת הראב"ד דהיינו רק ביצא מא"י לחו"ל, אך מחו"ל לא"י או לחו"ל מותר לגלח אף כשיצא לטייל, וכ"פ בשו"ע, וטעמו דכל שלא עשה איסור ביציאתו חשיב אנוס ושרי לגלח, ורק כשיצא באיסור חשיב פשיעה דהו"ל שלא לצאת.</w:t>
      </w:r>
    </w:p>
    <w:p w14:paraId="197DB228" w14:textId="77777777" w:rsidR="00850C50" w:rsidRDefault="002D4163" w:rsidP="00850C50">
      <w:pPr>
        <w:jc w:val="both"/>
        <w:rPr>
          <w:sz w:val="22"/>
          <w:szCs w:val="22"/>
          <w:rtl/>
        </w:rPr>
      </w:pPr>
      <w:r>
        <w:rPr>
          <w:rFonts w:hint="cs"/>
          <w:sz w:val="22"/>
          <w:szCs w:val="22"/>
          <w:rtl/>
        </w:rPr>
        <w:t>אמנם שיטת שאר ראשונים להחמיר ביצא לטייל אפי' מחו"ל לא"י דלא עבד איסורא,</w:t>
      </w:r>
      <w:r w:rsidR="00850C50">
        <w:rPr>
          <w:rFonts w:hint="cs"/>
          <w:sz w:val="22"/>
          <w:szCs w:val="22"/>
          <w:rtl/>
        </w:rPr>
        <w:t xml:space="preserve"> ועי' בשעה"צ </w:t>
      </w:r>
      <w:r w:rsidR="00850C50" w:rsidRPr="00850C50">
        <w:rPr>
          <w:rFonts w:hint="cs"/>
          <w:sz w:val="22"/>
          <w:szCs w:val="18"/>
          <w:rtl/>
        </w:rPr>
        <w:t>(סקי"ב</w:t>
      </w:r>
      <w:r w:rsidR="00850C50" w:rsidRPr="00850C50">
        <w:rPr>
          <w:sz w:val="22"/>
          <w:szCs w:val="18"/>
          <w:rtl/>
        </w:rPr>
        <w:t>)</w:t>
      </w:r>
      <w:r w:rsidR="00850C50">
        <w:rPr>
          <w:rFonts w:hint="cs"/>
          <w:sz w:val="22"/>
          <w:szCs w:val="22"/>
          <w:rtl/>
        </w:rPr>
        <w:t xml:space="preserve"> שהביא דכן דעת רש"י ור"ח ושכן משמע בסתימת הרי"ף והרמב"ם, וציין לגר"א שתמה עוד מהירושלמי דמשמע לאסור בכל ענין, ומ"מ לדינא יש למיקל על מי לסמוך כיון שנמצאו הרבה ראשונים דס"ל כדעת הראב"ד בזה, עיי"ש.</w:t>
      </w:r>
    </w:p>
    <w:p w14:paraId="4A295EB8" w14:textId="3479AB00" w:rsidR="00850C50" w:rsidRDefault="00850C50" w:rsidP="00850C50">
      <w:pPr>
        <w:jc w:val="both"/>
        <w:rPr>
          <w:sz w:val="22"/>
          <w:szCs w:val="22"/>
          <w:rtl/>
        </w:rPr>
      </w:pPr>
      <w:r>
        <w:rPr>
          <w:rFonts w:hint="cs"/>
          <w:sz w:val="22"/>
          <w:szCs w:val="22"/>
          <w:rtl/>
        </w:rPr>
        <w:t>וצ"ב מש"כ להשוות דעת הירושלמי כדעת רש"י ור"ח</w:t>
      </w:r>
      <w:r w:rsidR="002D4163">
        <w:rPr>
          <w:rFonts w:hint="cs"/>
          <w:sz w:val="22"/>
          <w:szCs w:val="22"/>
          <w:rtl/>
        </w:rPr>
        <w:t xml:space="preserve">, </w:t>
      </w:r>
      <w:r>
        <w:rPr>
          <w:rFonts w:hint="cs"/>
          <w:sz w:val="22"/>
          <w:szCs w:val="22"/>
          <w:rtl/>
        </w:rPr>
        <w:t xml:space="preserve">דברש"י ור"ח פי' דבלשוט שיצא שלא ברשות היינו שיצא מרצון עצמו ולא מדעת אחרים וא"כ לאו אנוס הוא דהו"ל שלא </w:t>
      </w:r>
      <w:r>
        <w:rPr>
          <w:rFonts w:hint="cs"/>
          <w:sz w:val="22"/>
          <w:szCs w:val="22"/>
          <w:rtl/>
        </w:rPr>
        <w:lastRenderedPageBreak/>
        <w:t>לצאת, אך בירושלמי מבואר דהוא מצד שיצא שלא ברשות ועבד איסורא דאסור לפרוש לים הגדול משום סכנה</w:t>
      </w:r>
      <w:r>
        <w:rPr>
          <w:rStyle w:val="af0"/>
          <w:sz w:val="22"/>
          <w:szCs w:val="22"/>
          <w:rtl/>
        </w:rPr>
        <w:footnoteReference w:id="11"/>
      </w:r>
      <w:r>
        <w:rPr>
          <w:rFonts w:hint="cs"/>
          <w:sz w:val="22"/>
          <w:szCs w:val="22"/>
          <w:rtl/>
        </w:rPr>
        <w:t>.</w:t>
      </w:r>
    </w:p>
    <w:p w14:paraId="12110F5C" w14:textId="3386E94E" w:rsidR="00850C50" w:rsidRDefault="00850C50" w:rsidP="00850C50">
      <w:pPr>
        <w:jc w:val="both"/>
        <w:rPr>
          <w:sz w:val="22"/>
          <w:szCs w:val="22"/>
          <w:rtl/>
        </w:rPr>
      </w:pPr>
      <w:r>
        <w:rPr>
          <w:rFonts w:hint="cs"/>
          <w:sz w:val="22"/>
          <w:szCs w:val="22"/>
          <w:rtl/>
        </w:rPr>
        <w:t xml:space="preserve">ומשמע דאיכא ב' מח' בזה, א' אי חומרא דטיול הוא מצד דהו"ל שלא לצאת או מצד שעשה איסור, ב' אי האיסור בטיול </w:t>
      </w:r>
      <w:r>
        <w:rPr>
          <w:rFonts w:hint="cs"/>
          <w:sz w:val="22"/>
          <w:szCs w:val="22"/>
          <w:rtl/>
        </w:rPr>
        <w:t>מצד שיצא  מא"י לחו"ל או מצד שיצא לים הגדול ונכנס לכלל סכנה, ויש לדון נפ"מ למעשה בין טעם דרש"י ור"ח לטעם דהירושלמי ביצא לטייל במכונית או מטוס שאין בהן סכנה, דלירושלמי חשיב אנוס דהיה רשאי לצאת אך לרש"י ור"ח חשיב פשיעה דמ"מ הו"ל שלא לצאת.</w:t>
      </w:r>
    </w:p>
    <w:p w14:paraId="0745C3A2" w14:textId="77777777" w:rsidR="00BB1776" w:rsidRDefault="00BB1776" w:rsidP="00BB1776">
      <w:pPr>
        <w:jc w:val="both"/>
        <w:rPr>
          <w:sz w:val="22"/>
          <w:szCs w:val="22"/>
          <w:rtl/>
        </w:rPr>
        <w:sectPr w:rsidR="00BB1776" w:rsidSect="00BB1776">
          <w:type w:val="continuous"/>
          <w:pgSz w:w="11906" w:h="16838"/>
          <w:pgMar w:top="720" w:right="720" w:bottom="720" w:left="720" w:header="708" w:footer="708" w:gutter="0"/>
          <w:cols w:num="2" w:space="708"/>
          <w:bidi/>
          <w:rtlGutter/>
          <w:docGrid w:linePitch="360"/>
        </w:sectPr>
      </w:pPr>
    </w:p>
    <w:p w14:paraId="6A4A4371" w14:textId="236B63A0" w:rsidR="006A1B85" w:rsidRPr="00BB1776" w:rsidRDefault="006A1B85" w:rsidP="00BB1776">
      <w:pPr>
        <w:jc w:val="both"/>
        <w:rPr>
          <w:sz w:val="22"/>
          <w:szCs w:val="22"/>
          <w:rtl/>
        </w:rPr>
      </w:pPr>
    </w:p>
    <w:p w14:paraId="4E898A88" w14:textId="354554E4" w:rsidR="00D10D22" w:rsidRPr="00BB1776" w:rsidRDefault="006A1B85" w:rsidP="00BB1776">
      <w:pPr>
        <w:jc w:val="both"/>
        <w:rPr>
          <w:sz w:val="22"/>
          <w:szCs w:val="22"/>
          <w:rtl/>
        </w:rPr>
      </w:pPr>
      <w:r w:rsidRPr="00BB1776">
        <w:rPr>
          <w:rFonts w:hint="cs"/>
          <w:sz w:val="22"/>
          <w:szCs w:val="22"/>
          <w:rtl/>
        </w:rPr>
        <w:t xml:space="preserve"> </w:t>
      </w:r>
      <w:r w:rsidR="0031273B" w:rsidRPr="00BB1776">
        <w:rPr>
          <w:rFonts w:hint="cs"/>
          <w:sz w:val="22"/>
          <w:szCs w:val="22"/>
          <w:rtl/>
        </w:rPr>
        <w:t xml:space="preserve">  </w:t>
      </w:r>
    </w:p>
    <w:p w14:paraId="266C0D5F" w14:textId="570BC674" w:rsidR="00D10D22" w:rsidRPr="00BB1776" w:rsidRDefault="00BB1776" w:rsidP="00BB1776">
      <w:pPr>
        <w:pStyle w:val="2"/>
        <w:jc w:val="both"/>
        <w:rPr>
          <w:rtl/>
        </w:rPr>
      </w:pPr>
      <w:r w:rsidRPr="00BB1776">
        <w:rPr>
          <w:rFonts w:hint="cs"/>
          <w:rtl/>
        </w:rPr>
        <w:t>מסקנת הדברים</w:t>
      </w:r>
    </w:p>
    <w:p w14:paraId="071D6A45" w14:textId="3199C6EC" w:rsidR="00BB1776" w:rsidRPr="00BB1776" w:rsidRDefault="00BB1776" w:rsidP="00BB1776">
      <w:pPr>
        <w:jc w:val="both"/>
        <w:rPr>
          <w:sz w:val="22"/>
          <w:szCs w:val="22"/>
          <w:rtl/>
        </w:rPr>
      </w:pPr>
      <w:r w:rsidRPr="00BB1776">
        <w:rPr>
          <w:rFonts w:hint="cs"/>
          <w:sz w:val="22"/>
          <w:szCs w:val="22"/>
          <w:rtl/>
        </w:rPr>
        <w:t xml:space="preserve">א. איסור גילוח במועד הוא מצד גזירה שלא יכנס לרגל מנוול, אך מצד מלאכה אין לאסור לפי שהוא צורך המועד, ובריטב"א כתב מצד שהוא צורך הגוף, ולדבריו ניחא שהותר אף מעשה אומן, וצ"ע במ"ב שחיפש טעמים אחרים להתיר מעשה אומן בלא שינוי. </w:t>
      </w:r>
    </w:p>
    <w:p w14:paraId="3EC43FC9" w14:textId="02576CF1" w:rsidR="00BB1776" w:rsidRPr="00BB1776" w:rsidRDefault="00BB1776" w:rsidP="00BB1776">
      <w:pPr>
        <w:jc w:val="both"/>
        <w:rPr>
          <w:sz w:val="22"/>
          <w:szCs w:val="22"/>
          <w:rtl/>
        </w:rPr>
      </w:pPr>
      <w:r w:rsidRPr="00BB1776">
        <w:rPr>
          <w:rFonts w:hint="cs"/>
          <w:sz w:val="22"/>
          <w:szCs w:val="22"/>
          <w:rtl/>
        </w:rPr>
        <w:t xml:space="preserve">ב. נקטי' דגילוח הראש ג"כ בכלל הגזירה, ובין בגילוח ובין במספרים, ובדעת המג"א משמע דבשאר שערות הגוף לא גזרו, ובגילוח לרפואה, דעת החי"א להתיר, ובמג"א משמע דאסור, ובפמ"ג צידד דכשמגלח רק סביבות המכה לא גזרו, ולפי"ז י"ל דה"ה לענין כיבוס דלא גזרו על הסרת כתמים לחוד, ומסקנת המ"ב דכשיש לו מכה [ולא היה יכול לגלח קודם הרגל] יש להקל מצד דמכתו מוכחת עליו. </w:t>
      </w:r>
    </w:p>
    <w:p w14:paraId="03D3D3E3" w14:textId="60435032" w:rsidR="00BB1776" w:rsidRPr="00BB1776" w:rsidRDefault="00BB1776" w:rsidP="00BB1776">
      <w:pPr>
        <w:jc w:val="both"/>
        <w:rPr>
          <w:sz w:val="22"/>
          <w:szCs w:val="22"/>
          <w:rtl/>
        </w:rPr>
      </w:pPr>
      <w:r w:rsidRPr="00BB1776">
        <w:rPr>
          <w:rFonts w:hint="cs"/>
          <w:sz w:val="22"/>
          <w:szCs w:val="22"/>
          <w:rtl/>
        </w:rPr>
        <w:t>ג. גילוח לצורך רפואה מותרת, ומשמע בב</w:t>
      </w:r>
      <w:r w:rsidR="002A7CB8">
        <w:rPr>
          <w:rFonts w:hint="cs"/>
          <w:sz w:val="22"/>
          <w:szCs w:val="22"/>
          <w:rtl/>
        </w:rPr>
        <w:t>יה"ל</w:t>
      </w:r>
      <w:r w:rsidRPr="00BB1776">
        <w:rPr>
          <w:rFonts w:hint="cs"/>
          <w:sz w:val="22"/>
          <w:szCs w:val="22"/>
          <w:rtl/>
        </w:rPr>
        <w:t xml:space="preserve"> דלצורך מיחוש לחוד אסור</w:t>
      </w:r>
      <w:r w:rsidR="002A7CB8">
        <w:rPr>
          <w:rFonts w:hint="cs"/>
          <w:sz w:val="22"/>
          <w:szCs w:val="22"/>
          <w:rtl/>
        </w:rPr>
        <w:t>,</w:t>
      </w:r>
      <w:r w:rsidRPr="00BB1776">
        <w:rPr>
          <w:rFonts w:hint="cs"/>
          <w:sz w:val="22"/>
          <w:szCs w:val="22"/>
          <w:rtl/>
        </w:rPr>
        <w:t xml:space="preserve"> אך ד</w:t>
      </w:r>
      <w:r w:rsidR="002A7CB8">
        <w:rPr>
          <w:rFonts w:hint="cs"/>
          <w:sz w:val="22"/>
          <w:szCs w:val="22"/>
          <w:rtl/>
        </w:rPr>
        <w:t xml:space="preserve">במ"ב </w:t>
      </w:r>
      <w:r w:rsidR="002A7CB8" w:rsidRPr="002A7CB8">
        <w:rPr>
          <w:rFonts w:hint="cs"/>
          <w:sz w:val="22"/>
          <w:szCs w:val="18"/>
          <w:rtl/>
        </w:rPr>
        <w:t>(תקלב</w:t>
      </w:r>
      <w:r w:rsidR="002A7CB8" w:rsidRPr="002A7CB8">
        <w:rPr>
          <w:sz w:val="22"/>
          <w:szCs w:val="18"/>
          <w:rtl/>
        </w:rPr>
        <w:t>)</w:t>
      </w:r>
      <w:r w:rsidR="002A7CB8">
        <w:rPr>
          <w:rFonts w:hint="cs"/>
          <w:sz w:val="22"/>
          <w:szCs w:val="22"/>
          <w:rtl/>
        </w:rPr>
        <w:t xml:space="preserve"> מוכח ד</w:t>
      </w:r>
      <w:r w:rsidRPr="00BB1776">
        <w:rPr>
          <w:rFonts w:hint="cs"/>
          <w:sz w:val="22"/>
          <w:szCs w:val="22"/>
          <w:rtl/>
        </w:rPr>
        <w:t xml:space="preserve">יש להתיר אף למיחוש, וכ"נ הפוסקים, וחלאקה אי"ז בכלל הגזירה </w:t>
      </w:r>
      <w:r w:rsidRPr="00BB1776">
        <w:rPr>
          <w:rFonts w:hint="cs"/>
          <w:sz w:val="22"/>
          <w:szCs w:val="18"/>
          <w:rtl/>
        </w:rPr>
        <w:t>(דבקטן לא גזרו</w:t>
      </w:r>
      <w:r w:rsidRPr="00BB1776">
        <w:rPr>
          <w:sz w:val="22"/>
          <w:szCs w:val="18"/>
          <w:rtl/>
        </w:rPr>
        <w:t>)</w:t>
      </w:r>
      <w:r w:rsidRPr="00BB1776">
        <w:rPr>
          <w:rFonts w:hint="cs"/>
          <w:sz w:val="22"/>
          <w:szCs w:val="22"/>
          <w:rtl/>
        </w:rPr>
        <w:t xml:space="preserve"> אך מ"מ אסור מצד מלאכה במועד לפי שאי"ז צורך המועד, אך יתכן דדמי לגילוח מומר שהותר לצורך המנהג שלא לצרפו לדבר שבקדושה עד שיגלח וה"נ בחלאקה יחשב צורך מצוה מצד שנהגו כן</w:t>
      </w:r>
      <w:r w:rsidR="002A7CB8">
        <w:rPr>
          <w:rFonts w:hint="cs"/>
          <w:sz w:val="22"/>
          <w:szCs w:val="22"/>
          <w:rtl/>
        </w:rPr>
        <w:t>, אך נראה דלמעשה אין להקל</w:t>
      </w:r>
      <w:r w:rsidRPr="00BB1776">
        <w:rPr>
          <w:rFonts w:hint="cs"/>
          <w:sz w:val="22"/>
          <w:szCs w:val="22"/>
          <w:rtl/>
        </w:rPr>
        <w:t xml:space="preserve">. </w:t>
      </w:r>
    </w:p>
    <w:p w14:paraId="396E4C1D" w14:textId="1C14DDA7" w:rsidR="00BB1776" w:rsidRDefault="00BB1776" w:rsidP="00624EEC">
      <w:pPr>
        <w:jc w:val="both"/>
        <w:rPr>
          <w:sz w:val="22"/>
          <w:szCs w:val="22"/>
          <w:rtl/>
        </w:rPr>
      </w:pPr>
      <w:r w:rsidRPr="00BB1776">
        <w:rPr>
          <w:rFonts w:hint="cs"/>
          <w:sz w:val="22"/>
          <w:szCs w:val="22"/>
          <w:rtl/>
        </w:rPr>
        <w:t xml:space="preserve">ד. לא התירו לגלח אפי' במקום אונס אא"כ מוכחא מילתא, וברש"י משמע דבעי' שיהיה מפורסם לכל שהוא אנוס, ולפי"ז צ"ל דנדר חשיב מפורסם כיון שמתפרסם לכל שנדר </w:t>
      </w:r>
      <w:r w:rsidRPr="00BB1776">
        <w:rPr>
          <w:rFonts w:hint="cs"/>
          <w:sz w:val="22"/>
          <w:szCs w:val="18"/>
          <w:rtl/>
        </w:rPr>
        <w:t>(מחמת שמבקש למצוא פתח, או מחמת שרואים אותו כמה ימים קודם הרגל שהוא מגודל ולא מגלח ומשיב להן דהוא מחמת הנדר)</w:t>
      </w:r>
      <w:r w:rsidRPr="00BB1776">
        <w:rPr>
          <w:rFonts w:hint="cs"/>
          <w:sz w:val="22"/>
          <w:szCs w:val="22"/>
          <w:rtl/>
        </w:rPr>
        <w:t xml:space="preserve">, אך במ"ב דייק מהריטב"א </w:t>
      </w:r>
      <w:r w:rsidRPr="00BB1776">
        <w:rPr>
          <w:rFonts w:hint="cs"/>
          <w:sz w:val="22"/>
          <w:szCs w:val="18"/>
          <w:rtl/>
        </w:rPr>
        <w:t>(וצ"ע מקורו</w:t>
      </w:r>
      <w:r w:rsidRPr="00BB1776">
        <w:rPr>
          <w:sz w:val="22"/>
          <w:szCs w:val="18"/>
          <w:rtl/>
        </w:rPr>
        <w:t>)</w:t>
      </w:r>
      <w:r w:rsidRPr="00BB1776">
        <w:rPr>
          <w:rFonts w:hint="cs"/>
          <w:sz w:val="22"/>
          <w:szCs w:val="22"/>
          <w:rtl/>
        </w:rPr>
        <w:t xml:space="preserve"> דא"צ שיתפרסם שהיה אנוס אלא בעי' שמפורסם לכל דכל כה"ג הוי אונס שא"י לגלח, וצ"ע לדבריו מה החילוק בין אבדה לו אבידה לאומן שאיבד, וכן למה אסרו בגילח קודם הרגל, וכן למה הצריכו למי שיש לו רק חלוק א' להיתר דאזורו מוכיח עליו, ומ"מ מבואר בביה"ל דמי שהיה לו מכה ונתרפא חשיב אונס דמוכח </w:t>
      </w:r>
      <w:r w:rsidRPr="00BB1776">
        <w:rPr>
          <w:rFonts w:hint="cs"/>
          <w:sz w:val="22"/>
          <w:szCs w:val="18"/>
          <w:rtl/>
        </w:rPr>
        <w:t>(ולא דמי לחולה שנתרפא</w:t>
      </w:r>
      <w:r w:rsidRPr="00BB1776">
        <w:rPr>
          <w:sz w:val="22"/>
          <w:szCs w:val="18"/>
          <w:rtl/>
        </w:rPr>
        <w:t>)</w:t>
      </w:r>
      <w:r w:rsidRPr="00BB1776">
        <w:rPr>
          <w:rFonts w:hint="cs"/>
          <w:sz w:val="22"/>
          <w:szCs w:val="22"/>
          <w:rtl/>
        </w:rPr>
        <w:t xml:space="preserve">, וצ"ל </w:t>
      </w:r>
      <w:r w:rsidR="002A7CB8">
        <w:rPr>
          <w:rFonts w:hint="cs"/>
          <w:sz w:val="22"/>
          <w:szCs w:val="22"/>
          <w:rtl/>
        </w:rPr>
        <w:t>דהמ"ב לשיטתו דסגי במה ש</w:t>
      </w:r>
      <w:r w:rsidRPr="00BB1776">
        <w:rPr>
          <w:rFonts w:hint="cs"/>
          <w:sz w:val="22"/>
          <w:szCs w:val="22"/>
          <w:rtl/>
        </w:rPr>
        <w:t>ידוע לכל דכשיש מכה א"א לגלח, ומשא"כ בחולה</w:t>
      </w:r>
      <w:r w:rsidR="002A7CB8">
        <w:rPr>
          <w:rFonts w:hint="cs"/>
          <w:sz w:val="22"/>
          <w:szCs w:val="22"/>
          <w:rtl/>
        </w:rPr>
        <w:t>, אך להצד דתלוי בפירסום שהיה אנוס צ"ע לחלק בין מכה לחולי</w:t>
      </w:r>
      <w:r w:rsidRPr="00BB1776">
        <w:rPr>
          <w:rFonts w:hint="cs"/>
          <w:sz w:val="22"/>
          <w:szCs w:val="22"/>
          <w:rtl/>
        </w:rPr>
        <w:t>.</w:t>
      </w:r>
    </w:p>
    <w:p w14:paraId="46B1F4FC" w14:textId="0AE690ED" w:rsidR="00624EEC" w:rsidRDefault="00624EEC" w:rsidP="00624EEC">
      <w:pPr>
        <w:jc w:val="both"/>
        <w:rPr>
          <w:sz w:val="22"/>
          <w:szCs w:val="22"/>
          <w:rtl/>
        </w:rPr>
      </w:pPr>
      <w:r>
        <w:rPr>
          <w:rFonts w:hint="cs"/>
          <w:sz w:val="22"/>
          <w:szCs w:val="22"/>
          <w:rtl/>
        </w:rPr>
        <w:t>ה. במג"א ובמ"ב משמע דבנדר יש להקל יותר דאפי' יכל לישאל קודם המועד לא חשיב פשיעה טפי ממנודה שיכול היה לפייס, אך בגר"א משמע דב' הדינים תלויים זב"ז.</w:t>
      </w:r>
    </w:p>
    <w:p w14:paraId="16CA3A3C" w14:textId="75857E12" w:rsidR="00DB4B77" w:rsidRDefault="00DB4B77" w:rsidP="00DB4B77">
      <w:pPr>
        <w:jc w:val="both"/>
        <w:rPr>
          <w:sz w:val="22"/>
          <w:szCs w:val="22"/>
          <w:rtl/>
        </w:rPr>
      </w:pPr>
      <w:r>
        <w:rPr>
          <w:rFonts w:hint="cs"/>
          <w:sz w:val="22"/>
          <w:szCs w:val="22"/>
          <w:rtl/>
        </w:rPr>
        <w:t>ו.</w:t>
      </w:r>
      <w:r w:rsidRPr="00DB4B77">
        <w:rPr>
          <w:rFonts w:hint="cs"/>
          <w:sz w:val="22"/>
          <w:szCs w:val="22"/>
          <w:rtl/>
        </w:rPr>
        <w:t xml:space="preserve"> </w:t>
      </w:r>
      <w:r>
        <w:rPr>
          <w:rFonts w:hint="cs"/>
          <w:sz w:val="22"/>
          <w:szCs w:val="22"/>
          <w:rtl/>
        </w:rPr>
        <w:t xml:space="preserve">בא ממדינת הים, במג"א דייק דכשהיה בישוב בתחילת ערב יו"ט אסור לגלח, ובאחרונים דייקו דהיינו אפי' כשלא היה יודע מעיקרא בתחילת היום שעתיד לצאת מהישוב, וצ"ע דמאחר שיכול להסתפר לכתחילה עד סוף היום יחשב כאונס ביום אחרון, וא"ל דלכתחילה צריך לגלח קודם חצות </w:t>
      </w:r>
      <w:r w:rsidRPr="00DB4B77">
        <w:rPr>
          <w:rFonts w:hint="cs"/>
          <w:sz w:val="22"/>
          <w:szCs w:val="18"/>
          <w:rtl/>
        </w:rPr>
        <w:t>(וכמש"כ בשעה"צ בשם הפמ"ג</w:t>
      </w:r>
      <w:r w:rsidRPr="00DB4B77">
        <w:rPr>
          <w:sz w:val="22"/>
          <w:szCs w:val="18"/>
          <w:rtl/>
        </w:rPr>
        <w:t>)</w:t>
      </w:r>
      <w:r>
        <w:rPr>
          <w:rFonts w:hint="cs"/>
          <w:sz w:val="22"/>
          <w:szCs w:val="22"/>
          <w:rtl/>
        </w:rPr>
        <w:t xml:space="preserve"> דהתם הוא מצד שאסור לגלח קודם מנחה, אך שפיר יכול לכתחילה להתפלל מנחה והדר לגלח, והיכי שיצא מתחילת עיו"ט חשיב אנוס אף שיכל לגלח קודם ערב הרגל, אך מסתבר דהיינו רק כשלא ידע מעיקרא שעתיד לצאת בערב הרגל, וביצא לטייל, י"א דלא חשיב אונס דהו"ל שלא לצאת, וי"א דהוא מצד דעשה איסור בהפלגה בים שהוא מקום סכנה, וי"א דדוקא מא"י לחו"ל דעבר איסור לצאת מא"י לחו"ל</w:t>
      </w:r>
      <w:r w:rsidR="002A7CB8">
        <w:rPr>
          <w:rFonts w:hint="cs"/>
          <w:sz w:val="22"/>
          <w:szCs w:val="22"/>
          <w:rtl/>
        </w:rPr>
        <w:t>, וכן מסקנת המ"ב דהמיקל יש לו על מי לסמוך</w:t>
      </w:r>
      <w:r>
        <w:rPr>
          <w:rFonts w:hint="cs"/>
          <w:sz w:val="22"/>
          <w:szCs w:val="22"/>
          <w:rtl/>
        </w:rPr>
        <w:t>.</w:t>
      </w:r>
    </w:p>
    <w:p w14:paraId="0651FBDE" w14:textId="355BD1A4" w:rsidR="00BB1776" w:rsidRPr="00BB1776" w:rsidRDefault="00BB1776" w:rsidP="00BB1776">
      <w:pPr>
        <w:jc w:val="both"/>
        <w:rPr>
          <w:sz w:val="22"/>
          <w:szCs w:val="22"/>
        </w:rPr>
      </w:pPr>
    </w:p>
    <w:sectPr w:rsidR="00BB1776" w:rsidRPr="00BB1776" w:rsidSect="00BB1776">
      <w:type w:val="continuous"/>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EA5C8E" w14:textId="77777777" w:rsidR="00C632DF" w:rsidRDefault="00C632DF" w:rsidP="009C4482">
      <w:pPr>
        <w:spacing w:after="0" w:line="240" w:lineRule="auto"/>
      </w:pPr>
      <w:r>
        <w:separator/>
      </w:r>
    </w:p>
  </w:endnote>
  <w:endnote w:type="continuationSeparator" w:id="0">
    <w:p w14:paraId="51100608" w14:textId="77777777" w:rsidR="00C632DF" w:rsidRDefault="00C632DF" w:rsidP="009C4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F5C073" w14:textId="77777777" w:rsidR="00C632DF" w:rsidRDefault="00C632DF" w:rsidP="009C4482">
      <w:pPr>
        <w:spacing w:after="0" w:line="240" w:lineRule="auto"/>
      </w:pPr>
      <w:r>
        <w:separator/>
      </w:r>
    </w:p>
  </w:footnote>
  <w:footnote w:type="continuationSeparator" w:id="0">
    <w:p w14:paraId="4028DCF7" w14:textId="77777777" w:rsidR="00C632DF" w:rsidRDefault="00C632DF" w:rsidP="009C4482">
      <w:pPr>
        <w:spacing w:after="0" w:line="240" w:lineRule="auto"/>
      </w:pPr>
      <w:r>
        <w:continuationSeparator/>
      </w:r>
    </w:p>
  </w:footnote>
  <w:footnote w:id="1">
    <w:p w14:paraId="15F15531" w14:textId="3F5AA4F8" w:rsidR="000668E5" w:rsidRPr="000668E5" w:rsidRDefault="000668E5" w:rsidP="00DB4B77">
      <w:pPr>
        <w:pStyle w:val="ae"/>
        <w:jc w:val="both"/>
        <w:rPr>
          <w:rtl/>
        </w:rPr>
      </w:pPr>
      <w:r>
        <w:rPr>
          <w:rStyle w:val="af0"/>
        </w:rPr>
        <w:footnoteRef/>
      </w:r>
      <w:r>
        <w:rPr>
          <w:rtl/>
        </w:rPr>
        <w:t xml:space="preserve"> </w:t>
      </w:r>
      <w:r>
        <w:rPr>
          <w:rFonts w:hint="cs"/>
          <w:rtl/>
        </w:rPr>
        <w:t xml:space="preserve">והיינו דוקא כשיש לו יפוי ותיקון הגוף </w:t>
      </w:r>
      <w:r w:rsidRPr="000668E5">
        <w:rPr>
          <w:rFonts w:hint="cs"/>
          <w:szCs w:val="14"/>
          <w:rtl/>
        </w:rPr>
        <w:t>(דאל"כ נאסר מצד מלאכת גוזז במועד</w:t>
      </w:r>
      <w:r w:rsidRPr="000668E5">
        <w:rPr>
          <w:szCs w:val="14"/>
          <w:rtl/>
        </w:rPr>
        <w:t>)</w:t>
      </w:r>
      <w:r>
        <w:rPr>
          <w:rFonts w:hint="cs"/>
          <w:rtl/>
        </w:rPr>
        <w:t xml:space="preserve">, וכ"ה בשעה"צ </w:t>
      </w:r>
      <w:r w:rsidRPr="000668E5">
        <w:rPr>
          <w:rFonts w:hint="cs"/>
          <w:szCs w:val="14"/>
          <w:rtl/>
        </w:rPr>
        <w:t>(טו</w:t>
      </w:r>
      <w:r w:rsidRPr="000668E5">
        <w:rPr>
          <w:szCs w:val="14"/>
          <w:rtl/>
        </w:rPr>
        <w:t>)</w:t>
      </w:r>
      <w:r>
        <w:rPr>
          <w:rFonts w:hint="cs"/>
          <w:rtl/>
        </w:rPr>
        <w:t xml:space="preserve"> לגבי גילוח השפה.</w:t>
      </w:r>
    </w:p>
  </w:footnote>
  <w:footnote w:id="2">
    <w:p w14:paraId="6173C59E" w14:textId="77777777" w:rsidR="004066D7" w:rsidRPr="004066D7" w:rsidRDefault="004066D7" w:rsidP="00DB4B77">
      <w:pPr>
        <w:pStyle w:val="ae"/>
        <w:jc w:val="both"/>
        <w:rPr>
          <w:rtl/>
        </w:rPr>
      </w:pPr>
      <w:r>
        <w:rPr>
          <w:rStyle w:val="af0"/>
        </w:rPr>
        <w:footnoteRef/>
      </w:r>
      <w:r>
        <w:rPr>
          <w:rtl/>
        </w:rPr>
        <w:t xml:space="preserve"> </w:t>
      </w:r>
      <w:r>
        <w:rPr>
          <w:rFonts w:hint="cs"/>
          <w:rtl/>
        </w:rPr>
        <w:t>ועי' להלן אי אונס דמכה חשיב אונס דמוכח.</w:t>
      </w:r>
    </w:p>
  </w:footnote>
  <w:footnote w:id="3">
    <w:p w14:paraId="244E0C00" w14:textId="28D0D8A8" w:rsidR="00FB493F" w:rsidRPr="00FB493F" w:rsidRDefault="00FB493F" w:rsidP="00DB4B77">
      <w:pPr>
        <w:pStyle w:val="ae"/>
        <w:jc w:val="both"/>
        <w:rPr>
          <w:rtl/>
        </w:rPr>
      </w:pPr>
      <w:r>
        <w:rPr>
          <w:rStyle w:val="af0"/>
        </w:rPr>
        <w:footnoteRef/>
      </w:r>
      <w:r>
        <w:rPr>
          <w:rtl/>
        </w:rPr>
        <w:t xml:space="preserve"> </w:t>
      </w:r>
      <w:r>
        <w:rPr>
          <w:rFonts w:hint="cs"/>
          <w:rtl/>
        </w:rPr>
        <w:t>אכן דהמג"א שהתיר גילוח לצורך הקזה רק מצד שהוא שער הגוף, משמע דבראשו אסור אף בכה"ג שאין מגלח רק סביבות המכה.</w:t>
      </w:r>
    </w:p>
  </w:footnote>
  <w:footnote w:id="4">
    <w:p w14:paraId="4C1D1E3F" w14:textId="0C646D64" w:rsidR="002A7CB8" w:rsidRDefault="002A7CB8" w:rsidP="002A7CB8">
      <w:pPr>
        <w:pStyle w:val="ae"/>
        <w:rPr>
          <w:rFonts w:hint="cs"/>
          <w:rtl/>
        </w:rPr>
      </w:pPr>
      <w:r>
        <w:rPr>
          <w:rStyle w:val="af0"/>
        </w:rPr>
        <w:footnoteRef/>
      </w:r>
      <w:r>
        <w:rPr>
          <w:rtl/>
        </w:rPr>
        <w:t xml:space="preserve"> </w:t>
      </w:r>
      <w:r w:rsidRPr="002A7CB8">
        <w:rPr>
          <w:rFonts w:hint="cs"/>
          <w:rtl/>
        </w:rPr>
        <w:t xml:space="preserve">וכ"נ הפוסקים לדינא להתיר אף לצורך מיחוש, וכ"ה באגרו"מ </w:t>
      </w:r>
      <w:r w:rsidRPr="002A7CB8">
        <w:rPr>
          <w:rFonts w:hint="cs"/>
          <w:szCs w:val="16"/>
          <w:rtl/>
        </w:rPr>
        <w:t>(או"ח, ג,עח</w:t>
      </w:r>
      <w:r w:rsidRPr="002A7CB8">
        <w:rPr>
          <w:szCs w:val="16"/>
          <w:rtl/>
        </w:rPr>
        <w:t>)</w:t>
      </w:r>
      <w:r w:rsidRPr="002A7CB8">
        <w:rPr>
          <w:rFonts w:hint="cs"/>
          <w:rtl/>
        </w:rPr>
        <w:t xml:space="preserve"> שבט הלוי </w:t>
      </w:r>
      <w:r w:rsidRPr="002A7CB8">
        <w:rPr>
          <w:rFonts w:hint="cs"/>
          <w:szCs w:val="16"/>
          <w:rtl/>
        </w:rPr>
        <w:t>(ח, קכה אות ג</w:t>
      </w:r>
      <w:r w:rsidRPr="002A7CB8">
        <w:rPr>
          <w:szCs w:val="16"/>
          <w:rtl/>
        </w:rPr>
        <w:t>)</w:t>
      </w:r>
      <w:r w:rsidRPr="002A7CB8">
        <w:rPr>
          <w:rFonts w:hint="cs"/>
          <w:rtl/>
        </w:rPr>
        <w:t xml:space="preserve"> וחו"ש </w:t>
      </w:r>
      <w:r w:rsidRPr="002A7CB8">
        <w:rPr>
          <w:rFonts w:hint="cs"/>
          <w:szCs w:val="16"/>
          <w:rtl/>
        </w:rPr>
        <w:t>(עמ' רכד</w:t>
      </w:r>
      <w:r w:rsidRPr="002A7CB8">
        <w:rPr>
          <w:szCs w:val="16"/>
          <w:rtl/>
        </w:rPr>
        <w:t>)</w:t>
      </w:r>
      <w:r w:rsidRPr="002A7CB8">
        <w:rPr>
          <w:rFonts w:hint="cs"/>
          <w:rtl/>
        </w:rPr>
        <w:t>.</w:t>
      </w:r>
    </w:p>
  </w:footnote>
  <w:footnote w:id="5">
    <w:p w14:paraId="588D7EA3" w14:textId="10EF309F" w:rsidR="005B1C53" w:rsidRPr="005B1C53" w:rsidRDefault="005B1C53" w:rsidP="00DB4B77">
      <w:pPr>
        <w:pStyle w:val="ae"/>
        <w:jc w:val="both"/>
        <w:rPr>
          <w:rtl/>
        </w:rPr>
      </w:pPr>
      <w:r>
        <w:rPr>
          <w:rStyle w:val="af0"/>
        </w:rPr>
        <w:footnoteRef/>
      </w:r>
      <w:r>
        <w:rPr>
          <w:rtl/>
        </w:rPr>
        <w:t xml:space="preserve"> </w:t>
      </w:r>
      <w:r>
        <w:rPr>
          <w:rFonts w:hint="cs"/>
          <w:rtl/>
        </w:rPr>
        <w:t xml:space="preserve">בב"י פי' דהוא משום דקטן לאו בר מצוות, ובפמ"ג </w:t>
      </w:r>
      <w:r w:rsidRPr="005B1C53">
        <w:rPr>
          <w:rFonts w:hint="cs"/>
          <w:szCs w:val="14"/>
          <w:rtl/>
        </w:rPr>
        <w:t>(הו"ד בשעה"צ יג</w:t>
      </w:r>
      <w:r w:rsidRPr="005B1C53">
        <w:rPr>
          <w:szCs w:val="14"/>
          <w:rtl/>
        </w:rPr>
        <w:t>)</w:t>
      </w:r>
      <w:r>
        <w:rPr>
          <w:rFonts w:hint="cs"/>
          <w:rtl/>
        </w:rPr>
        <w:t xml:space="preserve"> פי' דבקטן ל"ש קנס לבן בשביל האב שלא גילחו מקודם.</w:t>
      </w:r>
    </w:p>
  </w:footnote>
  <w:footnote w:id="6">
    <w:p w14:paraId="3488054B" w14:textId="0A4D4CAF" w:rsidR="004333F1" w:rsidRPr="004333F1" w:rsidRDefault="004333F1" w:rsidP="00DB4B77">
      <w:pPr>
        <w:pStyle w:val="ae"/>
        <w:jc w:val="both"/>
        <w:rPr>
          <w:rtl/>
        </w:rPr>
      </w:pPr>
      <w:r>
        <w:rPr>
          <w:rStyle w:val="af0"/>
        </w:rPr>
        <w:footnoteRef/>
      </w:r>
      <w:r>
        <w:rPr>
          <w:rtl/>
        </w:rPr>
        <w:t xml:space="preserve"> </w:t>
      </w:r>
      <w:r>
        <w:rPr>
          <w:rFonts w:hint="cs"/>
          <w:rtl/>
        </w:rPr>
        <w:t xml:space="preserve">וכתב שהעתיק כן מל' הריטב"א </w:t>
      </w:r>
      <w:r w:rsidRPr="004333F1">
        <w:rPr>
          <w:rFonts w:hint="cs"/>
          <w:szCs w:val="14"/>
          <w:rtl/>
        </w:rPr>
        <w:t>(הנ"ל</w:t>
      </w:r>
      <w:r w:rsidRPr="004333F1">
        <w:rPr>
          <w:szCs w:val="14"/>
          <w:rtl/>
        </w:rPr>
        <w:t>)</w:t>
      </w:r>
      <w:r>
        <w:rPr>
          <w:rFonts w:hint="cs"/>
          <w:rtl/>
        </w:rPr>
        <w:t>,</w:t>
      </w:r>
      <w:r>
        <w:rPr>
          <w:rFonts w:hint="cs"/>
          <w:kern w:val="0"/>
          <w:sz w:val="26"/>
          <w:szCs w:val="24"/>
          <w:rtl/>
          <w14:ligatures w14:val="none"/>
        </w:rPr>
        <w:t xml:space="preserve"> ו</w:t>
      </w:r>
      <w:r w:rsidRPr="004333F1">
        <w:rPr>
          <w:rtl/>
        </w:rPr>
        <w:t xml:space="preserve">צ"ע מהיכן דייק כן בל' הריטב"א, ואדרבה ממש"כ </w:t>
      </w:r>
      <w:r>
        <w:rPr>
          <w:rFonts w:hint="cs"/>
          <w:rtl/>
        </w:rPr>
        <w:t>'</w:t>
      </w:r>
      <w:r w:rsidRPr="004333F1">
        <w:rPr>
          <w:rtl/>
        </w:rPr>
        <w:t>דהתם קלא רב אית להו</w:t>
      </w:r>
      <w:r>
        <w:rPr>
          <w:rFonts w:hint="cs"/>
          <w:rtl/>
        </w:rPr>
        <w:t>'</w:t>
      </w:r>
      <w:r w:rsidRPr="004333F1">
        <w:rPr>
          <w:rtl/>
        </w:rPr>
        <w:t xml:space="preserve"> משמע דמצריך שיתפרסם לכל שהוא אנוס</w:t>
      </w:r>
      <w:r>
        <w:rPr>
          <w:rFonts w:hint="cs"/>
          <w:rtl/>
        </w:rPr>
        <w:t>.</w:t>
      </w:r>
    </w:p>
  </w:footnote>
  <w:footnote w:id="7">
    <w:p w14:paraId="656664D2" w14:textId="3961D15A" w:rsidR="006816E4" w:rsidRPr="006816E4" w:rsidRDefault="006816E4" w:rsidP="00DB4B77">
      <w:pPr>
        <w:pStyle w:val="ae"/>
        <w:jc w:val="both"/>
        <w:rPr>
          <w:rtl/>
        </w:rPr>
      </w:pPr>
      <w:r>
        <w:rPr>
          <w:rStyle w:val="af0"/>
        </w:rPr>
        <w:footnoteRef/>
      </w:r>
      <w:r>
        <w:rPr>
          <w:rtl/>
        </w:rPr>
        <w:t xml:space="preserve"> </w:t>
      </w:r>
      <w:r>
        <w:rPr>
          <w:rFonts w:hint="cs"/>
          <w:rtl/>
        </w:rPr>
        <w:t>ומשא"כ באבדה לו אבידה בערב הרגל דאי"ז מתפרסם כ"כ.</w:t>
      </w:r>
    </w:p>
  </w:footnote>
  <w:footnote w:id="8">
    <w:p w14:paraId="6A2A798B" w14:textId="77777777" w:rsidR="00142914" w:rsidRPr="00CB1964" w:rsidRDefault="00142914" w:rsidP="00DB4B77">
      <w:pPr>
        <w:pStyle w:val="ae"/>
        <w:jc w:val="both"/>
        <w:rPr>
          <w:rtl/>
        </w:rPr>
      </w:pPr>
      <w:r>
        <w:rPr>
          <w:rStyle w:val="af0"/>
        </w:rPr>
        <w:footnoteRef/>
      </w:r>
      <w:r>
        <w:rPr>
          <w:rtl/>
        </w:rPr>
        <w:t xml:space="preserve"> </w:t>
      </w:r>
      <w:r>
        <w:rPr>
          <w:rFonts w:hint="cs"/>
          <w:rtl/>
        </w:rPr>
        <w:t xml:space="preserve">וצ"ע עמש"כ בחו"ש לדייק בדעת החזו"א שא"צ לגלח קודם חצות מזה שהיה מסתפר בער"ש אחר חצות, ולהנ"ל ליכא ראיה שהרי ידוע שהחזו"א הקפיד להתפלל מנחה גדולה, ועי'. </w:t>
      </w:r>
    </w:p>
  </w:footnote>
  <w:footnote w:id="9">
    <w:p w14:paraId="7A85B89D" w14:textId="77777777" w:rsidR="00142914" w:rsidRPr="00CB1964" w:rsidRDefault="00142914" w:rsidP="00DB4B77">
      <w:pPr>
        <w:pStyle w:val="ae"/>
        <w:jc w:val="both"/>
        <w:rPr>
          <w:rtl/>
        </w:rPr>
      </w:pPr>
      <w:r>
        <w:rPr>
          <w:rStyle w:val="af0"/>
        </w:rPr>
        <w:footnoteRef/>
      </w:r>
      <w:r>
        <w:rPr>
          <w:rtl/>
        </w:rPr>
        <w:t xml:space="preserve"> </w:t>
      </w:r>
      <w:r>
        <w:rPr>
          <w:rFonts w:hint="cs"/>
          <w:rtl/>
        </w:rPr>
        <w:t>זולת לדעת האר"י שאסר ע"פ קבלה ואף בחול, אך דלא נהגו להקפיד בזה.</w:t>
      </w:r>
    </w:p>
  </w:footnote>
  <w:footnote w:id="10">
    <w:p w14:paraId="7708472F" w14:textId="77777777" w:rsidR="00142914" w:rsidRPr="009C4482" w:rsidRDefault="00142914" w:rsidP="00DB4B77">
      <w:pPr>
        <w:pStyle w:val="ae"/>
        <w:jc w:val="both"/>
        <w:rPr>
          <w:rtl/>
        </w:rPr>
      </w:pPr>
      <w:r>
        <w:rPr>
          <w:rStyle w:val="af0"/>
        </w:rPr>
        <w:footnoteRef/>
      </w:r>
      <w:r>
        <w:rPr>
          <w:rtl/>
        </w:rPr>
        <w:t xml:space="preserve"> </w:t>
      </w:r>
      <w:r>
        <w:rPr>
          <w:rFonts w:hint="cs"/>
          <w:rtl/>
        </w:rPr>
        <w:t>והא"ר ס"ל דאף בכה"ג קנסו, וצ"ע טעמו.</w:t>
      </w:r>
    </w:p>
  </w:footnote>
  <w:footnote w:id="11">
    <w:p w14:paraId="3AA1F52B" w14:textId="256F9ED5" w:rsidR="00850C50" w:rsidRPr="00DB4B77" w:rsidRDefault="00850C50" w:rsidP="00DB4B77">
      <w:pPr>
        <w:pStyle w:val="ae"/>
        <w:jc w:val="both"/>
        <w:rPr>
          <w:rtl/>
        </w:rPr>
      </w:pPr>
      <w:r>
        <w:rPr>
          <w:rStyle w:val="af0"/>
        </w:rPr>
        <w:footnoteRef/>
      </w:r>
      <w:r>
        <w:rPr>
          <w:rtl/>
        </w:rPr>
        <w:t xml:space="preserve"> </w:t>
      </w:r>
      <w:r>
        <w:rPr>
          <w:rFonts w:hint="cs"/>
          <w:rtl/>
        </w:rPr>
        <w:t xml:space="preserve">ועיי"ש בגר"א שלדעת הירושלמי ליכא איסור לצאת מא"י לחו"ל, אך שבבלי </w:t>
      </w:r>
      <w:r w:rsidR="00DB4B77" w:rsidRPr="00DB4B77">
        <w:rPr>
          <w:rFonts w:hint="cs"/>
          <w:szCs w:val="14"/>
          <w:rtl/>
        </w:rPr>
        <w:t>(בכתובות</w:t>
      </w:r>
      <w:r w:rsidR="00DB4B77" w:rsidRPr="00DB4B77">
        <w:rPr>
          <w:szCs w:val="14"/>
          <w:rtl/>
        </w:rPr>
        <w:t>)</w:t>
      </w:r>
      <w:r w:rsidR="00DB4B77">
        <w:rPr>
          <w:rFonts w:hint="cs"/>
          <w:rtl/>
        </w:rPr>
        <w:t xml:space="preserve"> איתא דאסור לצאת, עיי"ש, וע"ע במג"א ובמ"ב דביוצא לראות פני חברו מותר לצאת לחו"ל, אך בחו"ש פקפק בהיתר זה, עיי"ש.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22"/>
    <w:rsid w:val="0000626B"/>
    <w:rsid w:val="000668E5"/>
    <w:rsid w:val="000B5A30"/>
    <w:rsid w:val="00142914"/>
    <w:rsid w:val="00220F8A"/>
    <w:rsid w:val="00235A8B"/>
    <w:rsid w:val="002A7CB8"/>
    <w:rsid w:val="002B28FF"/>
    <w:rsid w:val="002D4163"/>
    <w:rsid w:val="002F2EE3"/>
    <w:rsid w:val="0031273B"/>
    <w:rsid w:val="004066D7"/>
    <w:rsid w:val="004333F1"/>
    <w:rsid w:val="00491649"/>
    <w:rsid w:val="004A3D89"/>
    <w:rsid w:val="004D1D1B"/>
    <w:rsid w:val="00575BB7"/>
    <w:rsid w:val="005B1631"/>
    <w:rsid w:val="005B1C53"/>
    <w:rsid w:val="00615DF4"/>
    <w:rsid w:val="00620A20"/>
    <w:rsid w:val="00624EEC"/>
    <w:rsid w:val="0063150E"/>
    <w:rsid w:val="00672BDA"/>
    <w:rsid w:val="006816E4"/>
    <w:rsid w:val="006A1B85"/>
    <w:rsid w:val="00770470"/>
    <w:rsid w:val="00784CFA"/>
    <w:rsid w:val="00850C50"/>
    <w:rsid w:val="00876D30"/>
    <w:rsid w:val="00926513"/>
    <w:rsid w:val="009C38E9"/>
    <w:rsid w:val="009C4482"/>
    <w:rsid w:val="009D437B"/>
    <w:rsid w:val="00A37ADF"/>
    <w:rsid w:val="00A91E76"/>
    <w:rsid w:val="00AD29D4"/>
    <w:rsid w:val="00B10DB7"/>
    <w:rsid w:val="00B33AD6"/>
    <w:rsid w:val="00BB1776"/>
    <w:rsid w:val="00BD142C"/>
    <w:rsid w:val="00C46E87"/>
    <w:rsid w:val="00C632DF"/>
    <w:rsid w:val="00C67F99"/>
    <w:rsid w:val="00C74196"/>
    <w:rsid w:val="00CB1964"/>
    <w:rsid w:val="00CC0255"/>
    <w:rsid w:val="00CE4018"/>
    <w:rsid w:val="00D04C0B"/>
    <w:rsid w:val="00D10D22"/>
    <w:rsid w:val="00D27376"/>
    <w:rsid w:val="00D63B3C"/>
    <w:rsid w:val="00D73299"/>
    <w:rsid w:val="00DB4B77"/>
    <w:rsid w:val="00DD6AB0"/>
    <w:rsid w:val="00E40987"/>
    <w:rsid w:val="00EB556E"/>
    <w:rsid w:val="00FA220E"/>
    <w:rsid w:val="00FB493F"/>
    <w:rsid w:val="00FE0D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1A61"/>
  <w15:chartTrackingRefBased/>
  <w15:docId w15:val="{7F0B9B9F-4CE8-4906-9341-53BBAC64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28FF"/>
    <w:pPr>
      <w:bidi/>
    </w:pPr>
    <w:rPr>
      <w:noProof/>
    </w:rPr>
  </w:style>
  <w:style w:type="paragraph" w:styleId="1">
    <w:name w:val="heading 1"/>
    <w:basedOn w:val="2"/>
    <w:next w:val="2"/>
    <w:link w:val="10"/>
    <w:autoRedefine/>
    <w:uiPriority w:val="9"/>
    <w:qFormat/>
    <w:rsid w:val="00620A20"/>
    <w:pPr>
      <w:spacing w:before="360" w:line="276" w:lineRule="auto"/>
      <w:jc w:val="both"/>
      <w:outlineLvl w:val="0"/>
    </w:pPr>
    <w:rPr>
      <w:rFonts w:ascii="Narkisim" w:hAnsi="Narkisim" w:cs="Narkisim"/>
      <w:b w:val="0"/>
      <w:bCs w:val="0"/>
      <w:kern w:val="0"/>
      <w:sz w:val="40"/>
      <w:szCs w:val="40"/>
      <w:u w:val="single"/>
      <w14:ligatures w14:val="none"/>
    </w:rPr>
  </w:style>
  <w:style w:type="paragraph" w:styleId="2">
    <w:name w:val="heading 2"/>
    <w:basedOn w:val="a"/>
    <w:next w:val="a"/>
    <w:link w:val="20"/>
    <w:uiPriority w:val="9"/>
    <w:unhideWhenUsed/>
    <w:qFormat/>
    <w:rsid w:val="00BB1776"/>
    <w:pPr>
      <w:keepNext/>
      <w:keepLines/>
      <w:spacing w:before="160" w:after="80"/>
      <w:outlineLvl w:val="1"/>
    </w:pPr>
    <w:rPr>
      <w:rFonts w:asciiTheme="minorBidi" w:eastAsiaTheme="majorEastAsia" w:hAnsiTheme="minorBidi"/>
      <w:b/>
      <w:bCs/>
      <w:sz w:val="28"/>
      <w:szCs w:val="28"/>
    </w:rPr>
  </w:style>
  <w:style w:type="paragraph" w:styleId="3">
    <w:name w:val="heading 3"/>
    <w:basedOn w:val="a"/>
    <w:next w:val="a"/>
    <w:link w:val="30"/>
    <w:uiPriority w:val="9"/>
    <w:unhideWhenUsed/>
    <w:qFormat/>
    <w:rsid w:val="00BB1776"/>
    <w:pPr>
      <w:keepNext/>
      <w:keepLines/>
      <w:spacing w:before="160" w:after="80"/>
      <w:outlineLvl w:val="2"/>
    </w:pPr>
    <w:rPr>
      <w:rFonts w:asciiTheme="minorBidi" w:eastAsiaTheme="majorEastAsia" w:hAnsiTheme="minorBidi"/>
      <w:b/>
      <w:bCs/>
      <w:sz w:val="22"/>
      <w:szCs w:val="22"/>
    </w:rPr>
  </w:style>
  <w:style w:type="paragraph" w:styleId="4">
    <w:name w:val="heading 4"/>
    <w:basedOn w:val="a"/>
    <w:next w:val="a"/>
    <w:link w:val="40"/>
    <w:uiPriority w:val="9"/>
    <w:semiHidden/>
    <w:unhideWhenUsed/>
    <w:qFormat/>
    <w:rsid w:val="00D10D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10D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0D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0D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0D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0D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1"/>
    <w:autoRedefine/>
    <w:uiPriority w:val="34"/>
    <w:qFormat/>
    <w:rsid w:val="00620A20"/>
    <w:pPr>
      <w:ind w:left="720"/>
      <w:contextualSpacing/>
      <w:jc w:val="center"/>
    </w:pPr>
    <w:rPr>
      <w:b/>
      <w:bCs/>
      <w:sz w:val="28"/>
      <w:szCs w:val="36"/>
    </w:rPr>
  </w:style>
  <w:style w:type="character" w:customStyle="1" w:styleId="10">
    <w:name w:val="כותרת 1 תו"/>
    <w:basedOn w:val="a0"/>
    <w:link w:val="1"/>
    <w:uiPriority w:val="9"/>
    <w:rsid w:val="00620A20"/>
    <w:rPr>
      <w:rFonts w:ascii="Narkisim" w:eastAsiaTheme="majorEastAsia" w:hAnsi="Narkisim" w:cs="Narkisim"/>
      <w:b/>
      <w:bCs/>
      <w:noProof/>
      <w:kern w:val="0"/>
      <w:sz w:val="40"/>
      <w:szCs w:val="40"/>
      <w:u w:val="single"/>
      <w14:ligatures w14:val="none"/>
    </w:rPr>
  </w:style>
  <w:style w:type="character" w:customStyle="1" w:styleId="20">
    <w:name w:val="כותרת 2 תו"/>
    <w:basedOn w:val="a0"/>
    <w:link w:val="2"/>
    <w:uiPriority w:val="9"/>
    <w:rsid w:val="00BB1776"/>
    <w:rPr>
      <w:rFonts w:asciiTheme="minorBidi" w:eastAsiaTheme="majorEastAsia" w:hAnsiTheme="minorBidi"/>
      <w:b/>
      <w:bCs/>
      <w:noProof/>
      <w:sz w:val="28"/>
      <w:szCs w:val="28"/>
    </w:rPr>
  </w:style>
  <w:style w:type="character" w:customStyle="1" w:styleId="30">
    <w:name w:val="כותרת 3 תו"/>
    <w:basedOn w:val="a0"/>
    <w:link w:val="3"/>
    <w:uiPriority w:val="9"/>
    <w:rsid w:val="00BB1776"/>
    <w:rPr>
      <w:rFonts w:asciiTheme="minorBidi" w:eastAsiaTheme="majorEastAsia" w:hAnsiTheme="minorBidi"/>
      <w:b/>
      <w:bCs/>
      <w:noProof/>
      <w:sz w:val="22"/>
      <w:szCs w:val="22"/>
    </w:rPr>
  </w:style>
  <w:style w:type="character" w:customStyle="1" w:styleId="40">
    <w:name w:val="כותרת 4 תו"/>
    <w:basedOn w:val="a0"/>
    <w:link w:val="4"/>
    <w:uiPriority w:val="9"/>
    <w:semiHidden/>
    <w:rsid w:val="00D10D22"/>
    <w:rPr>
      <w:rFonts w:eastAsiaTheme="majorEastAsia" w:cstheme="majorBidi"/>
      <w:i/>
      <w:iCs/>
      <w:noProof/>
      <w:color w:val="0F4761" w:themeColor="accent1" w:themeShade="BF"/>
    </w:rPr>
  </w:style>
  <w:style w:type="character" w:customStyle="1" w:styleId="50">
    <w:name w:val="כותרת 5 תו"/>
    <w:basedOn w:val="a0"/>
    <w:link w:val="5"/>
    <w:uiPriority w:val="9"/>
    <w:semiHidden/>
    <w:rsid w:val="00D10D22"/>
    <w:rPr>
      <w:rFonts w:eastAsiaTheme="majorEastAsia" w:cstheme="majorBidi"/>
      <w:noProof/>
      <w:color w:val="0F4761" w:themeColor="accent1" w:themeShade="BF"/>
    </w:rPr>
  </w:style>
  <w:style w:type="character" w:customStyle="1" w:styleId="60">
    <w:name w:val="כותרת 6 תו"/>
    <w:basedOn w:val="a0"/>
    <w:link w:val="6"/>
    <w:uiPriority w:val="9"/>
    <w:semiHidden/>
    <w:rsid w:val="00D10D22"/>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D10D22"/>
    <w:rPr>
      <w:rFonts w:eastAsiaTheme="majorEastAsia" w:cstheme="majorBidi"/>
      <w:noProof/>
      <w:color w:val="595959" w:themeColor="text1" w:themeTint="A6"/>
    </w:rPr>
  </w:style>
  <w:style w:type="character" w:customStyle="1" w:styleId="80">
    <w:name w:val="כותרת 8 תו"/>
    <w:basedOn w:val="a0"/>
    <w:link w:val="8"/>
    <w:uiPriority w:val="9"/>
    <w:semiHidden/>
    <w:rsid w:val="00D10D22"/>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D10D22"/>
    <w:rPr>
      <w:rFonts w:eastAsiaTheme="majorEastAsia" w:cstheme="majorBidi"/>
      <w:noProof/>
      <w:color w:val="272727" w:themeColor="text1" w:themeTint="D8"/>
    </w:rPr>
  </w:style>
  <w:style w:type="paragraph" w:styleId="a4">
    <w:name w:val="Title"/>
    <w:basedOn w:val="a"/>
    <w:next w:val="a"/>
    <w:link w:val="a5"/>
    <w:uiPriority w:val="10"/>
    <w:qFormat/>
    <w:rsid w:val="00D1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0"/>
    <w:link w:val="a4"/>
    <w:uiPriority w:val="10"/>
    <w:rsid w:val="00D10D22"/>
    <w:rPr>
      <w:rFonts w:asciiTheme="majorHAnsi" w:eastAsiaTheme="majorEastAsia" w:hAnsiTheme="majorHAnsi" w:cstheme="majorBidi"/>
      <w:noProof/>
      <w:spacing w:val="-10"/>
      <w:kern w:val="28"/>
      <w:sz w:val="56"/>
      <w:szCs w:val="56"/>
    </w:rPr>
  </w:style>
  <w:style w:type="paragraph" w:styleId="a6">
    <w:name w:val="Subtitle"/>
    <w:basedOn w:val="a"/>
    <w:next w:val="a"/>
    <w:link w:val="a7"/>
    <w:uiPriority w:val="11"/>
    <w:qFormat/>
    <w:rsid w:val="00D10D22"/>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0"/>
    <w:link w:val="a6"/>
    <w:uiPriority w:val="11"/>
    <w:rsid w:val="00D10D22"/>
    <w:rPr>
      <w:rFonts w:eastAsiaTheme="majorEastAsia" w:cstheme="majorBidi"/>
      <w:noProof/>
      <w:color w:val="595959" w:themeColor="text1" w:themeTint="A6"/>
      <w:spacing w:val="15"/>
      <w:sz w:val="28"/>
      <w:szCs w:val="28"/>
    </w:rPr>
  </w:style>
  <w:style w:type="paragraph" w:styleId="a8">
    <w:name w:val="Quote"/>
    <w:basedOn w:val="a"/>
    <w:next w:val="a"/>
    <w:link w:val="a9"/>
    <w:uiPriority w:val="29"/>
    <w:qFormat/>
    <w:rsid w:val="00D10D22"/>
    <w:pPr>
      <w:spacing w:before="160"/>
      <w:jc w:val="center"/>
    </w:pPr>
    <w:rPr>
      <w:i/>
      <w:iCs/>
      <w:color w:val="404040" w:themeColor="text1" w:themeTint="BF"/>
    </w:rPr>
  </w:style>
  <w:style w:type="character" w:customStyle="1" w:styleId="a9">
    <w:name w:val="ציטוט תו"/>
    <w:basedOn w:val="a0"/>
    <w:link w:val="a8"/>
    <w:uiPriority w:val="29"/>
    <w:rsid w:val="00D10D22"/>
    <w:rPr>
      <w:i/>
      <w:iCs/>
      <w:noProof/>
      <w:color w:val="404040" w:themeColor="text1" w:themeTint="BF"/>
    </w:rPr>
  </w:style>
  <w:style w:type="character" w:styleId="aa">
    <w:name w:val="Intense Emphasis"/>
    <w:basedOn w:val="a0"/>
    <w:uiPriority w:val="21"/>
    <w:qFormat/>
    <w:rsid w:val="00D10D22"/>
    <w:rPr>
      <w:i/>
      <w:iCs/>
      <w:color w:val="0F4761" w:themeColor="accent1" w:themeShade="BF"/>
    </w:rPr>
  </w:style>
  <w:style w:type="paragraph" w:styleId="ab">
    <w:name w:val="Intense Quote"/>
    <w:basedOn w:val="a"/>
    <w:next w:val="a"/>
    <w:link w:val="ac"/>
    <w:uiPriority w:val="30"/>
    <w:qFormat/>
    <w:rsid w:val="00D10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10D22"/>
    <w:rPr>
      <w:i/>
      <w:iCs/>
      <w:noProof/>
      <w:color w:val="0F4761" w:themeColor="accent1" w:themeShade="BF"/>
    </w:rPr>
  </w:style>
  <w:style w:type="character" w:styleId="ad">
    <w:name w:val="Intense Reference"/>
    <w:basedOn w:val="a0"/>
    <w:uiPriority w:val="32"/>
    <w:qFormat/>
    <w:rsid w:val="00D10D22"/>
    <w:rPr>
      <w:b/>
      <w:bCs/>
      <w:smallCaps/>
      <w:color w:val="0F4761" w:themeColor="accent1" w:themeShade="BF"/>
      <w:spacing w:val="5"/>
    </w:rPr>
  </w:style>
  <w:style w:type="paragraph" w:styleId="ae">
    <w:name w:val="footnote text"/>
    <w:basedOn w:val="a"/>
    <w:link w:val="af"/>
    <w:uiPriority w:val="99"/>
    <w:unhideWhenUsed/>
    <w:rsid w:val="009C4482"/>
    <w:pPr>
      <w:spacing w:after="0" w:line="240" w:lineRule="auto"/>
    </w:pPr>
    <w:rPr>
      <w:sz w:val="20"/>
      <w:szCs w:val="20"/>
    </w:rPr>
  </w:style>
  <w:style w:type="character" w:customStyle="1" w:styleId="af">
    <w:name w:val="טקסט הערת שוליים תו"/>
    <w:basedOn w:val="a0"/>
    <w:link w:val="ae"/>
    <w:uiPriority w:val="99"/>
    <w:rsid w:val="009C4482"/>
    <w:rPr>
      <w:noProof/>
      <w:sz w:val="20"/>
      <w:szCs w:val="20"/>
    </w:rPr>
  </w:style>
  <w:style w:type="character" w:styleId="af0">
    <w:name w:val="footnote reference"/>
    <w:basedOn w:val="a0"/>
    <w:uiPriority w:val="99"/>
    <w:semiHidden/>
    <w:unhideWhenUsed/>
    <w:rsid w:val="009C4482"/>
    <w:rPr>
      <w:vertAlign w:val="superscript"/>
    </w:rPr>
  </w:style>
  <w:style w:type="paragraph" w:styleId="af1">
    <w:name w:val="header"/>
    <w:basedOn w:val="a"/>
    <w:link w:val="af2"/>
    <w:uiPriority w:val="99"/>
    <w:unhideWhenUsed/>
    <w:rsid w:val="00B10DB7"/>
    <w:pPr>
      <w:tabs>
        <w:tab w:val="center" w:pos="4153"/>
        <w:tab w:val="right" w:pos="8306"/>
      </w:tabs>
      <w:spacing w:after="0" w:line="240" w:lineRule="auto"/>
    </w:pPr>
  </w:style>
  <w:style w:type="character" w:customStyle="1" w:styleId="af2">
    <w:name w:val="כותרת עליונה תו"/>
    <w:basedOn w:val="a0"/>
    <w:link w:val="af1"/>
    <w:uiPriority w:val="99"/>
    <w:rsid w:val="00B10DB7"/>
    <w:rPr>
      <w:noProof/>
    </w:rPr>
  </w:style>
  <w:style w:type="paragraph" w:styleId="af3">
    <w:name w:val="footer"/>
    <w:basedOn w:val="a"/>
    <w:link w:val="af4"/>
    <w:uiPriority w:val="99"/>
    <w:unhideWhenUsed/>
    <w:rsid w:val="00B10DB7"/>
    <w:pPr>
      <w:tabs>
        <w:tab w:val="center" w:pos="4153"/>
        <w:tab w:val="right" w:pos="8306"/>
      </w:tabs>
      <w:spacing w:after="0" w:line="240" w:lineRule="auto"/>
    </w:pPr>
  </w:style>
  <w:style w:type="character" w:customStyle="1" w:styleId="af4">
    <w:name w:val="כותרת תחתונה תו"/>
    <w:basedOn w:val="a0"/>
    <w:link w:val="af3"/>
    <w:uiPriority w:val="99"/>
    <w:rsid w:val="00B10DB7"/>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C4578-437C-41CB-9051-551C6EA23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4</Pages>
  <Words>2463</Words>
  <Characters>12316</Characters>
  <Application>Microsoft Office Word</Application>
  <DocSecurity>0</DocSecurity>
  <Lines>102</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משפחת גולדברג</dc:creator>
  <cp:keywords/>
  <dc:description/>
  <cp:lastModifiedBy>משפחת גולדברג</cp:lastModifiedBy>
  <cp:revision>12</cp:revision>
  <cp:lastPrinted>2024-11-06T16:37:00Z</cp:lastPrinted>
  <dcterms:created xsi:type="dcterms:W3CDTF">2024-11-04T16:00:00Z</dcterms:created>
  <dcterms:modified xsi:type="dcterms:W3CDTF">2024-11-06T16:52:00Z</dcterms:modified>
</cp:coreProperties>
</file>