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PiInput 版本测试报告模板</w:t>
      </w:r>
    </w:p>
    <w:p>
      <w:pPr>
        <w:jc w:val="center"/>
      </w:pPr>
      <w:r>
        <w:rPr>
          <w:rFonts w:eastAsia="Noto Sans CJK SC"/>
          <w:color w:val="5A5A5A"/>
          <w:sz w:val="21"/>
        </w:rPr>
        <w:t>Release Qualification Report Template · v1.0</w:t>
      </w:r>
    </w:p>
    <w:p>
      <w:pPr>
        <w:jc w:val="center"/>
      </w:pPr>
      <w:r>
        <w:rPr>
          <w:color w:val="787878"/>
          <w:sz w:val="18"/>
        </w:rPr>
        <w:t>PiInput QA · 2026-08</w:t>
      </w:r>
    </w:p>
    <w:p/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版本号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修改内容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修改日期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V1.0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新建文档，初版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  <w:t>2026.8.23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6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  <w:vAlign w:val="center"/>
          </w:tcPr>
          <w:p>
            <w:r/>
            <w:r>
              <w:rPr>
                <w:rFonts w:ascii="Noto Sans" w:hAnsi="Noto Sans" w:eastAsia="Noto Sans CJK SC"/>
                <w:b/>
                <w:sz w:val="19"/>
              </w:rPr>
              <w:t>使用方法：每个 RC/Final 复制一份，填写版本、构建环境、自动化报告链接和失败项。正式版发布结论必须由 Release Gate 直接推导，不能仅凭“主观感觉可用”。</w:t>
            </w:r>
          </w:p>
        </w:tc>
      </w:tr>
    </w:tbl>
    <w:p>
      <w:pPr>
        <w:pStyle w:val="Heading1"/>
      </w:pPr>
      <w:r>
        <w:t>1.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PiInput v____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构建号 / Commit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测试类型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Smoke / Nightly / RC / Final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测试日期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____-__-__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Windows 版本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CPU / 内存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DPI / 显示器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测试负责人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自动化报告路径/URL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2. 测试结论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结论项</w:t>
            </w:r>
          </w:p>
        </w:tc>
        <w:tc>
          <w:tcPr>
            <w:tcW w:type="dxa" w:w="51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总体结论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PASS / CONDITIONAL PASS / FAIL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P0 未关闭数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P1 未关闭数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P2 未关闭数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__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Release Gate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PASS / FAIL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是否允许发布</w:t>
            </w:r>
          </w:p>
        </w:tc>
        <w:tc>
          <w:tcPr>
            <w:tcW w:type="dxa" w:w="51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YES / NO</w:t>
            </w:r>
          </w:p>
        </w:tc>
      </w:tr>
    </w:tbl>
    <w:p>
      <w:pPr>
        <w:pStyle w:val="Heading1"/>
      </w:pPr>
      <w:r>
        <w:t>3. Release Gate 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255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微软基础要求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签名/TSF/flags/基础兼容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应用兼容矩阵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必测应用 100% PASS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输入完整性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Lost/Duplicate/Wrong/Unexpected=0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状态机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Stuck Composition/Candidate=0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压力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100k key + 10k focus + 10k switch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8h Soak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Crash/Hang=0，资源稳定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P95 达标或有正式豁免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回归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历史 P0/P1 100% PASS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 / FAIL</w:t>
            </w:r>
          </w:p>
        </w:tc>
        <w:tc>
          <w:tcPr>
            <w:tcW w:type="dxa" w:w="25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</w:tbl>
    <w:p>
      <w:pPr>
        <w:pStyle w:val="Heading1"/>
      </w:pPr>
      <w:r>
        <w:t>4. 兼容性结果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宿主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基础输入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焦点切换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IME 切换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候选 UI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Notepad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Notepad++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Word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Excel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Chrome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Edge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VS Code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ChatGPT Windows App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Windows Terminal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Windows App/WinUI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WPF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Qt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</w:tbl>
    <w:p>
      <w:pPr>
        <w:pStyle w:val="Heading1"/>
      </w:pPr>
      <w:r>
        <w:t>5. 自动化统计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Total Cases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PASS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-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FAIL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 个 P0/P1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Key Events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&gt;=100,000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Lost Key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Duplicate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Wrong/Unexpected Commit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Focus Switch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&gt;=10,000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IME Switch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&gt;=10,000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Soak Duration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__ h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&gt;=8 h</w:t>
            </w:r>
          </w:p>
        </w:tc>
      </w:tr>
    </w:tbl>
    <w:p>
      <w:pPr>
        <w:pStyle w:val="Heading1"/>
      </w:pPr>
      <w:r>
        <w:t>6. 性能结果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  <w:cantSplit/>
        </w:trPr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P50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P90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P95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P99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MAX</w:t>
            </w:r>
          </w:p>
        </w:tc>
        <w:tc>
          <w:tcPr>
            <w:tcW w:type="dxa" w:w="1457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Key -&gt; Composition</w:t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P95 &lt;16ms</w:t>
            </w:r>
          </w:p>
        </w:tc>
      </w:tr>
      <w:tr>
        <w:trPr>
          <w:cantSplit/>
        </w:trPr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Key -&gt; Candidate</w:t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P95 &lt;30ms</w:t>
            </w:r>
          </w:p>
        </w:tc>
      </w:tr>
      <w:tr>
        <w:trPr>
          <w:cantSplit/>
        </w:trPr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Commit</w:t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P95 &lt;20ms</w:t>
            </w:r>
          </w:p>
        </w:tc>
      </w:tr>
      <w:tr>
        <w:trPr>
          <w:cantSplit/>
        </w:trPr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候选翻页</w:t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P95 &lt;30ms</w:t>
            </w:r>
          </w:p>
        </w:tc>
      </w:tr>
      <w:tr>
        <w:trPr>
          <w:cantSplit/>
        </w:trPr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冷启动首候选</w:t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4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目标 &lt;150ms</w:t>
            </w:r>
          </w:p>
        </w:tc>
      </w:tr>
    </w:tbl>
    <w:p>
      <w:pPr>
        <w:pStyle w:val="Heading1"/>
      </w:pPr>
      <w:r>
        <w:t>7. 资源结果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04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开始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结束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峰值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Private Bytes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Working Set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Handle Count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GDI Objects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USER Objects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Thread Count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  <w:t>Idle CPU</w:t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  <w:tc>
          <w:tcPr>
            <w:tcW w:type="dxa" w:w="20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7"/>
              </w:rPr>
            </w:r>
          </w:p>
        </w:tc>
      </w:tr>
    </w:tbl>
    <w:p>
      <w:pPr>
        <w:pStyle w:val="Heading1"/>
      </w:pPr>
      <w:r>
        <w:t>8. 中文输入质量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语料/指标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PiInput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基线版本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微软拼音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搜狗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微信输入法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Top1 Accuracy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Top5 Recall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平均选词次数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  <w:t>长句一次上屏率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</w:tbl>
    <w:p>
      <w:pPr>
        <w:pStyle w:val="Heading1"/>
      </w:pPr>
      <w:r>
        <w:t>9. 未关闭问题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Bug ID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P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影响范围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Workaround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是否阻断发布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</w:tbl>
    <w:p>
      <w:pPr>
        <w:pStyle w:val="Heading1"/>
      </w:pPr>
      <w:r>
        <w:t>10. 失败用例摘要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Case ID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失败次数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Failure Class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复现率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日志/Dump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6"/>
              </w:rPr>
              <w:t>处理状态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6"/>
              </w:rPr>
            </w:r>
          </w:p>
        </w:tc>
      </w:tr>
    </w:tbl>
    <w:p>
      <w:pPr>
        <w:pStyle w:val="Heading1"/>
      </w:pPr>
      <w:r>
        <w:t>11. 发布签字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400"/>
            <w:vAlign w:val="center"/>
            <w:shd w:fill="1F4E79"/>
          </w:tcPr>
          <w:p>
            <w:r/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姓名/日期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开发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同意 / 不同意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测试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同意 / 不同意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Release Owner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  <w:t>同意 / 不同意</w:t>
            </w:r>
          </w:p>
        </w:tc>
        <w:tc>
          <w:tcPr>
            <w:tcW w:type="dxa" w:w="3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Noto Sans" w:hAnsi="Noto Sans" w:eastAsia="Noto Sans CJK SC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eastAsia="Noto Sans CJK SC"/>
        <w:color w:val="787878"/>
        <w:sz w:val="16"/>
      </w:rPr>
      <w:t>PiInput 版本测试报告模板 v1.0  |  PiInput QA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" w:hAnsi="Noto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4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