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PiInput 智能符号与中英文标点语义规则</w:t>
      </w:r>
    </w:p>
    <w:p>
      <w:pPr>
        <w:jc w:val="center"/>
      </w:pPr>
      <w:r>
        <w:rPr>
          <w:color w:val="5A5A5A"/>
          <w:sz w:val="21"/>
        </w:rPr>
        <w:t>Smart Punctuation &amp; Semantic Disambiguation Specification · v1.0</w:t>
      </w:r>
    </w:p>
    <w:p>
      <w:pPr>
        <w:jc w:val="center"/>
      </w:pPr>
      <w:r>
        <w:rPr>
          <w:color w:val="787878"/>
          <w:sz w:val="18"/>
        </w:rPr>
        <w:t>PiInput Design · 2026-08</w:t>
      </w:r>
    </w:p>
    <w:p/>
    <w:p>
      <w:pPr>
        <w:pStyle w:val="Heading1"/>
      </w:pPr>
      <w:r>
        <w:t>修改记录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版本号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修改内容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V1.0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新建文档，定义智能符号、中文/ASCII 标点语义与混合输入规则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2026.8.23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10" w:type="dxa"/>
              <w:start w:w="130" w:type="dxa"/>
              <w:bottom w:w="110" w:type="dxa"/>
              <w:end w:w="130" w:type="dxa"/>
            </w:tcMar>
            <w:shd w:fill="E2F0D9"/>
            <w:vAlign w:val="center"/>
          </w:tcPr>
          <w:p>
            <w:r/>
            <w:r>
              <w:rPr>
                <w:rFonts w:ascii="Noto Sans" w:hAnsi="Noto Sans" w:eastAsia="Noto Sans CJK SC"/>
                <w:b/>
                <w:sz w:val="19"/>
              </w:rPr>
              <w:t>核心原则：智能中文标点不能以牺牲 ASCII 符号的正常语义为代价。相同按键应根据局部上下文选择中文或 ASCII 形式，并确保用户能在同一句话中自然混用两套符号。</w:t>
            </w:r>
          </w:p>
        </w:tc>
      </w:tr>
    </w:tbl>
    <w:p>
      <w:pPr>
        <w:pStyle w:val="Heading1"/>
      </w:pPr>
      <w:r>
        <w:t>1. 文档目的</w:t>
      </w:r>
    </w:p>
    <w:p>
      <w:pPr>
        <w:pStyle w:val="ListBullet"/>
      </w:pPr>
      <w:r>
        <w:t>定义 PiInput 中文模式下常用符号的语义规则，解决“中文模式一律转中文标点”导致的序号、时间、分数、版本号、路径、技术表达式等输入问题。</w:t>
      </w:r>
    </w:p>
    <w:p>
      <w:pPr>
        <w:pStyle w:val="ListBullet"/>
      </w:pPr>
      <w:r>
        <w:t>明确哪些场景可以自动消歧，哪些场景存在天然歧义，避免为了“智能”而错误替换用户真正想输入的符号。</w:t>
      </w:r>
    </w:p>
    <w:p>
      <w:pPr>
        <w:pStyle w:val="ListBullet"/>
      </w:pPr>
      <w:r>
        <w:t>为后续 SmartPunctuation 模块实现、自动化测试和版本回归提供统一规范。</w:t>
      </w:r>
    </w:p>
    <w:p>
      <w:pPr>
        <w:pStyle w:val="Heading1"/>
      </w:pPr>
      <w:r>
        <w:t>2. 设计目标与边界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871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82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语义优先</w:t>
            </w:r>
          </w:p>
        </w:tc>
        <w:tc>
          <w:tcPr>
            <w:tcW w:type="dxa" w:w="7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符号是否中文化由当前文本语义决定，而不是仅由“中文输入模式”决定。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保留本义</w:t>
            </w:r>
          </w:p>
        </w:tc>
        <w:tc>
          <w:tcPr>
            <w:tcW w:type="dxa" w:w="7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. / : , - % 等 ASCII 符号在中文句子中仍有正常用途，不能被无条件替换。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局部判断</w:t>
            </w:r>
          </w:p>
        </w:tc>
        <w:tc>
          <w:tcPr>
            <w:tcW w:type="dxa" w:w="7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优先基于符号左右 token、当前 composition、段落位置、已识别上下文做判断。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不破坏输入</w:t>
            </w:r>
          </w:p>
        </w:tc>
        <w:tc>
          <w:tcPr>
            <w:tcW w:type="dxa" w:w="7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无法可靠判断时应选择低风险行为；不得吞键、改写已经确认的远端文本或让用户无法得到原始符号。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同句混输</w:t>
            </w:r>
          </w:p>
        </w:tc>
        <w:tc>
          <w:tcPr>
            <w:tcW w:type="dxa" w:w="7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一整句中允许中文标点和 ASCII 标点自由切换，不要求用户频繁切换中英文输入法。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显式意图优先</w:t>
            </w:r>
          </w:p>
        </w:tc>
        <w:tc>
          <w:tcPr>
            <w:tcW w:type="dxa" w:w="7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当用户明确输入或修正某个符号后，PiInput 不应再次“纠正”回另一种形式。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10" w:type="dxa"/>
              <w:start w:w="130" w:type="dxa"/>
              <w:bottom w:w="110" w:type="dxa"/>
              <w:end w:w="130" w:type="dxa"/>
            </w:tcMar>
            <w:shd w:fill="FFF2CC"/>
            <w:vAlign w:val="center"/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重要边界：有些符号在相同上下文中存在两个都正确的含义，例如“白色/黑色”和“白色、黑色”。仅靠左右字符无法 100% 判断用户意图。此类场景不能用激进的自动替换规则封死其中一种输入。</w:t>
            </w:r>
          </w:p>
        </w:tc>
      </w:tr>
    </w:tbl>
    <w:p>
      <w:pPr>
        <w:pStyle w:val="Heading1"/>
      </w:pPr>
      <w:r>
        <w:t>3. 典型目标效果</w:t>
      </w:r>
    </w:p>
    <w:p>
      <w:pPr>
        <w:pStyle w:val="CodeSmall"/>
      </w:pPr>
      <w:r>
        <w:t>1.明天干嘛。</w:t>
        <w:br/>
        <w:t>这个是2/3，那么我们选白色/黑色，白色、黑色。</w:t>
        <w:br/>
        <w:t>会议时间：12:23，版本是v1.2.3。</w:t>
        <w:br/>
        <w:t>价格是1,299.50元，折扣为80%。</w:t>
        <w:br/>
        <w:t>服务器是192.168.1.1，端口是8080。</w:t>
        <w:br/>
        <w:t>BIT[31:16]表示高16bit，BIT[15:0]表示低16bit。</w:t>
        <w:br/>
        <w:t>支持Windows/Linux/macOS，选择是/否即可。</w:t>
      </w:r>
    </w:p>
    <w:p>
      <w:pPr>
        <w:pStyle w:val="ListBullet"/>
      </w:pPr>
      <w:r>
        <w:t>上述文本应在 PiInput 中文模式下自然连续输入完成。</w:t>
      </w:r>
    </w:p>
    <w:p>
      <w:pPr>
        <w:pStyle w:val="ListBullet"/>
      </w:pPr>
      <w:r>
        <w:t>. 在“1.”、“1,299.50”、“v1.2.3”、“192.168.1.1”中保持 ASCII；句尾仍输出“。”。</w:t>
      </w:r>
    </w:p>
    <w:p>
      <w:pPr>
        <w:pStyle w:val="ListBullet"/>
      </w:pPr>
      <w:r>
        <w:t>/ 在“2/3”、“白色/黑色”、“Windows/Linux/macOS”、“是/否”中保持本义；中文列举仍可使用“、”。</w:t>
      </w:r>
    </w:p>
    <w:p>
      <w:pPr>
        <w:pStyle w:val="ListBullet"/>
      </w:pPr>
      <w:r>
        <w:t>: 在“12:23”、“BIT[31:16]”中保持 ASCII；“会议时间：”使用中文冒号。</w:t>
      </w:r>
    </w:p>
    <w:p>
      <w:pPr>
        <w:pStyle w:val="Heading1"/>
      </w:pPr>
      <w:r>
        <w:t>4. 上下文模型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Context</w:t>
            </w:r>
          </w:p>
        </w:tc>
        <w:tc>
          <w:tcPr>
            <w:tcW w:type="dxa" w:w="3969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典型内容</w:t>
            </w:r>
          </w:p>
        </w:tc>
        <w:tc>
          <w:tcPr>
            <w:tcW w:type="dxa" w:w="408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默认符号策略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Chinese Text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中文句子、描述、段落正文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优先中文标点：，。！？：；（）“”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Numeric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3.14、12:23、2/3、1,000、2026-08-23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保留 ASCII 数值符号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ASCII Token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hello.world、v1.2.3、README.md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ASCII 标点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Technical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BIT[31:16]、0xFFFF、GT/s、key:value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ASCII 标点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URL / Email / Path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https://、abc@example.com、C:/Windows、/usr/bin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整个局部 token 优先 ASCII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Sequence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1. 第一项、1) 第一项、(1) 第一项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保持用户选择的序号格式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Ambiguous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白色/黑色 vs 白色、黑色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不得仅凭中文字符强制替换；保留两种表达能力</w:t>
            </w:r>
          </w:p>
        </w:tc>
      </w:tr>
    </w:tbl>
    <w:p>
      <w:pPr>
        <w:pStyle w:val="CodeSmall"/>
      </w:pPr>
      <w:r>
        <w:t>Key Event -&gt; Token/Context Analysis -&gt; Semantic Rule -&gt; Output</w:t>
        <w:br/>
        <w:t xml:space="preserve">                                 |</w:t>
        <w:br/>
        <w:t xml:space="preserve">                                 +-&gt; ASCII literal</w:t>
        <w:br/>
        <w:t xml:space="preserve">                                 +-&gt; Chinese punctuation</w:t>
        <w:br/>
        <w:t xml:space="preserve">                                 +-&gt; Ambiguous: conservative / preserve user intent</w:t>
      </w:r>
    </w:p>
    <w:p>
      <w:pPr>
        <w:pStyle w:val="Heading1"/>
      </w:pPr>
      <w:r>
        <w:t>5. “.” 与“。”规则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1757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期望</w:t>
            </w:r>
          </w:p>
        </w:tc>
        <w:tc>
          <w:tcPr>
            <w:tcW w:type="dxa" w:w="504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1.明天干嘛。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1. / 。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行首数字序号保持点号；中文句尾使用句号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3.14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.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小数点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v1.2.3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.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版本号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192.168.1.1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.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IPv4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README.md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.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文件扩展名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github.com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.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域名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今天天气很好.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。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中文正文句尾可智能中文化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PCIe 6.0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.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技术版本/规格数字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10" w:type="dxa"/>
              <w:start w:w="130" w:type="dxa"/>
              <w:bottom w:w="110" w:type="dxa"/>
              <w:end w:w="130" w:type="dxa"/>
            </w:tcMar>
            <w:shd w:fill="FCE4D6"/>
            <w:vAlign w:val="center"/>
          </w:tcPr>
          <w:p>
            <w:r/>
            <w:r>
              <w:rPr>
                <w:rFonts w:ascii="Noto Sans" w:hAnsi="Noto Sans" w:eastAsia="Noto Sans CJK SC"/>
                <w:b/>
                <w:sz w:val="19"/>
              </w:rPr>
              <w:t>不能实现成“中文模式下按 . 永远输出 。”。序号、小数、版本、IP、域名、文件名等都是高频正常用法。</w:t>
            </w:r>
          </w:p>
        </w:tc>
      </w:tr>
    </w:tbl>
    <w:p>
      <w:pPr>
        <w:pStyle w:val="Heading1"/>
      </w:pPr>
      <w:r>
        <w:t>6. “/” 与“、”规则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28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1417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期望</w:t>
            </w:r>
          </w:p>
        </w:tc>
        <w:tc>
          <w:tcPr>
            <w:tcW w:type="dxa" w:w="504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2/3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/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分数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Windows/Linux/macOS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/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并列平台/任选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读/写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/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二元并列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开/关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/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状态选项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是/否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/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二选一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白色/黑色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/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选项或并列关系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白色、黑色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、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中文列举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苹果、香蕉、橘子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、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中文多个项目列举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10" w:type="dxa"/>
              <w:start w:w="130" w:type="dxa"/>
              <w:bottom w:w="110" w:type="dxa"/>
              <w:end w:w="130" w:type="dxa"/>
            </w:tcMar>
            <w:shd w:fill="FFF2CC"/>
            <w:vAlign w:val="center"/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“中文字符 + / + 中文字符”不能直接判定为顿号，因为“读/写”“开/关”“白色/黑色”都是正常表达。/ 与 、 必须都保留正常输入能力。</w:t>
            </w:r>
          </w:p>
        </w:tc>
      </w:tr>
    </w:tbl>
    <w:p>
      <w:pPr>
        <w:pStyle w:val="Heading1"/>
      </w:pPr>
      <w:r>
        <w:t>7. “:” 与“：”规则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11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551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期望</w:t>
            </w:r>
          </w:p>
        </w:tc>
        <w:tc>
          <w:tcPr>
            <w:tcW w:type="dxa" w:w="408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12:23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: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时间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12:23:45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: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时间带秒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16:9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: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比例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BIT[31:16]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: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位域范围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http://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: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URL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key:value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: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技术/配置表达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会议时间:12:23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会议时间：12:23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中文提示冒号 + ASCII 时间冒号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注意: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注意：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中文说明/引出正文</w:t>
            </w:r>
          </w:p>
        </w:tc>
      </w:tr>
    </w:tbl>
    <w:p>
      <w:pPr>
        <w:pStyle w:val="Heading1"/>
      </w:pPr>
      <w:r>
        <w:t>8. “,” 与“，”规则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94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期望</w:t>
            </w:r>
          </w:p>
        </w:tc>
        <w:tc>
          <w:tcPr>
            <w:tcW w:type="dxa" w:w="3855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1,000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,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千位分隔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1,299.50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, / .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金额/数字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a,b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,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ASCII/代码/CSV token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你好,明天见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你好，明天见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中文正文逗号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价格是1,299元,今天便宜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价格是1,299元，今天便宜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同一句中混合 ASCII 千位符与中文逗号</w:t>
            </w:r>
          </w:p>
        </w:tc>
      </w:tr>
    </w:tbl>
    <w:p>
      <w:pPr>
        <w:pStyle w:val="Heading1"/>
      </w:pPr>
      <w:r>
        <w:t>9. “-” 与中文横线/破折号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35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26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期望</w:t>
            </w:r>
          </w:p>
        </w:tc>
        <w:tc>
          <w:tcPr>
            <w:tcW w:type="dxa" w:w="4649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2026-08-23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-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日期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PiInput-v0.8.0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-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版本/名称连接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-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范围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-20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-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负数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A-B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-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技术/符号表达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--help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--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命令行参数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这是说明--很重要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默认不要强改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是否转“——”存在语义与代码歧义，建议作为增强能力而非 P0 自动替换</w:t>
            </w:r>
          </w:p>
        </w:tc>
      </w:tr>
    </w:tbl>
    <w:p>
      <w:pPr>
        <w:pStyle w:val="Heading1"/>
      </w:pPr>
      <w:r>
        <w:t>10. “%”、单位与工程表达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4819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819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期望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80%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80%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99.5%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99.5%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64GB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64GB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5GHz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5GHz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10ms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10ms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32GT/s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32GT/s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100MB/s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100MB/s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10km/h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10km/h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10" w:type="dxa"/>
              <w:start w:w="130" w:type="dxa"/>
              <w:bottom w:w="110" w:type="dxa"/>
              <w:end w:w="130" w:type="dxa"/>
            </w:tcMar>
            <w:shd w:fill="EAF3F8"/>
            <w:vAlign w:val="center"/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数字后的 %、单位内部的 / 等应保留 ASCII 形式。不要因为当前处于中文输入模式而转成全角字符。</w:t>
            </w:r>
          </w:p>
        </w:tc>
      </w:tr>
    </w:tbl>
    <w:p>
      <w:pPr>
        <w:pStyle w:val="Heading1"/>
      </w:pPr>
      <w:r>
        <w:t>11. URL、Email、路径与文件名保护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649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28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保护字符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URL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https://example.com?a=1&amp;b=2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: / . ? = &amp; # % _ -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Email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abc.test+dev@example.com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@ . _ - +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Windows Path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C:/Windows/System32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: / . _ -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POSIX Path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/usr/local/bin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/ . _ -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文件名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PiInput-v0.8.0.zip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. - _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代码文件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main.cpp / test.c / README.md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. / _ -</w:t>
            </w:r>
          </w:p>
        </w:tc>
      </w:tr>
    </w:tbl>
    <w:p>
      <w:pPr>
        <w:pStyle w:val="ListBullet"/>
      </w:pPr>
      <w:r>
        <w:t>一旦可靠识别 URL/Email/Path/ASCII token，应进入局部 ASCII punctuation context。</w:t>
      </w:r>
    </w:p>
    <w:p>
      <w:pPr>
        <w:pStyle w:val="ListBullet"/>
      </w:pPr>
      <w:r>
        <w:t>退出 token 后立即恢复普通中文语义判断，不能导致后续整段中文都变成半角标点。</w:t>
      </w:r>
    </w:p>
    <w:p>
      <w:pPr>
        <w:pStyle w:val="Heading1"/>
      </w:pPr>
      <w:r>
        <w:t>12. 括号、引号、问号、感叹号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60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中文正文</w:t>
            </w:r>
          </w:p>
        </w:tc>
        <w:tc>
          <w:tcPr>
            <w:tcW w:type="dxa" w:w="2891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ASCII/技术上下文</w:t>
            </w:r>
          </w:p>
        </w:tc>
        <w:tc>
          <w:tcPr>
            <w:tcW w:type="dxa" w:w="2551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括号</w:t>
            </w:r>
          </w:p>
        </w:tc>
        <w:tc>
          <w:tcPr>
            <w:tcW w:type="dxa" w:w="2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（说明）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func(a)、array[3]、{x}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根据 context 决定；不要破坏代码/索引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引号</w:t>
            </w:r>
          </w:p>
        </w:tc>
        <w:tc>
          <w:tcPr>
            <w:tcW w:type="dxa" w:w="2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“你好”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"hello"、'x'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中文正文可用中文引号；代码/ASCII 保留半角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问号</w:t>
            </w:r>
          </w:p>
        </w:tc>
        <w:tc>
          <w:tcPr>
            <w:tcW w:type="dxa" w:w="2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你去吗？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URL ?a=1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中文正文中文化；URL/代码保护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感叹号</w:t>
            </w:r>
          </w:p>
        </w:tc>
        <w:tc>
          <w:tcPr>
            <w:tcW w:type="dxa" w:w="2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很好！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!flag / shell/code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中文正文中文化；技术 token 保留</w:t>
            </w:r>
          </w:p>
        </w:tc>
      </w:tr>
    </w:tbl>
    <w:p>
      <w:pPr>
        <w:pStyle w:val="Heading1"/>
      </w:pPr>
      <w:r>
        <w:t>13. 序号规则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序号形式</w:t>
            </w:r>
          </w:p>
        </w:tc>
        <w:tc>
          <w:tcPr>
            <w:tcW w:type="dxa" w:w="2835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4649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阿拉伯数字 + 点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1. 第一项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必须保留 .，不能变为 1。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阿拉伯数字 + 顿号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1、第一项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中文序号合法，必须可正常输入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右括号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1) 第一项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保持 ASCII 序号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双括号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(1) 第一项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保持用户格式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中文括号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（1）第一项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保持用户格式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中文数字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一、第一项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保持中文序号</w:t>
            </w:r>
          </w:p>
        </w:tc>
      </w:tr>
    </w:tbl>
    <w:p>
      <w:pPr>
        <w:pStyle w:val="ListBullet"/>
      </w:pPr>
      <w:r>
        <w:t>重点不是创造“特殊序号输入方式”，而是不能因为中文标点转换让 1. 失去本来的序号意义。</w:t>
      </w:r>
    </w:p>
    <w:p>
      <w:pPr>
        <w:pStyle w:val="ListBullet"/>
      </w:pPr>
      <w:r>
        <w:t>用户明确采用 1.、1、、（1） 等任一格式后，应尊重原样，不擅自统一格式。</w:t>
      </w:r>
    </w:p>
    <w:p>
      <w:pPr>
        <w:pStyle w:val="Heading1"/>
      </w:pPr>
      <w:r>
        <w:t>14. 天然歧义与保守策略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10" w:type="dxa"/>
              <w:start w:w="130" w:type="dxa"/>
              <w:bottom w:w="110" w:type="dxa"/>
              <w:end w:w="130" w:type="dxa"/>
            </w:tcMar>
            <w:shd w:fill="E2F0D9"/>
            <w:vAlign w:val="center"/>
          </w:tcPr>
          <w:p>
            <w:r/>
            <w:r>
              <w:rPr>
                <w:rFonts w:ascii="Noto Sans" w:hAnsi="Noto Sans" w:eastAsia="Noto Sans CJK SC"/>
                <w:b/>
                <w:sz w:val="19"/>
              </w:rPr>
              <w:t>Smart Punctuation 不能假设所有符号都能由上下文唯一推断。对无法确定用户意图的场景，宁可少自动转换，也不要把原始符号能力消灭。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005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歧义示例</w:t>
            </w:r>
          </w:p>
        </w:tc>
        <w:tc>
          <w:tcPr>
            <w:tcW w:type="dxa" w:w="4025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为什么无法仅靠局部上下文判断</w:t>
            </w:r>
          </w:p>
        </w:tc>
        <w:tc>
          <w:tcPr>
            <w:tcW w:type="dxa" w:w="2721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策略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白色/黑色 vs 白色、黑色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两者左右都是中文词，且两个表达都语法正确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保留两种直接表达能力；不要写“中文/中文 =&gt; 、”之类绝对规则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A-B vs A—B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可能是范围/名称/减法，也可能是破折号语义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ASCII/技术场景保护；中文破折号作为明确中文行为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(1) vs （1）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技术文档和中文正式文档都合理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尊重用户格式/模式，不强制统一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"文本" vs “文本”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英文引用、代码字符串、中文引用均合理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依据 context；用户修正后不二次改写</w:t>
            </w:r>
          </w:p>
        </w:tc>
      </w:tr>
    </w:tbl>
    <w:p>
      <w:pPr>
        <w:pStyle w:val="Heading1"/>
      </w:pPr>
      <w:r>
        <w:t>15. 推荐判定顺序</w:t>
      </w:r>
    </w:p>
    <w:p>
      <w:pPr>
        <w:pStyle w:val="CodeSmall"/>
      </w:pPr>
      <w:r>
        <w:t>1. 是否处于 URL / Email / Path / Code / Technical token？ -&gt; ASCII</w:t>
        <w:br/>
        <w:t>2. 是否命中确定性 Numeric 规则？                         -&gt; ASCII</w:t>
        <w:br/>
        <w:t>3. 是否命中 Sequence 规则？                              -&gt; 保留序号格式</w:t>
        <w:br/>
        <w:t>4. 是否处于普通中文正文且规则明确？                       -&gt; 中文标点</w:t>
        <w:br/>
        <w:t>5. 是否存在多种都合理的语义？                             -&gt; 保守处理，不做激进替换</w:t>
        <w:br/>
        <w:t>6. 用户是否刚刚显式修正符号？                             -&gt; 尊重用户意图，避免再次自动改回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10" w:type="dxa"/>
              <w:start w:w="130" w:type="dxa"/>
              <w:bottom w:w="110" w:type="dxa"/>
              <w:end w:w="130" w:type="dxa"/>
            </w:tcMar>
            <w:shd w:fill="EAF3F8"/>
            <w:vAlign w:val="center"/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实现时不要把规则散落成大量互相覆盖的 if/else。建议先做 context/token 分类，再执行符号规则，并为每次决策输出可调试 reason code。</w:t>
            </w:r>
          </w:p>
        </w:tc>
      </w:tr>
    </w:tbl>
    <w:p>
      <w:pPr>
        <w:pStyle w:val="Heading1"/>
      </w:pPr>
      <w:r>
        <w:t>16. 建议的规则优先级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13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4649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P0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数字小数/时间/分数/千位/百分比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最常用、误转换感知极强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P0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序号 1.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中文文档高频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P0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中文正文 ，。！？：；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基础中文体验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P0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URL / Email / Path / 文件名保护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误转换会直接破坏内容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P0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版本号 / IP / 技术表达式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开发与办公高频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P0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/ 保留正常语义，同时不影响 、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用户明确要求的核心规则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P1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括号/引号 context 化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体验增强，歧义较多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P1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省略号、破折号智能转换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不能影响 ...、../、--help 等正常用途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P2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自动续接序号/高级符号候选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属于效率增强，不应阻塞核心符号正确性</w:t>
            </w:r>
          </w:p>
        </w:tc>
      </w:tr>
    </w:tbl>
    <w:p>
      <w:pPr>
        <w:pStyle w:val="Heading1"/>
      </w:pPr>
      <w:r>
        <w:t>17. P0 混合语义测试用例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47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510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输入/目标文本</w:t>
            </w:r>
          </w:p>
        </w:tc>
        <w:tc>
          <w:tcPr>
            <w:tcW w:type="dxa" w:w="3969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检查点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SP-MIX-001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1.明天干嘛。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同句出现 ASCII . 与中文 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SP-MIX-002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这个是2/3，那么我们选白色/黑色，白色、黑色。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/ 分数、/ 选项、、 列举、中文逗号/句号同时正确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SP-MIX-003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会议时间：12:23，版本是v1.2.3。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中文冒号 + 时间冒号 + 版本点号 + 中文句号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SP-MIX-004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价格是1,299.50元，折扣为80%。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千位逗号、小数点、百分号与中文逗号/句号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SP-MIX-005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服务器是192.168.1.1，端口是8080。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IPv4 点号保护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SP-MIX-006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BIT[31:16]表示高16bit，BIT[15:0]表示低16bit。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技术方括号/冒号不中文化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SP-MIX-007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支持Windows/Linux/macOS，选择是/否即可。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中文句子中的 / 保持本义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SP-MIX-008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访问https://example.com?a=1&amp;b=2，然后继续输入中文。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URL token 全部 ASCII，离开 URL 后恢复中文标点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SP-MIX-009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文件是PiInput-v0.8.0.zip，请打开。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文件名/版本符号保护 + 中文逗号/句号</w:t>
            </w:r>
          </w:p>
        </w:tc>
      </w:tr>
    </w:tbl>
    <w:p>
      <w:pPr>
        <w:pStyle w:val="Heading1"/>
      </w:pPr>
      <w:r>
        <w:t>18. 自动化测试要求</w:t>
      </w:r>
    </w:p>
    <w:p>
      <w:pPr>
        <w:pStyle w:val="ListBullet"/>
      </w:pPr>
      <w:r>
        <w:t>每条 Smart Punctuation 规则至少包含一个正例和一个“不得误转换”的反例。</w:t>
      </w:r>
    </w:p>
    <w:p>
      <w:pPr>
        <w:pStyle w:val="ListBullet"/>
      </w:pPr>
      <w:r>
        <w:t>测试不能只测孤立 token，必须包含整句混合语义测试，真实验证 context 切换。</w:t>
      </w:r>
    </w:p>
    <w:p>
      <w:pPr>
        <w:pStyle w:val="ListBullet"/>
      </w:pPr>
      <w:r>
        <w:t>日志应记录：原始按键、前后字符/Token 类型、命中的 context、rule_id、输出字符、是否发生替换。</w:t>
      </w:r>
    </w:p>
    <w:p>
      <w:pPr>
        <w:pStyle w:val="ListBullet"/>
      </w:pPr>
      <w:r>
        <w:t>历史符号 Bug 修复后必须新增固定回归 Case ID；P0/P1 进入每次 RC 自动测试。</w:t>
      </w:r>
    </w:p>
    <w:p>
      <w:pPr>
        <w:pStyle w:val="CodeSmall"/>
      </w:pPr>
      <w:r>
        <w:t>示例日志：</w:t>
        <w:br/>
        <w:t>KEY=.  LEFT="1"  RIGHT="明"  CONTEXT=SEQUENCE  RULE=SP_DOT_SEQUENCE  OUTPUT="."</w:t>
        <w:br/>
        <w:t>KEY=.  LEFT="嘛" RIGHT=&lt;END&gt; CONTEXT=CHINESE  RULE=SP_DOT_CN_SENTENCE OUTPUT="。"</w:t>
        <w:br/>
        <w:t>KEY=/  LEFT="2"  RIGHT="3"   CONTEXT=NUMERIC  RULE=SP_SLASH_FRACTION OUTPUT="/"</w:t>
      </w:r>
    </w:p>
    <w:p>
      <w:pPr>
        <w:pStyle w:val="Heading1"/>
      </w:pPr>
      <w:r>
        <w:t>19.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92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782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标准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符号本义</w:t>
            </w:r>
          </w:p>
        </w:tc>
        <w:tc>
          <w:tcPr>
            <w:tcW w:type="dxa" w:w="7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ASCII 符号在明确数值、技术、URL、路径、版本等语义中不得被中文化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中文标点</w:t>
            </w:r>
          </w:p>
        </w:tc>
        <w:tc>
          <w:tcPr>
            <w:tcW w:type="dxa" w:w="7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普通中文正文中的基础标点按产品设计正确中文化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同句混输</w:t>
            </w:r>
          </w:p>
        </w:tc>
        <w:tc>
          <w:tcPr>
            <w:tcW w:type="dxa" w:w="7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P0 混合语义测试全部 PASS，不要求切换输入法模式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歧义安全</w:t>
            </w:r>
          </w:p>
        </w:tc>
        <w:tc>
          <w:tcPr>
            <w:tcW w:type="dxa" w:w="7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没有为了自动化而导致 /、.、:、, 等原始符号“无法正常输入”的规则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稳定性</w:t>
            </w:r>
          </w:p>
        </w:tc>
        <w:tc>
          <w:tcPr>
            <w:tcW w:type="dxa" w:w="7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SmartPunctuation 不造成吞键、重复提交、composition 卡死、错误回写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可调试性</w:t>
            </w:r>
          </w:p>
        </w:tc>
        <w:tc>
          <w:tcPr>
            <w:tcW w:type="dxa" w:w="7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每个自动判定可通过日志追踪到 context 与 rule_id</w:t>
            </w:r>
          </w:p>
        </w:tc>
      </w:tr>
    </w:tbl>
    <w:p>
      <w:pPr>
        <w:pStyle w:val="Heading1"/>
      </w:pPr>
      <w:r>
        <w:t>20. 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10" w:type="dxa"/>
              <w:start w:w="130" w:type="dxa"/>
              <w:bottom w:w="110" w:type="dxa"/>
              <w:end w:w="130" w:type="dxa"/>
            </w:tcMar>
            <w:shd w:fill="E2F0D9"/>
            <w:vAlign w:val="center"/>
          </w:tcPr>
          <w:p>
            <w:r/>
            <w:r>
              <w:rPr>
                <w:rFonts w:ascii="Noto Sans" w:hAnsi="Noto Sans" w:eastAsia="Noto Sans CJK SC"/>
                <w:b/>
                <w:sz w:val="19"/>
              </w:rPr>
              <w:t>PiInput 的目标不是“中文模式 = 全部中文符号”，而是让用户在中文输入过程中自然表达真实语义：1. 是序号，12:23 是时间，2/3 是分数，白色/黑色 是选项关系，白色、黑色 是中文列举，句末仍然是“。”。智能符号成功的标准，是用户几乎感觉不到规则存在，却不会被输入法妨碍。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Noto Sans CJK SC"/>
        <w:color w:val="787878"/>
        <w:sz w:val="16"/>
      </w:rPr>
      <w:t>PiInput 智能符号与中英文标点语义规则 v1.0  |  PiInput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" w:hAnsi="Noto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after="60"/>
      <w:ind w:left="255" w:right="113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