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60" w:afterAutospacing="0"/>
        <w:ind w:left="0" w:right="0" w:firstLine="0"/>
        <w:jc w:val="center"/>
        <w:rPr>
          <w:rFonts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sz w:val="19"/>
          <w:szCs w:val="19"/>
        </w:rPr>
        <w:drawing>
          <wp:inline distT="0" distB="0" distL="114300" distR="114300">
            <wp:extent cx="5715000" cy="85725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8572500"/>
                    </a:xfrm>
                    <a:prstGeom prst="rect">
                      <a:avLst/>
                    </a:prstGeom>
                    <a:noFill/>
                    <a:ln w="9525">
                      <a:noFill/>
                    </a:ln>
                  </pic:spPr>
                </pic:pic>
              </a:graphicData>
            </a:graphic>
          </wp:inline>
        </w:drawing>
      </w:r>
    </w:p>
    <w:p>
      <w:pPr>
        <w:pStyle w:val="2"/>
        <w:keepNext w:val="0"/>
        <w:keepLines w:val="0"/>
        <w:widowControl/>
        <w:suppressLineNumbers w:val="0"/>
        <w:spacing w:before="120" w:beforeAutospacing="0" w:after="120" w:afterAutospacing="0"/>
        <w:ind w:left="0" w:right="0" w:firstLine="0"/>
        <w:jc w:val="both"/>
        <w:rPr>
          <w:rFonts w:hint="default" w:ascii="sans-serif" w:hAnsi="sans-serif" w:eastAsia="sans-serif" w:cs="sans-serif"/>
          <w:i w:val="0"/>
          <w:caps w:val="0"/>
          <w:color w:val="000000"/>
          <w:spacing w:val="0"/>
          <w:sz w:val="19"/>
          <w:szCs w:val="19"/>
        </w:rPr>
      </w:pPr>
      <w:r>
        <w:rPr>
          <w:rFonts w:hint="eastAsia" w:ascii="宋体" w:hAnsi="宋体" w:eastAsia="宋体" w:cs="宋体"/>
          <w:i w:val="0"/>
          <w:caps w:val="0"/>
          <w:color w:val="000000"/>
          <w:spacing w:val="0"/>
          <w:sz w:val="21"/>
          <w:szCs w:val="21"/>
        </w:rPr>
        <w:t>新华社石家庄1月13日电 记者2021年1月13日从河北省石家庄和邢台两市新冠肺炎疫情防控工作新闻发布会上了解到，两市第二轮全员核酸检测稳步推进，进展顺利。</w:t>
      </w:r>
    </w:p>
    <w:p>
      <w:pPr>
        <w:pStyle w:val="2"/>
        <w:keepNext w:val="0"/>
        <w:keepLines w:val="0"/>
        <w:widowControl/>
        <w:suppressLineNumbers w:val="0"/>
        <w:spacing w:before="60" w:beforeAutospacing="0" w:after="120" w:afterAutospacing="0"/>
        <w:ind w:left="0" w:right="0" w:firstLine="0"/>
        <w:jc w:val="both"/>
        <w:rPr>
          <w:rFonts w:hint="default" w:ascii="sans-serif" w:hAnsi="sans-serif" w:eastAsia="sans-serif" w:cs="sans-serif"/>
          <w:i w:val="0"/>
          <w:caps w:val="0"/>
          <w:color w:val="000000"/>
          <w:spacing w:val="0"/>
          <w:sz w:val="19"/>
          <w:szCs w:val="19"/>
        </w:rPr>
      </w:pPr>
      <w:r>
        <w:rPr>
          <w:rFonts w:hint="eastAsia" w:ascii="宋体" w:hAnsi="宋体" w:eastAsia="宋体" w:cs="宋体"/>
          <w:i w:val="0"/>
          <w:caps w:val="0"/>
          <w:color w:val="000000"/>
          <w:spacing w:val="0"/>
          <w:sz w:val="21"/>
          <w:szCs w:val="21"/>
        </w:rPr>
        <w:t>据介绍，石家庄全市第二轮全员核酸检测启动以来，充分发挥街道（乡镇）、社区党组织组建的“红色联盟”平台作用，做好全部驻区单位人员的采样组织工作。</w:t>
      </w:r>
    </w:p>
    <w:p>
      <w:pPr>
        <w:pStyle w:val="2"/>
        <w:keepNext w:val="0"/>
        <w:keepLines w:val="0"/>
        <w:widowControl/>
        <w:suppressLineNumbers w:val="0"/>
        <w:spacing w:before="60" w:beforeAutospacing="0" w:after="120" w:afterAutospacing="0"/>
        <w:ind w:left="0" w:right="0" w:firstLine="0"/>
        <w:jc w:val="both"/>
        <w:rPr>
          <w:rFonts w:hint="default" w:ascii="sans-serif" w:hAnsi="sans-serif" w:eastAsia="sans-serif" w:cs="sans-serif"/>
          <w:i w:val="0"/>
          <w:caps w:val="0"/>
          <w:color w:val="000000"/>
          <w:spacing w:val="0"/>
          <w:sz w:val="19"/>
          <w:szCs w:val="19"/>
        </w:rPr>
      </w:pPr>
      <w:r>
        <w:rPr>
          <w:rFonts w:hint="eastAsia" w:ascii="宋体" w:hAnsi="宋体" w:eastAsia="宋体" w:cs="宋体"/>
          <w:i w:val="0"/>
          <w:caps w:val="0"/>
          <w:color w:val="000000"/>
          <w:spacing w:val="0"/>
          <w:sz w:val="21"/>
          <w:szCs w:val="21"/>
        </w:rPr>
        <w:t>为确保核酸检测全覆盖，石家庄还成立机关、企事业单位核酸检测工作专班，加强与辖区范围内中央、省、市各级机关和企事业单位的沟通联系，做好全部驻区单位、企业、门店、商超、宾馆等人员的采样组织，确保辖区范围内人员应采尽采。</w:t>
      </w:r>
    </w:p>
    <w:p>
      <w:pPr>
        <w:pStyle w:val="2"/>
        <w:keepNext w:val="0"/>
        <w:keepLines w:val="0"/>
        <w:widowControl/>
        <w:suppressLineNumbers w:val="0"/>
        <w:spacing w:before="60" w:beforeAutospacing="0" w:after="120" w:afterAutospacing="0"/>
        <w:ind w:left="0" w:right="0" w:firstLine="0"/>
        <w:jc w:val="both"/>
        <w:rPr>
          <w:rFonts w:hint="default" w:ascii="sans-serif" w:hAnsi="sans-serif" w:eastAsia="sans-serif" w:cs="sans-serif"/>
          <w:i w:val="0"/>
          <w:caps w:val="0"/>
          <w:color w:val="000000"/>
          <w:spacing w:val="0"/>
          <w:sz w:val="19"/>
          <w:szCs w:val="19"/>
        </w:rPr>
      </w:pPr>
      <w:r>
        <w:rPr>
          <w:rFonts w:hint="eastAsia" w:ascii="宋体" w:hAnsi="宋体" w:eastAsia="宋体" w:cs="宋体"/>
          <w:i w:val="0"/>
          <w:caps w:val="0"/>
          <w:color w:val="000000"/>
          <w:spacing w:val="0"/>
          <w:sz w:val="21"/>
          <w:szCs w:val="21"/>
        </w:rPr>
        <w:t>截至13日12时，石家庄累计采样8215465人，累计检测5106782人。下一步将继续加快检测进度、提高检测质量、推进全员覆盖，确保高质量完成第二轮全员核酸检测任务。</w:t>
      </w:r>
    </w:p>
    <w:p>
      <w:pPr>
        <w:pStyle w:val="2"/>
        <w:keepNext w:val="0"/>
        <w:keepLines w:val="0"/>
        <w:widowControl/>
        <w:suppressLineNumbers w:val="0"/>
        <w:spacing w:before="60" w:beforeAutospacing="0" w:after="60" w:afterAutospacing="0"/>
        <w:ind w:left="0" w:right="0" w:firstLine="0"/>
        <w:jc w:val="both"/>
        <w:rPr>
          <w:rFonts w:hint="default" w:ascii="sans-serif" w:hAnsi="sans-serif" w:eastAsia="sans-serif" w:cs="sans-serif"/>
          <w:i w:val="0"/>
          <w:caps w:val="0"/>
          <w:color w:val="000000"/>
          <w:spacing w:val="0"/>
          <w:sz w:val="19"/>
          <w:szCs w:val="19"/>
        </w:rPr>
      </w:pPr>
      <w:r>
        <w:rPr>
          <w:rFonts w:hint="eastAsia" w:ascii="宋体" w:hAnsi="宋体" w:eastAsia="宋体" w:cs="宋体"/>
          <w:i w:val="0"/>
          <w:caps w:val="0"/>
          <w:color w:val="000000"/>
          <w:spacing w:val="0"/>
          <w:sz w:val="21"/>
          <w:szCs w:val="21"/>
        </w:rPr>
        <w:t>邢台市除南宫外19个县（市、区）从12日开始进行第二轮全员核酸检测工作，全市派出近7000支、3万余人的检测队伍，建立了核酸检测信息平台，在确保质量的前提下提高效率。截至13日12时，邢台市共采样5731920人，共检测2795079人。（记者刘桃熊 李继伟）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3E36"/>
    <w:rsid w:val="615E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2021-03-01T03:43:00Z</dcterms:created>
  <dc:creator>孙凯</dc:creator>
  <cp:lastModifiedBy>孙凯</cp:lastModifiedBy>
  <dcterms:modified xsi:type="dcterms:W3CDTF">2021-03-01T03:44:22Z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