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68AC6">
      <w:pPr>
        <w:pStyle w:val="4"/>
        <w:keepNext w:val="0"/>
        <w:keepLines w:val="0"/>
        <w:widowControl/>
        <w:suppressLineNumbers w:val="0"/>
        <w:spacing w:before="150" w:beforeAutospacing="0" w:after="150" w:afterAutospacing="0" w:line="15" w:lineRule="atLeast"/>
        <w:ind w:left="0" w:firstLine="0"/>
        <w:rPr>
          <w:rFonts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br w:type="textWrapping"/>
      </w:r>
      <w:r>
        <w:rPr>
          <w:rFonts w:hint="default" w:ascii="Arial" w:hAnsi="Arial" w:eastAsia="Arial" w:cs="Arial"/>
          <w:i w:val="0"/>
          <w:iCs w:val="0"/>
          <w:caps w:val="0"/>
          <w:color w:val="333333"/>
          <w:spacing w:val="0"/>
          <w:sz w:val="21"/>
          <w:szCs w:val="21"/>
        </w:rPr>
        <w:t>Step 1 - Agreement</w:t>
      </w:r>
    </w:p>
    <w:p w14:paraId="47B1208A">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t>Thank you for your interest in Ei Compendex and/or GEOBASE.</w:t>
      </w:r>
    </w:p>
    <w:p w14:paraId="6ADEE2E0">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t>Below, please carefully review our minimum criteria and be sure your title meets these criteria before submitting your </w:t>
      </w:r>
      <w:r>
        <w:rPr>
          <w:rFonts w:hint="default" w:ascii="Arial" w:hAnsi="Arial" w:eastAsia="Arial" w:cs="Arial"/>
          <w:b/>
          <w:bCs/>
          <w:i w:val="0"/>
          <w:iCs w:val="0"/>
          <w:caps w:val="0"/>
          <w:color w:val="333333"/>
          <w:spacing w:val="0"/>
          <w:sz w:val="21"/>
          <w:szCs w:val="21"/>
        </w:rPr>
        <w:t>journal </w:t>
      </w:r>
      <w:r>
        <w:rPr>
          <w:rFonts w:hint="default" w:ascii="Arial" w:hAnsi="Arial" w:eastAsia="Arial" w:cs="Arial"/>
          <w:i w:val="0"/>
          <w:iCs w:val="0"/>
          <w:caps w:val="0"/>
          <w:color w:val="333333"/>
          <w:spacing w:val="0"/>
          <w:sz w:val="21"/>
          <w:szCs w:val="21"/>
        </w:rPr>
        <w:t>for evaluation.</w:t>
      </w:r>
    </w:p>
    <w:p w14:paraId="2543A272">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t>If you are not the publisher or editor of the title, please contact the publisher of the title and request that they complete the suggestion form.</w:t>
      </w:r>
    </w:p>
    <w:p w14:paraId="037BC907">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Style w:val="7"/>
          <w:rFonts w:hint="default" w:ascii="Arial" w:hAnsi="Arial" w:eastAsia="Arial" w:cs="Arial"/>
          <w:b/>
          <w:bCs/>
          <w:i w:val="0"/>
          <w:iCs w:val="0"/>
          <w:caps w:val="0"/>
          <w:color w:val="333333"/>
          <w:spacing w:val="0"/>
          <w:sz w:val="21"/>
          <w:szCs w:val="21"/>
        </w:rPr>
        <w:t>Titles will not be considered for evaluation unless they meet the following minimum criteria:</w:t>
      </w:r>
    </w:p>
    <w:p w14:paraId="1DCD2B6E">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title should publish peer-reviewed content.</w:t>
      </w:r>
    </w:p>
    <w:p w14:paraId="20772550">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title should be published on a regular basis (i.e., have an ISSN that has been confirmed by the ISSN International Centre).</w:t>
      </w:r>
    </w:p>
    <w:p w14:paraId="6F5D8051">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title should have English language abstracts and article titles.</w:t>
      </w:r>
    </w:p>
    <w:p w14:paraId="41CD8642">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title should have a digital preservation policy.</w:t>
      </w:r>
    </w:p>
    <w:p w14:paraId="418D3418">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p>
    <w:p w14:paraId="10BC3E04">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title should have a publication ethics and publication malpractice statement, and it adheres to the Principles of Transparency and Best Practice in Scholarly Publishing.</w:t>
      </w:r>
    </w:p>
    <w:p w14:paraId="5D54105A">
      <w:pPr>
        <w:keepNext w:val="0"/>
        <w:keepLines w:val="0"/>
        <w:widowControl/>
        <w:numPr>
          <w:ilvl w:val="0"/>
          <w:numId w:val="1"/>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Website</w:t>
      </w:r>
    </w:p>
    <w:p w14:paraId="172B3DBE">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A journal's website, including the text that it contains, shall demonstrate that care has been taken to ensure high ethical and professional standards. It must not contain information that might mislead readers or authors, including any attempt to mimic another journal/publisher’s site. An ‘Aims &amp; Scope’ statement should be included on the website and the readership clearly defined. There should be a statement on what a journal will consider for publication including authorship criteria (e.g., not considering multiple submissions, redundant publications) to be included. ISSNs should be clearly displayed (separate for print and electronic).</w:t>
      </w:r>
    </w:p>
    <w:p w14:paraId="4AFA14EF">
      <w:pPr>
        <w:keepNext w:val="0"/>
        <w:keepLines w:val="0"/>
        <w:widowControl/>
        <w:numPr>
          <w:ilvl w:val="0"/>
          <w:numId w:val="2"/>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Name of journal</w:t>
      </w:r>
    </w:p>
    <w:p w14:paraId="773A4CEE">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Journal name shall be unique and not be one that is easily confused with another journal or that might mislead potential authors and readers about the Journal’s origin or association with other journals.</w:t>
      </w:r>
    </w:p>
    <w:p w14:paraId="592C157F">
      <w:pPr>
        <w:keepNext w:val="0"/>
        <w:keepLines w:val="0"/>
        <w:widowControl/>
        <w:numPr>
          <w:ilvl w:val="0"/>
          <w:numId w:val="3"/>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Peer review process</w:t>
      </w:r>
    </w:p>
    <w:p w14:paraId="51A54C34">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highlight w:val="green"/>
        </w:rPr>
        <w:t>Journal content must be clearly marked as whether peer reviewed or not. Peer review is defined as obtaining advice on individual manuscripts from reviewers expert in the field who are not part of the journal’s editorial staff. This process, as well as any policies related to the journal’s peer review procedures, shall be clearly described on the journal website, including the method of peer review used. Journal websites should not guarantee manuscript acceptance or very short peer review times.</w:t>
      </w:r>
    </w:p>
    <w:p w14:paraId="503B0FD4">
      <w:pPr>
        <w:keepNext w:val="0"/>
        <w:keepLines w:val="0"/>
        <w:widowControl/>
        <w:numPr>
          <w:ilvl w:val="0"/>
          <w:numId w:val="4"/>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Ownership and management</w:t>
      </w:r>
    </w:p>
    <w:p w14:paraId="0DD181B6">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Information about the ownership and/or management of a journal shall be clearly indicated on the journal’s website. Publishers shall not use organizational or journal names that would mislead potential authors and editors about the nature of the journal’s owner.</w:t>
      </w:r>
    </w:p>
    <w:p w14:paraId="05E22A34">
      <w:pPr>
        <w:keepNext w:val="0"/>
        <w:keepLines w:val="0"/>
        <w:widowControl/>
        <w:numPr>
          <w:ilvl w:val="0"/>
          <w:numId w:val="5"/>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rPr>
        <w:t> </w:t>
      </w:r>
      <w:r>
        <w:rPr>
          <w:rFonts w:hint="default" w:ascii="Arial" w:hAnsi="Arial" w:eastAsia="Arial" w:cs="Arial"/>
          <w:i w:val="0"/>
          <w:iCs w:val="0"/>
          <w:caps w:val="0"/>
          <w:color w:val="333333"/>
          <w:spacing w:val="0"/>
          <w:sz w:val="21"/>
          <w:szCs w:val="21"/>
          <w:highlight w:val="green"/>
        </w:rPr>
        <w:t>Governing body</w:t>
      </w:r>
    </w:p>
    <w:p w14:paraId="051C48C8">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Journals shall have editorial boards or other governing bodies whose members are recognized experts in the subject areas included within the journal’s scope. The full names and affiliations of the journal’s editorial board or other governing body shall be provided on the journal’s website.</w:t>
      </w:r>
    </w:p>
    <w:p w14:paraId="65D11FD1">
      <w:pPr>
        <w:keepNext w:val="0"/>
        <w:keepLines w:val="0"/>
        <w:widowControl/>
        <w:numPr>
          <w:ilvl w:val="0"/>
          <w:numId w:val="6"/>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Editorial team/contact information</w:t>
      </w:r>
    </w:p>
    <w:p w14:paraId="2D44FB4F">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Journals shall provide the full names and affiliations of the journal’s editors on the journal website as well as contact information for the editorial office, including a full address.</w:t>
      </w:r>
    </w:p>
    <w:p w14:paraId="2E6F9276">
      <w:pPr>
        <w:keepNext w:val="0"/>
        <w:keepLines w:val="0"/>
        <w:widowControl/>
        <w:numPr>
          <w:ilvl w:val="0"/>
          <w:numId w:val="7"/>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Copyright and Licensing</w:t>
      </w:r>
    </w:p>
    <w:p w14:paraId="2E34EF8D">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highlight w:val="green"/>
        </w:rPr>
        <w:t>The policy for copyright shall be clearly stated in the author guidelines and the copyright holder named on all published articles. Likewise, licensing information shall be clearly described in guidelines on the website, and licensing terms shall be indicated on all published articles, both HTML and PDFs. If authors are allowed to publish under a Creative Commons license then any specific license requirements shall be noted. Any policies on posting of final accepted versions or published articles on third party repositories shall be clearly stated.</w:t>
      </w:r>
    </w:p>
    <w:p w14:paraId="3DA9E57F">
      <w:pPr>
        <w:keepNext w:val="0"/>
        <w:keepLines w:val="0"/>
        <w:widowControl/>
        <w:numPr>
          <w:ilvl w:val="0"/>
          <w:numId w:val="8"/>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Author fees</w:t>
      </w:r>
    </w:p>
    <w:p w14:paraId="00DB0590">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Any fees or charges that are required for manuscript processing and/or publishing materials in the journal shall be clearly stated in a place that is easy for potential authors to find prior to submitting their manuscripts for review or explained to authors before they begin preparing their manuscript for submission. If no such fees are charged that should also be clearly stated.</w:t>
      </w:r>
    </w:p>
    <w:p w14:paraId="1E2A8BAD">
      <w:pPr>
        <w:keepNext w:val="0"/>
        <w:keepLines w:val="0"/>
        <w:widowControl/>
        <w:numPr>
          <w:ilvl w:val="0"/>
          <w:numId w:val="9"/>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Process for identification of and dealing with allegations of research misconduct</w:t>
      </w:r>
    </w:p>
    <w:p w14:paraId="2A51C479">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Publishers and editors shall take reasonable steps to identify and prevent the publication of papers where research misconduct has occurred, including plagiarism, citation manipulation, and data falsification/fabrication, among others. In no case shall a journal or its editors encourage such misconduct, or knowingly allow such misconduct to take place. In the event that a journal’s publisher or editors are made aware of any allegation of research misconduct relating to a published article in their journal, the publisher or editor shall follow COPE’s guidelines (or equivalent) in dealing with allegations.</w:t>
      </w:r>
    </w:p>
    <w:p w14:paraId="2DD268F6">
      <w:pPr>
        <w:keepNext w:val="0"/>
        <w:keepLines w:val="0"/>
        <w:widowControl/>
        <w:numPr>
          <w:ilvl w:val="0"/>
          <w:numId w:val="10"/>
        </w:numPr>
        <w:suppressLineNumbers w:val="0"/>
        <w:spacing w:before="0" w:beforeAutospacing="1" w:after="0" w:afterAutospacing="1"/>
        <w:ind w:left="0" w:hanging="360"/>
        <w:rPr>
          <w:highlight w:val="magenta"/>
        </w:rPr>
      </w:pPr>
      <w:r>
        <w:rPr>
          <w:rFonts w:hint="default" w:ascii="Arial" w:hAnsi="Arial" w:eastAsia="Arial" w:cs="Arial"/>
          <w:i w:val="0"/>
          <w:iCs w:val="0"/>
          <w:caps w:val="0"/>
          <w:color w:val="333333"/>
          <w:spacing w:val="0"/>
          <w:sz w:val="21"/>
          <w:szCs w:val="21"/>
          <w:highlight w:val="magenta"/>
        </w:rPr>
        <w:t> Publication Ethics</w:t>
      </w:r>
    </w:p>
    <w:p w14:paraId="1124800A">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A journal shall also have policies on publishing ethics. These should be clearly visible on its website, and should refer to: </w:t>
      </w:r>
    </w:p>
    <w:p w14:paraId="77807C59">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Journal policies on authorship and contributorship; </w:t>
      </w:r>
    </w:p>
    <w:p w14:paraId="03612604">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 </w:t>
      </w:r>
      <w:r>
        <w:rPr>
          <w:rFonts w:hint="default" w:ascii="Arial" w:hAnsi="Arial" w:eastAsia="Arial" w:cs="Arial"/>
          <w:i w:val="0"/>
          <w:iCs w:val="0"/>
          <w:caps w:val="0"/>
          <w:color w:val="333333"/>
          <w:spacing w:val="0"/>
          <w:sz w:val="21"/>
          <w:szCs w:val="21"/>
          <w:highlight w:val="red"/>
        </w:rPr>
        <w:t>How the journal will handle complaints and appeals;</w:t>
      </w:r>
    </w:p>
    <w:p w14:paraId="5FB152AA">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Journal policies on conflicts of interest / competing interests; </w:t>
      </w:r>
    </w:p>
    <w:p w14:paraId="0AD7A9C8">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Journal policies on data sharing and reproducibility; </w:t>
      </w:r>
    </w:p>
    <w:p w14:paraId="28015469">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lang w:val="tr-TR"/>
        </w:rPr>
        <w:t xml:space="preserve"> </w:t>
      </w:r>
      <w:r>
        <w:rPr>
          <w:rFonts w:hint="default" w:ascii="Arial" w:hAnsi="Arial" w:eastAsia="Arial" w:cs="Arial"/>
          <w:i w:val="0"/>
          <w:iCs w:val="0"/>
          <w:caps w:val="0"/>
          <w:color w:val="333333"/>
          <w:spacing w:val="0"/>
          <w:sz w:val="21"/>
          <w:szCs w:val="21"/>
          <w:highlight w:val="magenta"/>
        </w:rPr>
        <w:t xml:space="preserve">Journal’s policy on ethical oversight; </w:t>
      </w:r>
    </w:p>
    <w:p w14:paraId="52C65D33">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 xml:space="preserve"> Journal’s policy on intellectual property; and </w:t>
      </w:r>
    </w:p>
    <w:p w14:paraId="339B6275">
      <w:pPr>
        <w:pStyle w:val="9"/>
        <w:keepNext w:val="0"/>
        <w:keepLines w:val="0"/>
        <w:widowControl/>
        <w:numPr>
          <w:ilvl w:val="0"/>
          <w:numId w:val="11"/>
        </w:numPr>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Journal’s options for post-publication discussions and corrections.</w:t>
      </w:r>
    </w:p>
    <w:p w14:paraId="14E7F4C7">
      <w:pPr>
        <w:pStyle w:val="9"/>
        <w:keepNext w:val="0"/>
        <w:keepLines w:val="0"/>
        <w:widowControl/>
        <w:numPr>
          <w:ilvl w:val="0"/>
          <w:numId w:val="0"/>
        </w:numPr>
        <w:suppressLineNumbers w:val="0"/>
        <w:spacing w:before="0" w:beforeAutospacing="0" w:after="150" w:afterAutospacing="0"/>
        <w:ind w:leftChars="0" w:right="0" w:rightChars="0"/>
        <w:rPr>
          <w:rFonts w:hint="default" w:ascii="Arial" w:hAnsi="Arial" w:eastAsia="Arial" w:cs="Arial"/>
          <w:i w:val="0"/>
          <w:iCs w:val="0"/>
          <w:caps w:val="0"/>
          <w:color w:val="333333"/>
          <w:spacing w:val="0"/>
          <w:sz w:val="21"/>
          <w:szCs w:val="21"/>
          <w:highlight w:val="magenta"/>
        </w:rPr>
      </w:pPr>
    </w:p>
    <w:p w14:paraId="7EF2F5C3">
      <w:pPr>
        <w:pStyle w:val="9"/>
        <w:keepNext w:val="0"/>
        <w:keepLines w:val="0"/>
        <w:widowControl/>
        <w:numPr>
          <w:ilvl w:val="0"/>
          <w:numId w:val="0"/>
        </w:numPr>
        <w:suppressLineNumbers w:val="0"/>
        <w:spacing w:before="0" w:beforeAutospacing="0" w:after="150" w:afterAutospacing="0"/>
        <w:ind w:leftChars="0" w:right="0" w:rightChars="0"/>
        <w:rPr>
          <w:rFonts w:hint="default" w:ascii="Arial" w:hAnsi="Arial" w:eastAsia="Arial"/>
          <w:i w:val="0"/>
          <w:iCs w:val="0"/>
          <w:caps w:val="0"/>
          <w:color w:val="333333"/>
          <w:spacing w:val="0"/>
          <w:sz w:val="21"/>
          <w:szCs w:val="21"/>
          <w:highlight w:val="cyan"/>
          <w:lang w:val="tr-TR"/>
        </w:rPr>
      </w:pPr>
      <w:r>
        <w:rPr>
          <w:rFonts w:hint="default" w:ascii="Arial" w:hAnsi="Arial" w:eastAsia="Arial"/>
          <w:i w:val="0"/>
          <w:iCs w:val="0"/>
          <w:caps w:val="0"/>
          <w:color w:val="333333"/>
          <w:spacing w:val="0"/>
          <w:sz w:val="21"/>
          <w:szCs w:val="21"/>
          <w:highlight w:val="cyan"/>
        </w:rPr>
        <w:t>Authors who wish to appeal the editorial decision for their manuscript may submit a formal appeal request in accordance with the procedure outlined in Elsevier’s Appeal Policy. Only one appeal per submission will be considered and the appeal decision will be final</w:t>
      </w:r>
      <w:r>
        <w:rPr>
          <w:rFonts w:hint="default" w:ascii="Arial" w:hAnsi="Arial" w:eastAsia="Arial"/>
          <w:i w:val="0"/>
          <w:iCs w:val="0"/>
          <w:caps w:val="0"/>
          <w:color w:val="333333"/>
          <w:spacing w:val="0"/>
          <w:sz w:val="21"/>
          <w:szCs w:val="21"/>
          <w:highlight w:val="cyan"/>
          <w:lang w:val="tr-TR"/>
        </w:rPr>
        <w:t xml:space="preserve">. </w:t>
      </w:r>
    </w:p>
    <w:p w14:paraId="32A02EA9">
      <w:pPr>
        <w:pStyle w:val="9"/>
        <w:keepNext w:val="0"/>
        <w:keepLines w:val="0"/>
        <w:widowControl/>
        <w:numPr>
          <w:ilvl w:val="0"/>
          <w:numId w:val="0"/>
        </w:numPr>
        <w:suppressLineNumbers w:val="0"/>
        <w:spacing w:before="0" w:beforeAutospacing="0" w:after="150" w:afterAutospacing="0"/>
        <w:ind w:leftChars="0" w:right="0" w:rightChars="0"/>
        <w:rPr>
          <w:rFonts w:hint="default" w:ascii="Arial" w:hAnsi="Arial" w:eastAsia="Arial"/>
          <w:i w:val="0"/>
          <w:iCs w:val="0"/>
          <w:caps w:val="0"/>
          <w:color w:val="333333"/>
          <w:spacing w:val="0"/>
          <w:sz w:val="21"/>
          <w:szCs w:val="21"/>
          <w:highlight w:val="cyan"/>
          <w:lang w:val="tr-TR"/>
        </w:rPr>
      </w:pPr>
    </w:p>
    <w:p w14:paraId="14468DF6">
      <w:pPr>
        <w:pStyle w:val="9"/>
        <w:keepNext w:val="0"/>
        <w:keepLines w:val="0"/>
        <w:widowControl/>
        <w:numPr>
          <w:ilvl w:val="0"/>
          <w:numId w:val="0"/>
        </w:numPr>
        <w:suppressLineNumbers w:val="0"/>
        <w:spacing w:before="0" w:beforeAutospacing="0" w:after="150" w:afterAutospacing="0"/>
        <w:ind w:leftChars="0" w:right="0" w:rightChars="0"/>
        <w:rPr>
          <w:rFonts w:hint="default" w:ascii="Arial" w:hAnsi="Arial" w:eastAsia="Arial"/>
          <w:i w:val="0"/>
          <w:iCs w:val="0"/>
          <w:caps w:val="0"/>
          <w:color w:val="333333"/>
          <w:spacing w:val="0"/>
          <w:sz w:val="21"/>
          <w:szCs w:val="21"/>
          <w:highlight w:val="cyan"/>
          <w:lang w:val="tr-TR"/>
        </w:rPr>
      </w:pPr>
      <w:r>
        <w:rPr>
          <w:rFonts w:hint="default" w:ascii="Arial" w:hAnsi="Arial" w:eastAsia="Arial"/>
          <w:i w:val="0"/>
          <w:iCs w:val="0"/>
          <w:caps w:val="0"/>
          <w:color w:val="333333"/>
          <w:spacing w:val="0"/>
          <w:sz w:val="21"/>
          <w:szCs w:val="21"/>
          <w:highlight w:val="cyan"/>
          <w:lang w:val="tr-TR"/>
        </w:rPr>
        <w:t>Editorial Decision Appeals Policy</w:t>
      </w:r>
    </w:p>
    <w:p w14:paraId="286ACFB4">
      <w:pPr>
        <w:pStyle w:val="9"/>
        <w:keepNext w:val="0"/>
        <w:keepLines w:val="0"/>
        <w:widowControl/>
        <w:numPr>
          <w:ilvl w:val="0"/>
          <w:numId w:val="0"/>
        </w:numPr>
        <w:suppressLineNumbers w:val="0"/>
        <w:spacing w:before="0" w:beforeAutospacing="0" w:after="150" w:afterAutospacing="0"/>
        <w:ind w:leftChars="0" w:right="0" w:rightChars="0"/>
        <w:rPr>
          <w:rFonts w:hint="default" w:ascii="Arial" w:hAnsi="Arial" w:eastAsia="Arial" w:cs="Arial"/>
          <w:i w:val="0"/>
          <w:iCs w:val="0"/>
          <w:caps w:val="0"/>
          <w:color w:val="333333"/>
          <w:spacing w:val="0"/>
          <w:sz w:val="21"/>
          <w:szCs w:val="21"/>
          <w:highlight w:val="cyan"/>
        </w:rPr>
      </w:pPr>
      <w:r>
        <w:rPr>
          <w:rFonts w:hint="default" w:ascii="Arial" w:hAnsi="Arial" w:eastAsia="Arial"/>
          <w:i w:val="0"/>
          <w:iCs w:val="0"/>
          <w:caps w:val="0"/>
          <w:color w:val="333333"/>
          <w:spacing w:val="0"/>
          <w:sz w:val="21"/>
          <w:szCs w:val="21"/>
          <w:highlight w:val="cyan"/>
          <w:lang w:val="tr-TR"/>
        </w:rPr>
        <w:t xml:space="preserve">Authors who wish to appeal the revision or rejection decision for their manuscript may submit a formal appeal. Appeal requests must be made in writing to the journal (authors can find the journal’s email address on the journal’s homepage) with the word “Appeal” and the manuscript reference number in the subject line. Appeals will only be considered for manuscripts that have been peer-reviewed and will not be considered for those rejected outright by the journal editorial team. The appeal must be submitted by the corresponding author of the manuscript. All authors must agree to the submission of the appeal. </w:t>
      </w:r>
      <w:r>
        <w:rPr>
          <w:rFonts w:hint="default" w:ascii="Arial" w:hAnsi="Arial" w:eastAsia="Arial"/>
          <w:i w:val="0"/>
          <w:iCs w:val="0"/>
          <w:caps w:val="0"/>
          <w:color w:val="333333"/>
          <w:spacing w:val="0"/>
          <w:sz w:val="21"/>
          <w:szCs w:val="21"/>
          <w:highlight w:val="cyan"/>
        </w:rPr>
        <w:t>.</w:t>
      </w:r>
    </w:p>
    <w:p w14:paraId="41893207">
      <w:pPr>
        <w:keepNext w:val="0"/>
        <w:keepLines w:val="0"/>
        <w:widowControl/>
        <w:numPr>
          <w:ilvl w:val="0"/>
          <w:numId w:val="12"/>
        </w:numPr>
        <w:suppressLineNumbers w:val="0"/>
        <w:spacing w:before="0" w:beforeAutospacing="1" w:after="0" w:afterAutospacing="1"/>
        <w:ind w:left="0" w:hanging="360"/>
        <w:rPr>
          <w:highlight w:val="magenta"/>
        </w:rPr>
      </w:pPr>
      <w:r>
        <w:rPr>
          <w:rFonts w:hint="default" w:ascii="Arial" w:hAnsi="Arial" w:eastAsia="Arial" w:cs="Arial"/>
          <w:i w:val="0"/>
          <w:iCs w:val="0"/>
          <w:caps w:val="0"/>
          <w:color w:val="333333"/>
          <w:spacing w:val="0"/>
          <w:sz w:val="21"/>
          <w:szCs w:val="21"/>
          <w:highlight w:val="magenta"/>
        </w:rPr>
        <w:t> Publishing schedule</w:t>
      </w:r>
    </w:p>
    <w:p w14:paraId="49103841">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The periodicity at which a journal publishes shall be clearly indicated.</w:t>
      </w:r>
    </w:p>
    <w:p w14:paraId="3DC3B46D">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p>
    <w:p w14:paraId="1890D546">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cyan"/>
          <w:lang w:val="tr-TR"/>
        </w:rPr>
      </w:pPr>
      <w:r>
        <w:rPr>
          <w:rFonts w:hint="default" w:ascii="Arial" w:hAnsi="Arial" w:eastAsia="Arial" w:cs="Arial"/>
          <w:i w:val="0"/>
          <w:iCs w:val="0"/>
          <w:caps w:val="0"/>
          <w:color w:val="333333"/>
          <w:spacing w:val="0"/>
          <w:sz w:val="21"/>
          <w:szCs w:val="21"/>
          <w:highlight w:val="cyan"/>
          <w:lang w:val="tr-TR"/>
        </w:rPr>
        <w:t>EKLENECEK</w:t>
      </w:r>
    </w:p>
    <w:p w14:paraId="1E6E85B9">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cyan"/>
          <w:lang w:val="tr-TR"/>
        </w:rPr>
      </w:pPr>
    </w:p>
    <w:p w14:paraId="36B7D746">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cyan"/>
          <w:lang w:val="tr-TR"/>
        </w:rPr>
      </w:pPr>
      <w:r>
        <w:drawing>
          <wp:inline distT="0" distB="0" distL="114300" distR="114300">
            <wp:extent cx="5270500" cy="67500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675005"/>
                    </a:xfrm>
                    <a:prstGeom prst="rect">
                      <a:avLst/>
                    </a:prstGeom>
                    <a:noFill/>
                    <a:ln>
                      <a:noFill/>
                    </a:ln>
                  </pic:spPr>
                </pic:pic>
              </a:graphicData>
            </a:graphic>
          </wp:inline>
        </w:drawing>
      </w:r>
    </w:p>
    <w:p w14:paraId="101DAE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Arial" w:hAnsi="Arial" w:eastAsia="Arial" w:cs="Arial"/>
          <w:i w:val="0"/>
          <w:iCs w:val="0"/>
          <w:caps w:val="0"/>
          <w:color w:val="1F1F1F"/>
          <w:spacing w:val="0"/>
          <w:sz w:val="30"/>
          <w:szCs w:val="30"/>
          <w:highlight w:val="cyan"/>
        </w:rPr>
      </w:pPr>
      <w:r>
        <w:rPr>
          <w:rFonts w:hint="default" w:ascii="Arial" w:hAnsi="Arial" w:eastAsia="Arial" w:cs="Arial"/>
          <w:i w:val="0"/>
          <w:iCs w:val="0"/>
          <w:caps w:val="0"/>
          <w:color w:val="1F1F1F"/>
          <w:spacing w:val="0"/>
          <w:kern w:val="0"/>
          <w:sz w:val="30"/>
          <w:szCs w:val="30"/>
          <w:highlight w:val="cyan"/>
          <w:lang w:val="en-US" w:eastAsia="zh-CN" w:bidi="ar"/>
        </w:rPr>
        <w:t>8 days</w:t>
      </w:r>
    </w:p>
    <w:p w14:paraId="14CE31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24"/>
          <w:szCs w:val="24"/>
          <w:highlight w:val="cyan"/>
        </w:rPr>
      </w:pPr>
      <w:r>
        <w:rPr>
          <w:rFonts w:hint="default" w:ascii="Arial" w:hAnsi="Arial" w:eastAsia="Arial" w:cs="Arial"/>
          <w:i w:val="0"/>
          <w:iCs w:val="0"/>
          <w:caps w:val="0"/>
          <w:color w:val="1F1F1F"/>
          <w:spacing w:val="0"/>
          <w:kern w:val="0"/>
          <w:sz w:val="21"/>
          <w:szCs w:val="21"/>
          <w:highlight w:val="cyan"/>
          <w:lang w:val="en-US" w:eastAsia="zh-CN" w:bidi="ar"/>
        </w:rPr>
        <w:t>Time to first decision</w:t>
      </w:r>
    </w:p>
    <w:p w14:paraId="3D8E0A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30"/>
          <w:szCs w:val="30"/>
          <w:highlight w:val="cyan"/>
        </w:rPr>
      </w:pPr>
      <w:r>
        <w:rPr>
          <w:rFonts w:hint="default" w:ascii="Arial" w:hAnsi="Arial" w:eastAsia="Arial" w:cs="Arial"/>
          <w:i w:val="0"/>
          <w:iCs w:val="0"/>
          <w:caps w:val="0"/>
          <w:color w:val="1F1F1F"/>
          <w:spacing w:val="0"/>
          <w:kern w:val="0"/>
          <w:sz w:val="30"/>
          <w:szCs w:val="30"/>
          <w:highlight w:val="cyan"/>
          <w:lang w:val="en-US" w:eastAsia="zh-CN" w:bidi="ar"/>
        </w:rPr>
        <w:t>77 days</w:t>
      </w:r>
    </w:p>
    <w:p w14:paraId="778070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24"/>
          <w:szCs w:val="24"/>
          <w:highlight w:val="cyan"/>
        </w:rPr>
      </w:pPr>
      <w:r>
        <w:rPr>
          <w:rFonts w:hint="default" w:ascii="Arial" w:hAnsi="Arial" w:eastAsia="Arial" w:cs="Arial"/>
          <w:i w:val="0"/>
          <w:iCs w:val="0"/>
          <w:caps w:val="0"/>
          <w:color w:val="1F1F1F"/>
          <w:spacing w:val="0"/>
          <w:kern w:val="0"/>
          <w:sz w:val="21"/>
          <w:szCs w:val="21"/>
          <w:highlight w:val="cyan"/>
          <w:lang w:val="en-US" w:eastAsia="zh-CN" w:bidi="ar"/>
        </w:rPr>
        <w:t>Review time</w:t>
      </w:r>
    </w:p>
    <w:p w14:paraId="35A4C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30"/>
          <w:szCs w:val="30"/>
          <w:highlight w:val="cyan"/>
        </w:rPr>
      </w:pPr>
      <w:r>
        <w:rPr>
          <w:rFonts w:hint="default" w:ascii="Arial" w:hAnsi="Arial" w:eastAsia="Arial" w:cs="Arial"/>
          <w:i w:val="0"/>
          <w:iCs w:val="0"/>
          <w:caps w:val="0"/>
          <w:color w:val="1F1F1F"/>
          <w:spacing w:val="0"/>
          <w:kern w:val="0"/>
          <w:sz w:val="30"/>
          <w:szCs w:val="30"/>
          <w:highlight w:val="cyan"/>
          <w:lang w:val="en-US" w:eastAsia="zh-CN" w:bidi="ar"/>
        </w:rPr>
        <w:t>161 days</w:t>
      </w:r>
    </w:p>
    <w:p w14:paraId="4A33F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24"/>
          <w:szCs w:val="24"/>
          <w:highlight w:val="cyan"/>
        </w:rPr>
      </w:pPr>
      <w:r>
        <w:rPr>
          <w:rFonts w:hint="default" w:ascii="Arial" w:hAnsi="Arial" w:eastAsia="Arial" w:cs="Arial"/>
          <w:i w:val="0"/>
          <w:iCs w:val="0"/>
          <w:caps w:val="0"/>
          <w:color w:val="1F1F1F"/>
          <w:spacing w:val="0"/>
          <w:kern w:val="0"/>
          <w:sz w:val="21"/>
          <w:szCs w:val="21"/>
          <w:highlight w:val="cyan"/>
          <w:lang w:val="en-US" w:eastAsia="zh-CN" w:bidi="ar"/>
        </w:rPr>
        <w:t>Submission to acceptance</w:t>
      </w:r>
    </w:p>
    <w:p w14:paraId="17D70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30"/>
          <w:szCs w:val="30"/>
          <w:highlight w:val="cyan"/>
        </w:rPr>
      </w:pPr>
      <w:r>
        <w:rPr>
          <w:rFonts w:hint="default" w:ascii="Arial" w:hAnsi="Arial" w:eastAsia="Arial" w:cs="Arial"/>
          <w:i w:val="0"/>
          <w:iCs w:val="0"/>
          <w:caps w:val="0"/>
          <w:color w:val="1F1F1F"/>
          <w:spacing w:val="0"/>
          <w:kern w:val="0"/>
          <w:sz w:val="30"/>
          <w:szCs w:val="30"/>
          <w:highlight w:val="cyan"/>
          <w:lang w:val="en-US" w:eastAsia="zh-CN" w:bidi="ar"/>
        </w:rPr>
        <w:t>7 days</w:t>
      </w:r>
    </w:p>
    <w:p w14:paraId="3F309F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Arial" w:hAnsi="Arial" w:eastAsia="Arial" w:cs="Arial"/>
          <w:i w:val="0"/>
          <w:iCs w:val="0"/>
          <w:caps w:val="0"/>
          <w:color w:val="1F1F1F"/>
          <w:spacing w:val="0"/>
          <w:sz w:val="24"/>
          <w:szCs w:val="24"/>
          <w:highlight w:val="cyan"/>
        </w:rPr>
      </w:pPr>
      <w:r>
        <w:rPr>
          <w:rFonts w:hint="default" w:ascii="Arial" w:hAnsi="Arial" w:eastAsia="Arial" w:cs="Arial"/>
          <w:i w:val="0"/>
          <w:iCs w:val="0"/>
          <w:caps w:val="0"/>
          <w:color w:val="1F1F1F"/>
          <w:spacing w:val="0"/>
          <w:kern w:val="0"/>
          <w:sz w:val="21"/>
          <w:szCs w:val="21"/>
          <w:highlight w:val="cyan"/>
          <w:lang w:val="en-US" w:eastAsia="zh-CN" w:bidi="ar"/>
        </w:rPr>
        <w:t>Acceptance to publication</w:t>
      </w:r>
    </w:p>
    <w:p w14:paraId="6C0A06EC">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cyan"/>
          <w:lang w:val="tr-TR"/>
        </w:rPr>
      </w:pPr>
    </w:p>
    <w:p w14:paraId="6450B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Arial" w:hAnsi="Arial" w:eastAsia="Arial" w:cs="Arial"/>
          <w:b/>
          <w:bCs/>
          <w:i w:val="0"/>
          <w:iCs w:val="0"/>
          <w:caps w:val="0"/>
          <w:color w:val="1F1F1F"/>
          <w:spacing w:val="0"/>
          <w:sz w:val="21"/>
          <w:szCs w:val="21"/>
          <w:highlight w:val="cyan"/>
        </w:rPr>
      </w:pPr>
      <w:r>
        <w:rPr>
          <w:rFonts w:hint="default" w:ascii="Arial" w:hAnsi="Arial" w:eastAsia="Arial" w:cs="Arial"/>
          <w:b/>
          <w:bCs/>
          <w:i w:val="0"/>
          <w:iCs w:val="0"/>
          <w:caps w:val="0"/>
          <w:color w:val="1F1F1F"/>
          <w:spacing w:val="0"/>
          <w:kern w:val="0"/>
          <w:sz w:val="21"/>
          <w:szCs w:val="21"/>
          <w:highlight w:val="cyan"/>
          <w:shd w:val="clear" w:fill="FFFFFF"/>
          <w:lang w:val="en-US" w:eastAsia="zh-CN" w:bidi="ar"/>
        </w:rPr>
        <w:t>Time to First Decision</w:t>
      </w:r>
    </w:p>
    <w:p w14:paraId="1557B92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1F1F1F"/>
          <w:spacing w:val="0"/>
          <w:sz w:val="21"/>
          <w:szCs w:val="21"/>
          <w:highlight w:val="cyan"/>
        </w:rPr>
      </w:pPr>
      <w:r>
        <w:rPr>
          <w:rFonts w:hint="default" w:ascii="Arial" w:hAnsi="Arial" w:eastAsia="Arial" w:cs="Arial"/>
          <w:i w:val="0"/>
          <w:iCs w:val="0"/>
          <w:caps w:val="0"/>
          <w:color w:val="1F1F1F"/>
          <w:spacing w:val="0"/>
          <w:sz w:val="21"/>
          <w:szCs w:val="21"/>
          <w:highlight w:val="cyan"/>
          <w:shd w:val="clear" w:fill="FFFFFF"/>
        </w:rPr>
        <w:t>The median number of days it takes for an article to go from submission to first editorial decision (e.g., desk reject, desk invite your paper, or invite the first reviewer).</w:t>
      </w:r>
    </w:p>
    <w:p w14:paraId="357294F4">
      <w:pPr>
        <w:keepNext w:val="0"/>
        <w:keepLines w:val="0"/>
        <w:widowControl/>
        <w:suppressLineNumbers w:val="0"/>
        <w:jc w:val="left"/>
        <w:rPr>
          <w:highlight w:val="cyan"/>
        </w:rPr>
      </w:pPr>
    </w:p>
    <w:p w14:paraId="6BB9E2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b/>
          <w:bCs/>
          <w:i w:val="0"/>
          <w:iCs w:val="0"/>
          <w:caps w:val="0"/>
          <w:color w:val="1F1F1F"/>
          <w:spacing w:val="0"/>
          <w:sz w:val="21"/>
          <w:szCs w:val="21"/>
          <w:highlight w:val="cyan"/>
        </w:rPr>
      </w:pPr>
      <w:r>
        <w:rPr>
          <w:rFonts w:hint="default" w:ascii="Arial" w:hAnsi="Arial" w:eastAsia="Arial" w:cs="Arial"/>
          <w:b/>
          <w:bCs/>
          <w:i w:val="0"/>
          <w:iCs w:val="0"/>
          <w:caps w:val="0"/>
          <w:color w:val="1F1F1F"/>
          <w:spacing w:val="0"/>
          <w:kern w:val="0"/>
          <w:sz w:val="21"/>
          <w:szCs w:val="21"/>
          <w:highlight w:val="cyan"/>
          <w:shd w:val="clear" w:fill="FFFFFF"/>
          <w:lang w:val="en-US" w:eastAsia="zh-CN" w:bidi="ar"/>
        </w:rPr>
        <w:t>Review Time</w:t>
      </w:r>
    </w:p>
    <w:p w14:paraId="2E3E18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1F1F1F"/>
          <w:spacing w:val="0"/>
          <w:sz w:val="21"/>
          <w:szCs w:val="21"/>
          <w:highlight w:val="cyan"/>
        </w:rPr>
      </w:pPr>
      <w:r>
        <w:rPr>
          <w:rFonts w:hint="default" w:ascii="Arial" w:hAnsi="Arial" w:eastAsia="Arial" w:cs="Arial"/>
          <w:i w:val="0"/>
          <w:iCs w:val="0"/>
          <w:caps w:val="0"/>
          <w:color w:val="1F1F1F"/>
          <w:spacing w:val="0"/>
          <w:sz w:val="21"/>
          <w:szCs w:val="21"/>
          <w:highlight w:val="cyan"/>
          <w:shd w:val="clear" w:fill="FFFFFF"/>
        </w:rPr>
        <w:t>The median number of days from submission to the end of the editorial review process.</w:t>
      </w:r>
    </w:p>
    <w:p w14:paraId="5CD9E6C8">
      <w:pPr>
        <w:keepNext w:val="0"/>
        <w:keepLines w:val="0"/>
        <w:widowControl/>
        <w:suppressLineNumbers w:val="0"/>
        <w:jc w:val="left"/>
        <w:rPr>
          <w:highlight w:val="cyan"/>
        </w:rPr>
      </w:pPr>
    </w:p>
    <w:p w14:paraId="09ED6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b/>
          <w:bCs/>
          <w:i w:val="0"/>
          <w:iCs w:val="0"/>
          <w:caps w:val="0"/>
          <w:color w:val="1F1F1F"/>
          <w:spacing w:val="0"/>
          <w:sz w:val="21"/>
          <w:szCs w:val="21"/>
          <w:highlight w:val="cyan"/>
        </w:rPr>
      </w:pPr>
      <w:r>
        <w:rPr>
          <w:rFonts w:hint="default" w:ascii="Arial" w:hAnsi="Arial" w:eastAsia="Arial" w:cs="Arial"/>
          <w:b/>
          <w:bCs/>
          <w:i w:val="0"/>
          <w:iCs w:val="0"/>
          <w:caps w:val="0"/>
          <w:color w:val="1F1F1F"/>
          <w:spacing w:val="0"/>
          <w:kern w:val="0"/>
          <w:sz w:val="21"/>
          <w:szCs w:val="21"/>
          <w:highlight w:val="cyan"/>
          <w:shd w:val="clear" w:fill="FFFFFF"/>
          <w:lang w:val="en-US" w:eastAsia="zh-CN" w:bidi="ar"/>
        </w:rPr>
        <w:t>Acceptance to Publication</w:t>
      </w:r>
    </w:p>
    <w:p w14:paraId="7B88653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1F1F1F"/>
          <w:spacing w:val="0"/>
          <w:sz w:val="21"/>
          <w:szCs w:val="21"/>
          <w:highlight w:val="cyan"/>
        </w:rPr>
      </w:pPr>
      <w:r>
        <w:rPr>
          <w:rFonts w:hint="default" w:ascii="Arial" w:hAnsi="Arial" w:eastAsia="Arial" w:cs="Arial"/>
          <w:i w:val="0"/>
          <w:iCs w:val="0"/>
          <w:caps w:val="0"/>
          <w:color w:val="1F1F1F"/>
          <w:spacing w:val="0"/>
          <w:sz w:val="21"/>
          <w:szCs w:val="21"/>
          <w:highlight w:val="cyan"/>
          <w:shd w:val="clear" w:fill="FFFFFF"/>
        </w:rPr>
        <w:t>The median number of days from receipt of accept decision to first online publication for all papers accepted at the journal.</w:t>
      </w:r>
    </w:p>
    <w:p w14:paraId="6F53B204">
      <w:pPr>
        <w:keepNext w:val="0"/>
        <w:keepLines w:val="0"/>
        <w:widowControl/>
        <w:suppressLineNumbers w:val="0"/>
        <w:jc w:val="left"/>
        <w:rPr>
          <w:highlight w:val="cyan"/>
        </w:rPr>
      </w:pPr>
    </w:p>
    <w:p w14:paraId="05CAF7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b/>
          <w:bCs/>
          <w:i w:val="0"/>
          <w:iCs w:val="0"/>
          <w:caps w:val="0"/>
          <w:color w:val="1F1F1F"/>
          <w:spacing w:val="0"/>
          <w:sz w:val="21"/>
          <w:szCs w:val="21"/>
          <w:highlight w:val="cyan"/>
        </w:rPr>
      </w:pPr>
      <w:r>
        <w:rPr>
          <w:rFonts w:hint="default" w:ascii="Arial" w:hAnsi="Arial" w:eastAsia="Arial" w:cs="Arial"/>
          <w:b/>
          <w:bCs/>
          <w:i w:val="0"/>
          <w:iCs w:val="0"/>
          <w:caps w:val="0"/>
          <w:color w:val="1F1F1F"/>
          <w:spacing w:val="0"/>
          <w:kern w:val="0"/>
          <w:sz w:val="21"/>
          <w:szCs w:val="21"/>
          <w:highlight w:val="cyan"/>
          <w:shd w:val="clear" w:fill="FFFFFF"/>
          <w:lang w:val="en-US" w:eastAsia="zh-CN" w:bidi="ar"/>
        </w:rPr>
        <w:t>Submission to acceptance</w:t>
      </w:r>
    </w:p>
    <w:p w14:paraId="2817239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1F1F1F"/>
          <w:spacing w:val="0"/>
          <w:sz w:val="21"/>
          <w:szCs w:val="21"/>
          <w:highlight w:val="cyan"/>
        </w:rPr>
      </w:pPr>
      <w:r>
        <w:rPr>
          <w:rFonts w:hint="default" w:ascii="Arial" w:hAnsi="Arial" w:eastAsia="Arial" w:cs="Arial"/>
          <w:i w:val="0"/>
          <w:iCs w:val="0"/>
          <w:caps w:val="0"/>
          <w:color w:val="1F1F1F"/>
          <w:spacing w:val="0"/>
          <w:sz w:val="21"/>
          <w:szCs w:val="21"/>
          <w:highlight w:val="cyan"/>
          <w:shd w:val="clear" w:fill="FFFFFF"/>
        </w:rPr>
        <w:t>The median number of days from submission to receipt of accept decision for all papers accepted at the journal.</w:t>
      </w:r>
    </w:p>
    <w:p w14:paraId="72F41016">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cyan"/>
          <w:lang w:val="tr-TR"/>
        </w:rPr>
      </w:pPr>
    </w:p>
    <w:p w14:paraId="3C507A3F">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p>
    <w:p w14:paraId="038035AB">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p>
    <w:p w14:paraId="6DCC5B0B">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p>
    <w:p w14:paraId="2CF266AA">
      <w:pPr>
        <w:keepNext w:val="0"/>
        <w:keepLines w:val="0"/>
        <w:widowControl/>
        <w:numPr>
          <w:ilvl w:val="0"/>
          <w:numId w:val="13"/>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Access</w:t>
      </w:r>
    </w:p>
    <w:p w14:paraId="53180FF9">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The way(s) in which the journal and individual articles are available to readers and whether there are associated subscription or pay per view fees shall be stated.</w:t>
      </w:r>
    </w:p>
    <w:p w14:paraId="72678A9E">
      <w:pPr>
        <w:keepNext w:val="0"/>
        <w:keepLines w:val="0"/>
        <w:widowControl/>
        <w:numPr>
          <w:ilvl w:val="0"/>
          <w:numId w:val="14"/>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Archiving</w:t>
      </w:r>
    </w:p>
    <w:p w14:paraId="3466F1DB">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A journal’s plan for electronic backup and preservation of access to the journal content (for example, access to main articles via CLOCKSS or PubMed Central) in the event a journal is no longer published shall be clearly indicated.</w:t>
      </w:r>
    </w:p>
    <w:p w14:paraId="77FB23BE">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p>
    <w:p w14:paraId="1F790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var(--_99wljgj)" w:hAnsi="var(--_99wljgj)" w:eastAsia="var(--_99wljgj)" w:cs="var(--_99wljgj)"/>
        </w:rPr>
      </w:pPr>
      <w:r>
        <w:rPr>
          <w:rFonts w:hint="default" w:ascii="var(--_99wljgj)" w:hAnsi="var(--_99wljgj)" w:eastAsia="var(--_99wljgj)" w:cs="var(--_99wljgj)"/>
          <w:i w:val="0"/>
          <w:iCs w:val="0"/>
          <w:caps w:val="0"/>
          <w:color w:val="0C0F12"/>
          <w:spacing w:val="0"/>
        </w:rPr>
        <w:t>Digital archive</w:t>
      </w:r>
    </w:p>
    <w:p w14:paraId="4D0586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ans-serif" w:hAnsi="sans-serif" w:eastAsia="sans-serif" w:cs="sans-serif"/>
          <w:i w:val="0"/>
          <w:iCs w:val="0"/>
          <w:caps w:val="0"/>
          <w:color w:val="0C0F12"/>
          <w:spacing w:val="0"/>
          <w:sz w:val="24"/>
          <w:szCs w:val="24"/>
        </w:rPr>
        <w:t>Elsevier is committed to the permanent availability and preservation of scholarly research and to ensure accessibility by converting and upgrading digital file formats to comply with new technology standards. We work in partnership with organizations, as well as maintaining our own digital archive.</w:t>
      </w:r>
    </w:p>
    <w:p w14:paraId="1F283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var(--_99wljgj)" w:hAnsi="var(--_99wljgj)" w:eastAsia="var(--_99wljgj)" w:cs="var(--_99wljgj)"/>
        </w:rPr>
      </w:pPr>
      <w:r>
        <w:rPr>
          <w:rFonts w:hint="default" w:ascii="var(--_99wljgj)" w:hAnsi="var(--_99wljgj)" w:eastAsia="var(--_99wljgj)" w:cs="var(--_99wljgj)"/>
          <w:i w:val="0"/>
          <w:iCs w:val="0"/>
          <w:caps w:val="0"/>
          <w:color w:val="0C0F12"/>
          <w:spacing w:val="0"/>
        </w:rPr>
        <w:t>CLOCKSS</w:t>
      </w:r>
    </w:p>
    <w:p w14:paraId="5FB0C4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ans-serif" w:hAnsi="sans-serif" w:eastAsia="sans-serif" w:cs="sans-serif"/>
          <w:i w:val="0"/>
          <w:iCs w:val="0"/>
          <w:caps w:val="0"/>
          <w:spacing w:val="0"/>
          <w:sz w:val="24"/>
          <w:szCs w:val="24"/>
          <w:u w:val="none"/>
        </w:rPr>
        <w:fldChar w:fldCharType="begin"/>
      </w:r>
      <w:r>
        <w:rPr>
          <w:rFonts w:hint="default" w:ascii="sans-serif" w:hAnsi="sans-serif" w:eastAsia="sans-serif" w:cs="sans-serif"/>
          <w:i w:val="0"/>
          <w:iCs w:val="0"/>
          <w:caps w:val="0"/>
          <w:spacing w:val="0"/>
          <w:sz w:val="24"/>
          <w:szCs w:val="24"/>
          <w:u w:val="none"/>
        </w:rPr>
        <w:instrText xml:space="preserve"> HYPERLINK "https://clockss.org/about/" \t "https://www.elsevier.com/about/policies-and-standards/_blank" </w:instrText>
      </w:r>
      <w:r>
        <w:rPr>
          <w:rFonts w:hint="default" w:ascii="sans-serif" w:hAnsi="sans-serif" w:eastAsia="sans-serif" w:cs="sans-serif"/>
          <w:i w:val="0"/>
          <w:iCs w:val="0"/>
          <w:caps w:val="0"/>
          <w:spacing w:val="0"/>
          <w:sz w:val="24"/>
          <w:szCs w:val="24"/>
          <w:u w:val="none"/>
        </w:rPr>
        <w:fldChar w:fldCharType="separate"/>
      </w:r>
      <w:r>
        <w:rPr>
          <w:rStyle w:val="8"/>
          <w:rFonts w:hint="default" w:ascii="sans-serif" w:hAnsi="sans-serif" w:eastAsia="sans-serif" w:cs="sans-serif"/>
          <w:i w:val="0"/>
          <w:iCs w:val="0"/>
          <w:caps w:val="0"/>
          <w:spacing w:val="0"/>
          <w:sz w:val="24"/>
          <w:szCs w:val="24"/>
          <w:u w:val="none"/>
        </w:rPr>
        <w:t>CLOCKSSopens in new tab/window</w:t>
      </w:r>
      <w:r>
        <w:rPr>
          <w:rFonts w:hint="default" w:ascii="sans-serif" w:hAnsi="sans-serif" w:eastAsia="sans-serif" w:cs="sans-serif"/>
          <w:i w:val="0"/>
          <w:iCs w:val="0"/>
          <w:caps w:val="0"/>
          <w:spacing w:val="0"/>
          <w:sz w:val="24"/>
          <w:szCs w:val="24"/>
          <w:u w:val="none"/>
        </w:rPr>
        <w:fldChar w:fldCharType="end"/>
      </w:r>
      <w:r>
        <w:rPr>
          <w:rFonts w:hint="default" w:ascii="sans-serif" w:hAnsi="sans-serif" w:eastAsia="sans-serif" w:cs="sans-serif"/>
          <w:i w:val="0"/>
          <w:iCs w:val="0"/>
          <w:caps w:val="0"/>
          <w:color w:val="0C0F12"/>
          <w:spacing w:val="0"/>
          <w:sz w:val="24"/>
          <w:szCs w:val="24"/>
        </w:rPr>
        <w:t xml:space="preserve"> is non-for-profit dark archive which stores all ScienceDirect content. If content is no longer available from any participating publisher, then CLOCKSS is able to make this available as open access.</w:t>
      </w:r>
    </w:p>
    <w:p w14:paraId="7877647F">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p>
    <w:p w14:paraId="119BB77C">
      <w:pPr>
        <w:keepNext w:val="0"/>
        <w:keepLines w:val="0"/>
        <w:widowControl/>
        <w:numPr>
          <w:ilvl w:val="0"/>
          <w:numId w:val="15"/>
        </w:numPr>
        <w:suppressLineNumbers w:val="0"/>
        <w:spacing w:before="0" w:beforeAutospacing="1" w:after="0" w:afterAutospacing="1"/>
        <w:ind w:left="0" w:hanging="360"/>
        <w:rPr>
          <w:highlight w:val="green"/>
        </w:rPr>
      </w:pPr>
      <w:r>
        <w:rPr>
          <w:rFonts w:hint="default" w:ascii="Arial" w:hAnsi="Arial" w:eastAsia="Arial" w:cs="Arial"/>
          <w:i w:val="0"/>
          <w:iCs w:val="0"/>
          <w:caps w:val="0"/>
          <w:color w:val="333333"/>
          <w:spacing w:val="0"/>
          <w:sz w:val="21"/>
          <w:szCs w:val="21"/>
          <w:highlight w:val="green"/>
        </w:rPr>
        <w:t> Revenue sources</w:t>
      </w:r>
    </w:p>
    <w:p w14:paraId="5549F51B">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green"/>
        </w:rPr>
      </w:pPr>
      <w:r>
        <w:rPr>
          <w:rFonts w:hint="default" w:ascii="Arial" w:hAnsi="Arial" w:eastAsia="Arial" w:cs="Arial"/>
          <w:i w:val="0"/>
          <w:iCs w:val="0"/>
          <w:caps w:val="0"/>
          <w:color w:val="333333"/>
          <w:spacing w:val="0"/>
          <w:sz w:val="21"/>
          <w:szCs w:val="21"/>
          <w:highlight w:val="green"/>
        </w:rPr>
        <w:t>Business models or revenue sources (e.g., author fees, subscriptions, advertising, reprints, institutional support, and organizational support) shall be clearly stated or otherwise evident on the journal’s website. Publishing fees or waiver status should not influence editorial decision making.</w:t>
      </w:r>
    </w:p>
    <w:p w14:paraId="55E52608">
      <w:pPr>
        <w:keepNext w:val="0"/>
        <w:keepLines w:val="0"/>
        <w:widowControl/>
        <w:numPr>
          <w:ilvl w:val="0"/>
          <w:numId w:val="16"/>
        </w:numPr>
        <w:suppressLineNumbers w:val="0"/>
        <w:spacing w:before="0" w:beforeAutospacing="1" w:after="0" w:afterAutospacing="1"/>
        <w:ind w:left="0" w:hanging="360"/>
        <w:rPr>
          <w:highlight w:val="magenta"/>
        </w:rPr>
      </w:pPr>
      <w:r>
        <w:rPr>
          <w:rFonts w:hint="default" w:ascii="Arial" w:hAnsi="Arial" w:eastAsia="Arial" w:cs="Arial"/>
          <w:i w:val="0"/>
          <w:iCs w:val="0"/>
          <w:caps w:val="0"/>
          <w:color w:val="333333"/>
          <w:spacing w:val="0"/>
          <w:sz w:val="21"/>
          <w:szCs w:val="21"/>
        </w:rPr>
        <w:t> </w:t>
      </w:r>
      <w:r>
        <w:rPr>
          <w:rFonts w:hint="default" w:ascii="Arial" w:hAnsi="Arial" w:eastAsia="Arial" w:cs="Arial"/>
          <w:i w:val="0"/>
          <w:iCs w:val="0"/>
          <w:caps w:val="0"/>
          <w:color w:val="333333"/>
          <w:spacing w:val="0"/>
          <w:sz w:val="21"/>
          <w:szCs w:val="21"/>
          <w:highlight w:val="magenta"/>
        </w:rPr>
        <w:t>Advertising</w:t>
      </w:r>
    </w:p>
    <w:p w14:paraId="1924E9A8">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Journals shall state their advertising policy if relevant, including what types of adverts will be considered, who makes decisions regarding accepting adverts and whether they are linked to content or reader behaviour (online only) or are displayed at random. Advertisements should not be related in any way to editorial decision making and shall be kept separate from the published content.</w:t>
      </w:r>
    </w:p>
    <w:p w14:paraId="4F3D19C3">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p>
    <w:p w14:paraId="3FAF78ED">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lang w:val="tr-TR"/>
        </w:rPr>
      </w:pPr>
      <w:r>
        <w:rPr>
          <w:rFonts w:hint="default" w:ascii="Arial" w:hAnsi="Arial" w:eastAsia="Arial" w:cs="Arial"/>
          <w:i w:val="0"/>
          <w:iCs w:val="0"/>
          <w:color w:val="333333"/>
          <w:spacing w:val="0"/>
          <w:sz w:val="21"/>
          <w:szCs w:val="21"/>
          <w:highlight w:val="magenta"/>
          <w:lang w:val="tr-TR"/>
        </w:rPr>
        <w:t>Ö</w:t>
      </w:r>
      <w:r>
        <w:rPr>
          <w:rFonts w:hint="default" w:ascii="Arial" w:hAnsi="Arial" w:eastAsia="Arial" w:cs="Arial"/>
          <w:i w:val="0"/>
          <w:iCs w:val="0"/>
          <w:caps w:val="0"/>
          <w:color w:val="333333"/>
          <w:spacing w:val="0"/>
          <w:sz w:val="21"/>
          <w:szCs w:val="21"/>
          <w:highlight w:val="magenta"/>
          <w:lang w:val="tr-TR"/>
        </w:rPr>
        <w:t>rnek</w:t>
      </w:r>
    </w:p>
    <w:p w14:paraId="7E16802A">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lang w:val="tr-TR"/>
        </w:rPr>
      </w:pPr>
      <w:r>
        <w:rPr>
          <w:rFonts w:hint="default" w:ascii="Arial" w:hAnsi="Arial" w:eastAsia="Arial"/>
          <w:i w:val="0"/>
          <w:iCs w:val="0"/>
          <w:caps w:val="0"/>
          <w:color w:val="333333"/>
          <w:spacing w:val="0"/>
          <w:sz w:val="21"/>
          <w:szCs w:val="21"/>
          <w:highlight w:val="magenta"/>
          <w:lang w:val="tr-TR"/>
        </w:rPr>
        <w:t>https://ijbeg.com/index.php/1/ADVERTISING</w:t>
      </w:r>
      <w:bookmarkStart w:id="0" w:name="_GoBack"/>
      <w:bookmarkEnd w:id="0"/>
    </w:p>
    <w:p w14:paraId="5671B701">
      <w:pPr>
        <w:keepNext w:val="0"/>
        <w:keepLines w:val="0"/>
        <w:widowControl/>
        <w:numPr>
          <w:ilvl w:val="0"/>
          <w:numId w:val="17"/>
        </w:numPr>
        <w:suppressLineNumbers w:val="0"/>
        <w:spacing w:before="0" w:beforeAutospacing="1" w:after="0" w:afterAutospacing="1"/>
        <w:ind w:left="0" w:hanging="360"/>
        <w:rPr>
          <w:highlight w:val="magenta"/>
        </w:rPr>
      </w:pPr>
      <w:r>
        <w:rPr>
          <w:rFonts w:hint="default" w:ascii="Arial" w:hAnsi="Arial" w:eastAsia="Arial" w:cs="Arial"/>
          <w:i w:val="0"/>
          <w:iCs w:val="0"/>
          <w:caps w:val="0"/>
          <w:color w:val="333333"/>
          <w:spacing w:val="0"/>
          <w:sz w:val="21"/>
          <w:szCs w:val="21"/>
          <w:highlight w:val="magenta"/>
        </w:rPr>
        <w:t> Direct marketing</w:t>
      </w:r>
    </w:p>
    <w:p w14:paraId="105F785F">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highlight w:val="magenta"/>
        </w:rPr>
      </w:pPr>
      <w:r>
        <w:rPr>
          <w:rFonts w:hint="default" w:ascii="Arial" w:hAnsi="Arial" w:eastAsia="Arial" w:cs="Arial"/>
          <w:i w:val="0"/>
          <w:iCs w:val="0"/>
          <w:caps w:val="0"/>
          <w:color w:val="333333"/>
          <w:spacing w:val="0"/>
          <w:sz w:val="21"/>
          <w:szCs w:val="21"/>
          <w:highlight w:val="magenta"/>
        </w:rPr>
        <w:t>Any direct marketing activities, including solicitation of manuscripts that are conducted on behalf of the journal, shall be appropriate, well targeted, and unobtrusive. Information provided about the publisher or journal is expected to be truthful and not misleading for readers or authors.</w:t>
      </w:r>
    </w:p>
    <w:p w14:paraId="6A0CAD65">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b/>
          <w:bCs/>
          <w:i w:val="0"/>
          <w:iCs w:val="0"/>
          <w:caps w:val="0"/>
          <w:color w:val="333333"/>
          <w:spacing w:val="0"/>
          <w:sz w:val="21"/>
          <w:szCs w:val="21"/>
        </w:rPr>
        <w:t>Please note that we will only consider your submission if we have verified that </w:t>
      </w:r>
      <w:r>
        <w:rPr>
          <w:rStyle w:val="7"/>
          <w:rFonts w:hint="default" w:ascii="Arial" w:hAnsi="Arial" w:eastAsia="Arial" w:cs="Arial"/>
          <w:b/>
          <w:bCs/>
          <w:i w:val="0"/>
          <w:iCs w:val="0"/>
          <w:caps w:val="0"/>
          <w:color w:val="333333"/>
          <w:spacing w:val="0"/>
          <w:sz w:val="21"/>
          <w:szCs w:val="21"/>
        </w:rPr>
        <w:t>you are the editor</w:t>
      </w:r>
      <w:r>
        <w:rPr>
          <w:rFonts w:hint="default" w:ascii="Arial" w:hAnsi="Arial" w:eastAsia="Arial" w:cs="Arial"/>
          <w:b/>
          <w:bCs/>
          <w:i w:val="0"/>
          <w:iCs w:val="0"/>
          <w:caps w:val="0"/>
          <w:color w:val="333333"/>
          <w:spacing w:val="0"/>
          <w:sz w:val="21"/>
          <w:szCs w:val="21"/>
        </w:rPr>
        <w:t> or </w:t>
      </w:r>
      <w:r>
        <w:rPr>
          <w:rStyle w:val="7"/>
          <w:rFonts w:hint="default" w:ascii="Arial" w:hAnsi="Arial" w:eastAsia="Arial" w:cs="Arial"/>
          <w:b/>
          <w:bCs/>
          <w:i w:val="0"/>
          <w:iCs w:val="0"/>
          <w:caps w:val="0"/>
          <w:color w:val="333333"/>
          <w:spacing w:val="0"/>
          <w:sz w:val="21"/>
          <w:szCs w:val="21"/>
        </w:rPr>
        <w:t>you are on the editorial board</w:t>
      </w:r>
      <w:r>
        <w:rPr>
          <w:rFonts w:hint="default" w:ascii="Arial" w:hAnsi="Arial" w:eastAsia="Arial" w:cs="Arial"/>
          <w:b/>
          <w:bCs/>
          <w:i w:val="0"/>
          <w:iCs w:val="0"/>
          <w:caps w:val="0"/>
          <w:color w:val="333333"/>
          <w:spacing w:val="0"/>
          <w:sz w:val="21"/>
          <w:szCs w:val="21"/>
        </w:rPr>
        <w:t> or </w:t>
      </w:r>
      <w:r>
        <w:rPr>
          <w:rStyle w:val="7"/>
          <w:rFonts w:hint="default" w:ascii="Arial" w:hAnsi="Arial" w:eastAsia="Arial" w:cs="Arial"/>
          <w:b/>
          <w:bCs/>
          <w:i w:val="0"/>
          <w:iCs w:val="0"/>
          <w:caps w:val="0"/>
          <w:color w:val="333333"/>
          <w:spacing w:val="0"/>
          <w:sz w:val="21"/>
          <w:szCs w:val="21"/>
        </w:rPr>
        <w:t>that you are the publisher of this publication.</w:t>
      </w:r>
      <w:r>
        <w:rPr>
          <w:rFonts w:hint="default" w:ascii="Arial" w:hAnsi="Arial" w:eastAsia="Arial" w:cs="Arial"/>
          <w:b/>
          <w:bCs/>
          <w:i w:val="0"/>
          <w:iCs w:val="0"/>
          <w:caps w:val="0"/>
          <w:color w:val="333333"/>
          <w:spacing w:val="0"/>
          <w:sz w:val="21"/>
          <w:szCs w:val="21"/>
        </w:rPr>
        <w:t> The submitted information will be used for title evaluation and communication about the evaluation outcome.</w:t>
      </w:r>
      <w:r>
        <w:rPr>
          <w:rStyle w:val="7"/>
          <w:rFonts w:hint="default" w:ascii="Arial" w:hAnsi="Arial" w:eastAsia="Arial" w:cs="Arial"/>
          <w:b/>
          <w:bCs/>
          <w:i w:val="0"/>
          <w:iCs w:val="0"/>
          <w:caps w:val="0"/>
          <w:color w:val="333333"/>
          <w:spacing w:val="0"/>
          <w:sz w:val="21"/>
          <w:szCs w:val="21"/>
        </w:rPr>
        <w:t> </w:t>
      </w:r>
      <w:r>
        <w:rPr>
          <w:rFonts w:hint="default" w:ascii="Arial" w:hAnsi="Arial" w:eastAsia="Arial" w:cs="Arial"/>
          <w:b/>
          <w:bCs/>
          <w:i w:val="0"/>
          <w:iCs w:val="0"/>
          <w:caps w:val="0"/>
          <w:color w:val="333333"/>
          <w:spacing w:val="0"/>
          <w:sz w:val="21"/>
          <w:szCs w:val="21"/>
        </w:rPr>
        <w:t>For the Elsevier Privacy Policy, please visit: www.elsevier.com/legal/privacy-policy</w:t>
      </w:r>
    </w:p>
    <w:p w14:paraId="6FFD5595">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t>ALERT: To ensure you receive communication from the Ei Title Suggestion System or the Ei Title Suggestion mailbox, </w:t>
      </w:r>
      <w:r>
        <w:rPr>
          <w:rFonts w:hint="default" w:ascii="Arial" w:hAnsi="Arial" w:eastAsia="Arial" w:cs="Arial"/>
          <w:b/>
          <w:bCs/>
          <w:i w:val="0"/>
          <w:iCs w:val="0"/>
          <w:caps w:val="0"/>
          <w:color w:val="333333"/>
          <w:spacing w:val="0"/>
          <w:sz w:val="21"/>
          <w:szCs w:val="21"/>
        </w:rPr>
        <w:t>please add titlesuggestion@engineeringvillage.com to your email's safe senders list.</w:t>
      </w:r>
    </w:p>
    <w:p w14:paraId="724DAE36">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i w:val="0"/>
          <w:iCs w:val="0"/>
          <w:caps w:val="0"/>
          <w:color w:val="333333"/>
          <w:spacing w:val="0"/>
          <w:sz w:val="21"/>
          <w:szCs w:val="21"/>
        </w:rPr>
        <w:t>Additionally, if emails from titlesuggestion@engineeringvillage.com appear in your spam or junk folder, make sure to tell your email software that it is not spam by hitting the ‘not spam’ or ‘not junk’ button. This will ensure your receipt of communication from titlesuggestion@engineeringvillage.com regarding your submission.</w:t>
      </w:r>
    </w:p>
    <w:p w14:paraId="7ABB2AFA">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b/>
          <w:bCs/>
          <w:i w:val="0"/>
          <w:iCs w:val="0"/>
          <w:caps w:val="0"/>
          <w:color w:val="333333"/>
          <w:spacing w:val="0"/>
          <w:sz w:val="21"/>
          <w:szCs w:val="21"/>
        </w:rPr>
        <w:t>Agreement</w:t>
      </w:r>
      <w:r>
        <w:rPr>
          <w:rFonts w:hint="default" w:ascii="Arial" w:hAnsi="Arial" w:eastAsia="Arial" w:cs="Arial"/>
          <w:i w:val="0"/>
          <w:iCs w:val="0"/>
          <w:caps w:val="0"/>
          <w:color w:val="333333"/>
          <w:spacing w:val="0"/>
          <w:sz w:val="21"/>
          <w:szCs w:val="21"/>
        </w:rPr>
        <w:t>:</w:t>
      </w:r>
    </w:p>
    <w:p w14:paraId="54E4570E">
      <w:pPr>
        <w:pStyle w:val="9"/>
        <w:keepNext w:val="0"/>
        <w:keepLines w:val="0"/>
        <w:widowControl/>
        <w:suppressLineNumbers w:val="0"/>
        <w:spacing w:before="0" w:beforeAutospacing="0" w:after="150" w:afterAutospacing="0"/>
        <w:ind w:left="0" w:right="0" w:firstLine="0"/>
        <w:rPr>
          <w:rFonts w:hint="default" w:ascii="Arial" w:hAnsi="Arial" w:eastAsia="Arial" w:cs="Arial"/>
          <w:i w:val="0"/>
          <w:iCs w:val="0"/>
          <w:caps w:val="0"/>
          <w:color w:val="333333"/>
          <w:spacing w:val="0"/>
          <w:sz w:val="21"/>
          <w:szCs w:val="21"/>
        </w:rPr>
      </w:pPr>
      <w:r>
        <w:rPr>
          <w:rFonts w:hint="default" w:ascii="Arial" w:hAnsi="Arial" w:eastAsia="Arial" w:cs="Arial"/>
          <w:b/>
          <w:bCs/>
          <w:i w:val="0"/>
          <w:iCs w:val="0"/>
          <w:caps w:val="0"/>
          <w:color w:val="333333"/>
          <w:spacing w:val="0"/>
          <w:sz w:val="21"/>
          <w:szCs w:val="21"/>
        </w:rPr>
        <w:t>I am aware of the general guidelines that are used to evaluate and select titles for Ei Compendex and GEOBASE on Engineering Village.</w:t>
      </w:r>
    </w:p>
    <w:p w14:paraId="50E8A01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_99wljgj)">
    <w:altName w:val="Liberation Mono"/>
    <w:panose1 w:val="00000000000000000000"/>
    <w:charset w:val="00"/>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9A2F8"/>
    <w:multiLevelType w:val="multilevel"/>
    <w:tmpl w:val="9629A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9B554CA"/>
    <w:multiLevelType w:val="multilevel"/>
    <w:tmpl w:val="99B55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A5C5BC3"/>
    <w:multiLevelType w:val="multilevel"/>
    <w:tmpl w:val="9A5C5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CE8D81D"/>
    <w:multiLevelType w:val="multilevel"/>
    <w:tmpl w:val="ACE8D8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DC9E55B"/>
    <w:multiLevelType w:val="multilevel"/>
    <w:tmpl w:val="ADC9E5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8DC186"/>
    <w:multiLevelType w:val="multilevel"/>
    <w:tmpl w:val="B98DC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0512318"/>
    <w:multiLevelType w:val="multilevel"/>
    <w:tmpl w:val="C0512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2498B42"/>
    <w:multiLevelType w:val="multilevel"/>
    <w:tmpl w:val="F2498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786E06F"/>
    <w:multiLevelType w:val="multilevel"/>
    <w:tmpl w:val="0786E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AA05731"/>
    <w:multiLevelType w:val="multilevel"/>
    <w:tmpl w:val="0AA05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AE604B1"/>
    <w:multiLevelType w:val="singleLevel"/>
    <w:tmpl w:val="1AE604B1"/>
    <w:lvl w:ilvl="0" w:tentative="0">
      <w:start w:val="1"/>
      <w:numFmt w:val="lowerRoman"/>
      <w:suff w:val="space"/>
      <w:lvlText w:val="%1)"/>
      <w:lvlJc w:val="left"/>
    </w:lvl>
  </w:abstractNum>
  <w:abstractNum w:abstractNumId="11">
    <w:nsid w:val="267EB174"/>
    <w:multiLevelType w:val="multilevel"/>
    <w:tmpl w:val="267EB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7C55698"/>
    <w:multiLevelType w:val="multilevel"/>
    <w:tmpl w:val="27C55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D65EDA3"/>
    <w:multiLevelType w:val="multilevel"/>
    <w:tmpl w:val="3D65E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30CC763"/>
    <w:multiLevelType w:val="multilevel"/>
    <w:tmpl w:val="630CC7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521290B"/>
    <w:multiLevelType w:val="multilevel"/>
    <w:tmpl w:val="65212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7DF0DFA8"/>
    <w:multiLevelType w:val="multilevel"/>
    <w:tmpl w:val="7DF0DF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4"/>
  </w:num>
  <w:num w:numId="2">
    <w:abstractNumId w:val="1"/>
  </w:num>
  <w:num w:numId="3">
    <w:abstractNumId w:val="15"/>
  </w:num>
  <w:num w:numId="4">
    <w:abstractNumId w:val="5"/>
  </w:num>
  <w:num w:numId="5">
    <w:abstractNumId w:val="4"/>
  </w:num>
  <w:num w:numId="6">
    <w:abstractNumId w:val="6"/>
  </w:num>
  <w:num w:numId="7">
    <w:abstractNumId w:val="7"/>
  </w:num>
  <w:num w:numId="8">
    <w:abstractNumId w:val="11"/>
  </w:num>
  <w:num w:numId="9">
    <w:abstractNumId w:val="2"/>
  </w:num>
  <w:num w:numId="10">
    <w:abstractNumId w:val="9"/>
  </w:num>
  <w:num w:numId="11">
    <w:abstractNumId w:val="10"/>
  </w:num>
  <w:num w:numId="12">
    <w:abstractNumId w:val="3"/>
  </w:num>
  <w:num w:numId="13">
    <w:abstractNumId w:val="13"/>
  </w:num>
  <w:num w:numId="14">
    <w:abstractNumId w:val="16"/>
  </w:num>
  <w:num w:numId="15">
    <w:abstractNumId w:val="0"/>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146D6"/>
    <w:rsid w:val="0B2D3242"/>
    <w:rsid w:val="244B0C98"/>
    <w:rsid w:val="4CED0701"/>
    <w:rsid w:val="695146D6"/>
    <w:rsid w:val="6A4F3879"/>
    <w:rsid w:val="7A8B1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2024-08-21T16:39:00Z</dcterms:created>
  <dc:creator>BBBB</dc:creator>
  <cp:lastModifiedBy>Yakup Kutlu</cp:lastModifiedBy>
  <dcterms:modified xsi:type="dcterms:W3CDTF">2024-08-30T12:14:34Z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3AD65737C9E446549F78DB58BB9AC9ED_13</vt:lpwstr>
  </property>
</Properties>
</file>