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line="276" w:lineRule="auto"/>
        <w:rPr>
          <w:b w:val="1"/>
          <w:color w:val="ff0000"/>
          <w:sz w:val="21"/>
          <w:szCs w:val="21"/>
        </w:rPr>
      </w:pPr>
      <w:r w:rsidDel="00000000" w:rsidR="00000000" w:rsidRPr="00000000">
        <w:rPr>
          <w:color w:val="ff0000"/>
          <w:sz w:val="32"/>
          <w:szCs w:val="32"/>
          <w:rtl w:val="0"/>
        </w:rPr>
        <w:t xml:space="preserve">Title: Insights in non-Coding RNA Regulation in Response to </w:t>
      </w:r>
      <w:r w:rsidDel="00000000" w:rsidR="00000000" w:rsidRPr="00000000">
        <w:rPr>
          <w:color w:val="ff0000"/>
          <w:sz w:val="32"/>
          <w:szCs w:val="32"/>
          <w:rtl w:val="0"/>
        </w:rPr>
        <w:t xml:space="preserve">Hypoxia in IPF Fibroblasts</w:t>
      </w:r>
      <w:r w:rsidDel="00000000" w:rsidR="00000000" w:rsidRPr="00000000">
        <w:rPr>
          <w:rtl w:val="0"/>
        </w:rPr>
      </w:r>
    </w:p>
    <w:p w:rsidR="00000000" w:rsidDel="00000000" w:rsidP="00000000" w:rsidRDefault="00000000" w:rsidRPr="00000000" w14:paraId="00000003">
      <w:pPr>
        <w:spacing w:after="120" w:before="240" w:line="276" w:lineRule="auto"/>
        <w:jc w:val="both"/>
        <w:rPr>
          <w:color w:val="000000"/>
          <w:sz w:val="22"/>
          <w:szCs w:val="22"/>
        </w:rPr>
      </w:pPr>
      <w:r w:rsidDel="00000000" w:rsidR="00000000" w:rsidRPr="00000000">
        <w:rPr>
          <w:color w:val="000000"/>
          <w:sz w:val="22"/>
          <w:szCs w:val="22"/>
          <w:rtl w:val="0"/>
        </w:rPr>
        <w:t xml:space="preserve">Yair Romero*1, Yalbi I. Balderas-Martínez*2, Jhonny Rodríguez López*2,</w:t>
      </w:r>
      <w:r w:rsidDel="00000000" w:rsidR="00000000" w:rsidRPr="00000000">
        <w:rPr>
          <w:color w:val="000000"/>
          <w:sz w:val="22"/>
          <w:szCs w:val="22"/>
          <w:rtl w:val="0"/>
        </w:rPr>
        <w:t xml:space="preserve"> </w:t>
      </w:r>
      <w:r w:rsidDel="00000000" w:rsidR="00000000" w:rsidRPr="00000000">
        <w:rPr>
          <w:sz w:val="22"/>
          <w:szCs w:val="22"/>
          <w:rtl w:val="0"/>
        </w:rPr>
        <w:t xml:space="preserve">Manuel Castillejos-López, </w:t>
      </w:r>
      <w:r w:rsidDel="00000000" w:rsidR="00000000" w:rsidRPr="00000000">
        <w:rPr>
          <w:color w:val="000000"/>
          <w:sz w:val="22"/>
          <w:szCs w:val="22"/>
          <w:rtl w:val="0"/>
        </w:rPr>
        <w:t xml:space="preserve">Rafael Velázquez-Cruz, Joel Armando Vázquez-Pérez, Luz María Torres-Espíndola, Nelly Patiño, Ángel Camarena, Edgar Flores-Soto, Ángeles Carlos-Reyes, Carina Becerril, David Martínez-Briseño, Heriberto Prado-Garcia, Noé Alvarado-Vásquez, Víctor Ruiz, Arnoldo Aquino-Gálvez</w:t>
      </w:r>
      <w:r w:rsidDel="00000000" w:rsidR="00000000" w:rsidRPr="00000000">
        <w:rPr>
          <w:sz w:val="22"/>
          <w:szCs w:val="22"/>
          <w:vertAlign w:val="superscript"/>
          <w:rtl w:val="0"/>
        </w:rPr>
        <w:t xml:space="preserve">§</w:t>
      </w:r>
      <w:r w:rsidDel="00000000" w:rsidR="00000000" w:rsidRPr="00000000">
        <w:rPr>
          <w:color w:val="000000"/>
          <w:sz w:val="22"/>
          <w:szCs w:val="22"/>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sz w:val="16"/>
          <w:szCs w:val="16"/>
          <w:rtl w:val="0"/>
        </w:rPr>
        <w:t xml:space="preserve">1 </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Facultad de Ciencias, Universidad Nacional Autónoma de México (UNAM), Ciudad de México 04510, México.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sz w:val="16"/>
          <w:szCs w:val="16"/>
          <w:rtl w:val="0"/>
        </w:rPr>
        <w:t xml:space="preserve">2 </w:t>
      </w: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Laboratorio de Biología Computacional, Instituto Nacional de Enfermedades Respiratorias Ismael Cosío Villegas (INER), Ciudad de México 14080, México.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Departamento de Epidemiología y Estadística, Instituto Nacional de Enfermedades Respiratorias Ismael Cosío Villegas (INER), Ciudad de México 14080, México.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Laboratorio de Genómica del Metabolismo Óseo, Instituto Nacional de Medicina Genómica (INMEGEN), Ciudad de México 14610, México.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Laboratorio de Biología Molecular de Enfermedades Emergentes y EPOC, Instituto Nacional de Enfermedades Respiratorias Ismael Cosío Villegas (INER), Ciudad de México 14080, México.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Laboratorio de Farmacología, Instituto Nacional de Pediatría (INP), Ciudad de México 04530, México.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Unidad de Citometría de Flujo (UCiF), Instituto Nacional de Medicina Genómica (INMEGEN), Ciudad de México 14610, México.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Laboratorio de HLA, Instituto Nacional de Enfermedades Respiratorias Ismael Cosío Villegas (INER), Ciudad de México 14080, México.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Laboratorio de Onco-Inmunobiología, Departamento de Enfermedades Crónico-Degenerativas, Instituto Nacional de Enfermedades Respiratorias Ismael Cosío Villegas (INER), Ciudad de México 14080, México.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Laboratorio de Biología Celular, Departamento de Fibrosis Pulmonar, Instituto Nacional de Enfermedades Respiratorias Ismael Cosío Villegas (INER), Ciudad de México 14080, México.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06" w:right="0" w:hanging="198.0000000000001"/>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000000"/>
          <w:sz w:val="16"/>
          <w:szCs w:val="16"/>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16"/>
          <w:szCs w:val="16"/>
          <w:u w:val="none"/>
          <w:shd w:fill="auto" w:val="clear"/>
          <w:vertAlign w:val="baseline"/>
          <w:rtl w:val="0"/>
        </w:rPr>
        <w:t xml:space="preserve">Laboratorio de Biología Molecular, Departamento de Fibrosis Pulmonar, Instituto Nacional de Enfermedades Respiratorias Ismael Cosío Villegas (INER), Ciudad de México 14080, México.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13">
      <w:pPr>
        <w:spacing w:before="240" w:line="276" w:lineRule="auto"/>
        <w:jc w:val="both"/>
        <w:rPr>
          <w:color w:val="000000"/>
          <w:sz w:val="22"/>
          <w:szCs w:val="22"/>
        </w:rPr>
      </w:pPr>
      <w:r w:rsidDel="00000000" w:rsidR="00000000" w:rsidRPr="00000000">
        <w:rPr>
          <w:color w:val="000000"/>
          <w:sz w:val="22"/>
          <w:szCs w:val="22"/>
          <w:rtl w:val="0"/>
        </w:rPr>
        <w:t xml:space="preserve">* </w:t>
      </w:r>
      <w:r w:rsidDel="00000000" w:rsidR="00000000" w:rsidRPr="00000000">
        <w:rPr>
          <w:color w:val="000000"/>
          <w:sz w:val="22"/>
          <w:szCs w:val="22"/>
          <w:rtl w:val="0"/>
        </w:rPr>
        <w:t xml:space="preserve">These aut</w:t>
      </w:r>
      <w:r w:rsidDel="00000000" w:rsidR="00000000" w:rsidRPr="00000000">
        <w:rPr>
          <w:sz w:val="22"/>
          <w:szCs w:val="22"/>
          <w:rtl w:val="0"/>
        </w:rPr>
        <w:t xml:space="preserve">hors share the first authorship.</w:t>
      </w:r>
      <w:r w:rsidDel="00000000" w:rsidR="00000000" w:rsidRPr="00000000">
        <w:rPr>
          <w:rtl w:val="0"/>
        </w:rPr>
      </w:r>
    </w:p>
    <w:p w:rsidR="00000000" w:rsidDel="00000000" w:rsidP="00000000" w:rsidRDefault="00000000" w:rsidRPr="00000000" w14:paraId="00000014">
      <w:pPr>
        <w:spacing w:before="240" w:line="276" w:lineRule="auto"/>
        <w:jc w:val="both"/>
        <w:rPr>
          <w:color w:val="000000"/>
        </w:rPr>
      </w:pPr>
      <w:r w:rsidDel="00000000" w:rsidR="00000000" w:rsidRPr="00000000">
        <w:rPr>
          <w:vertAlign w:val="superscript"/>
          <w:rtl w:val="0"/>
        </w:rPr>
        <w:t xml:space="preserve">§</w:t>
      </w:r>
      <w:r w:rsidDel="00000000" w:rsidR="00000000" w:rsidRPr="00000000">
        <w:rPr>
          <w:color w:val="000000"/>
          <w:sz w:val="22"/>
          <w:szCs w:val="22"/>
          <w:rtl w:val="0"/>
        </w:rPr>
        <w:t xml:space="preserve"> </w:t>
      </w:r>
      <w:r w:rsidDel="00000000" w:rsidR="00000000" w:rsidRPr="00000000">
        <w:rPr>
          <w:color w:val="000000"/>
          <w:rtl w:val="0"/>
        </w:rPr>
        <w:t xml:space="preserve">Correspondence should be addressed to: </w:t>
      </w:r>
    </w:p>
    <w:p w:rsidR="00000000" w:rsidDel="00000000" w:rsidP="00000000" w:rsidRDefault="00000000" w:rsidRPr="00000000" w14:paraId="00000015">
      <w:pPr>
        <w:spacing w:before="240" w:line="276" w:lineRule="auto"/>
        <w:jc w:val="both"/>
        <w:rPr>
          <w:color w:val="000000"/>
          <w:sz w:val="25"/>
          <w:szCs w:val="25"/>
          <w:highlight w:val="white"/>
        </w:rPr>
      </w:pPr>
      <w:r w:rsidDel="00000000" w:rsidR="00000000" w:rsidRPr="00000000">
        <w:rPr>
          <w:rtl w:val="0"/>
        </w:rPr>
      </w:r>
    </w:p>
    <w:p w:rsidR="00000000" w:rsidDel="00000000" w:rsidP="00000000" w:rsidRDefault="00000000" w:rsidRPr="00000000" w14:paraId="00000016">
      <w:pPr>
        <w:spacing w:line="276" w:lineRule="auto"/>
        <w:rPr>
          <w:color w:val="000000"/>
          <w:sz w:val="25"/>
          <w:szCs w:val="25"/>
          <w:highlight w:val="white"/>
        </w:rPr>
      </w:pPr>
      <w:r w:rsidDel="00000000" w:rsidR="00000000" w:rsidRPr="00000000">
        <w:rPr>
          <w:b w:val="1"/>
          <w:color w:val="000000"/>
          <w:rtl w:val="0"/>
        </w:rPr>
        <w:t xml:space="preserve">Running title: </w:t>
      </w:r>
      <w:r w:rsidDel="00000000" w:rsidR="00000000" w:rsidRPr="00000000">
        <w:rPr>
          <w:rtl w:val="0"/>
        </w:rPr>
        <w:t xml:space="preserve">Non-coding RNAs in IPF fibroblast under hypoxia</w:t>
      </w:r>
      <w:r w:rsidDel="00000000" w:rsidR="00000000" w:rsidRPr="00000000">
        <w:rPr>
          <w:rtl w:val="0"/>
        </w:rPr>
      </w:r>
    </w:p>
    <w:p w:rsidR="00000000" w:rsidDel="00000000" w:rsidP="00000000" w:rsidRDefault="00000000" w:rsidRPr="00000000" w14:paraId="00000017">
      <w:pPr>
        <w:spacing w:after="120" w:before="240" w:line="276" w:lineRule="auto"/>
        <w:jc w:val="both"/>
        <w:rPr>
          <w:color w:val="000000"/>
        </w:rPr>
      </w:pPr>
      <w:r w:rsidDel="00000000" w:rsidR="00000000" w:rsidRPr="00000000">
        <w:rPr>
          <w:b w:val="1"/>
          <w:color w:val="000000"/>
          <w:rtl w:val="0"/>
        </w:rPr>
        <w:t xml:space="preserve">Keywords</w:t>
      </w:r>
      <w:r w:rsidDel="00000000" w:rsidR="00000000" w:rsidRPr="00000000">
        <w:rPr>
          <w:color w:val="000000"/>
          <w:rtl w:val="0"/>
        </w:rPr>
        <w:t xml:space="preserve">: </w:t>
      </w:r>
      <w:r w:rsidDel="00000000" w:rsidR="00000000" w:rsidRPr="00000000">
        <w:rPr>
          <w:rtl w:val="0"/>
        </w:rPr>
        <w:t xml:space="preserve">Non-coding RNA; hypoxia; idiopathic pulmonary fibrosis</w:t>
      </w:r>
      <w:r w:rsidDel="00000000" w:rsidR="00000000" w:rsidRPr="00000000">
        <w:rPr>
          <w:color w:val="000000"/>
          <w:rtl w:val="0"/>
        </w:rPr>
        <w:t xml:space="preserve">.</w:t>
      </w:r>
    </w:p>
    <w:p w:rsidR="00000000" w:rsidDel="00000000" w:rsidP="00000000" w:rsidRDefault="00000000" w:rsidRPr="00000000" w14:paraId="0000001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tl w:val="0"/>
        </w:rPr>
        <w:t xml:space="preserve">Non-coding RNAs have diverse essential functions in gene expression regulation and other cellular processes. Extensive research on non-coding RNAs has yielded valuable insights into the pathogenesis of idiopathic pulmonary fibrosis (IPF). Previous studies have revealed that the aberrant expression of ncRNAs, particularly microRNAs, implies their potential involvement in the progression and development of the disease. However, due to their recent discovery, many of these ncRNAs remain largely unexplored, leaving a significant knowledge gap that requires further investigation. </w:t>
      </w:r>
      <w:r w:rsidDel="00000000" w:rsidR="00000000" w:rsidRPr="00000000">
        <w:rPr>
          <w:rtl w:val="0"/>
        </w:rPr>
        <w:t xml:space="preserve">The aim of this study is to explore the influence of hypoxia on the expression of microRNAs and long non-coding RNAs (lncRNAs) in lung fibroblasts from healthy individuals by contrasting them with those from patients with Idiopathic Pulmonary Fibrosis (IPF) through interactome analysis.</w:t>
      </w:r>
    </w:p>
    <w:p w:rsidR="00000000" w:rsidDel="00000000" w:rsidP="00000000" w:rsidRDefault="00000000" w:rsidRPr="00000000" w14:paraId="0000001D">
      <w:pPr>
        <w:spacing w:line="240" w:lineRule="auto"/>
        <w:jc w:val="both"/>
        <w:rPr/>
      </w:pPr>
      <w:r w:rsidDel="00000000" w:rsidR="00000000" w:rsidRPr="00000000">
        <w:rPr>
          <w:color w:val="ff0000"/>
          <w:rtl w:val="0"/>
        </w:rPr>
        <w:t xml:space="preserve">T</w:t>
      </w:r>
      <w:r w:rsidDel="00000000" w:rsidR="00000000" w:rsidRPr="00000000">
        <w:rPr>
          <w:color w:val="ff0000"/>
          <w:rtl w:val="0"/>
        </w:rPr>
        <w:t xml:space="preserve">he integration of the interactome at different levels of non-coding RNAs, based on transcriptome data, s</w:t>
      </w:r>
      <w:r w:rsidDel="00000000" w:rsidR="00000000" w:rsidRPr="00000000">
        <w:rPr>
          <w:color w:val="ff0000"/>
          <w:rtl w:val="0"/>
        </w:rPr>
        <w:t xml:space="preserve">pecifically, we incorporated gene expression data of microRNAs and lncRNAs, along with their target genes, enrichment pathways for ncRNAs and their differentially expressed target genes were identified, and regulatory networks were generated using databases specialized in ncRNAs (miRNET and RISE)</w:t>
      </w:r>
      <w:r w:rsidDel="00000000" w:rsidR="00000000" w:rsidRPr="00000000">
        <w:rPr>
          <w:rtl w:val="0"/>
        </w:rPr>
        <w:t xml:space="preserve">. Our results show that h</w:t>
      </w:r>
      <w:r w:rsidDel="00000000" w:rsidR="00000000" w:rsidRPr="00000000">
        <w:rPr>
          <w:rtl w:val="0"/>
        </w:rPr>
        <w:t xml:space="preserve">ypoxia triggered a robust transcriptional response in healthy fibroblasts, revealing differential expression of non-coding RNAs. Conversely, fibroblasts from IPF patients exhibited a more limited response. From our findings, we suggest that Mir503, Mir590, FENDRR, and HOTAIR act as potential nodes in regulation under hypoxic states. Integrative analyses were employed to unveil significant patterns and enrichment pathways, contributing to a better understanding of the involvement of these factors in IPF and opening avenues for future research and potential therapies. </w: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rtl w:val="0"/>
        </w:rPr>
        <w:t xml:space="preserve">Non-coding RNAs (ncRNAs), provide diverse essential functions in the regulation of gene expression and cellular processes </w:t>
      </w:r>
      <w:r w:rsidDel="00000000" w:rsidR="00000000" w:rsidRPr="00000000">
        <w:rPr>
          <w:highlight w:val="yellow"/>
          <w:rtl w:val="0"/>
        </w:rPr>
        <w:t xml:space="preserve">Referencia</w:t>
      </w:r>
      <w:r w:rsidDel="00000000" w:rsidR="00000000" w:rsidRPr="00000000">
        <w:rPr>
          <w:rtl w:val="0"/>
        </w:rPr>
        <w:t xml:space="preserve">.</w:t>
      </w:r>
    </w:p>
    <w:p w:rsidR="00000000" w:rsidDel="00000000" w:rsidP="00000000" w:rsidRDefault="00000000" w:rsidRPr="00000000" w14:paraId="00000027">
      <w:pPr>
        <w:spacing w:line="276" w:lineRule="auto"/>
        <w:jc w:val="both"/>
        <w:rPr>
          <w:sz w:val="20"/>
          <w:szCs w:val="20"/>
          <w:highlight w:val="yellow"/>
        </w:rPr>
      </w:pPr>
      <w:r w:rsidDel="00000000" w:rsidR="00000000" w:rsidRPr="00000000">
        <w:rPr>
          <w:rtl w:val="0"/>
        </w:rPr>
        <w:t xml:space="preserve"> ncRNAs constitute more than 90% of the RNAs made from the human genome, including microRNAs (miRNAs) that post-transcriptionally regulate gene expression, long non-coding RNAs (lncRNAs) involved in gene regulation and chromatin organization, small interfering RNAs (siRNAs) that interfere with specific gene expression, PIWI-interacting RNAs (piRNAs) defending the genome against mobile genetic elements, circular RNAs (circRNAs) implicated in gene regulation and miRNA sponging, and small nuclear RNAs (snRNAs) essential for pre-mRNA splicing in spliceosomes. Overall, ncRNAs play a crucial role in gene expression regulation and modulating diverse biological processes in cells.</w:t>
      </w:r>
      <w:r w:rsidDel="00000000" w:rsidR="00000000" w:rsidRPr="00000000">
        <w:rPr>
          <w:sz w:val="20"/>
          <w:szCs w:val="20"/>
          <w:highlight w:val="yellow"/>
          <w:rtl w:val="0"/>
        </w:rPr>
        <w:t xml:space="preserve"> </w:t>
      </w:r>
    </w:p>
    <w:p w:rsidR="00000000" w:rsidDel="00000000" w:rsidP="00000000" w:rsidRDefault="00000000" w:rsidRPr="00000000" w14:paraId="00000028">
      <w:pPr>
        <w:spacing w:line="360" w:lineRule="auto"/>
        <w:jc w:val="both"/>
        <w:rPr>
          <w:color w:val="ff0000"/>
          <w:sz w:val="20"/>
          <w:szCs w:val="20"/>
          <w:highlight w:val="yellow"/>
        </w:rPr>
      </w:pPr>
      <w:r w:rsidDel="00000000" w:rsidR="00000000" w:rsidRPr="00000000">
        <w:rPr>
          <w:color w:val="ff0000"/>
          <w:rtl w:val="0"/>
        </w:rPr>
        <w:t xml:space="preserve"> Previous studies have revealed that the aberrant expression of ncRNAs, particularly microRNAs, implies their potential involvement in the progression and development of the disease. However, due to their recent discovery, many of these ncRNAs remain largely unexplored, leaving a significant knowledge gap that requires further investigation.</w:t>
      </w: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r>
    </w:p>
    <w:p w:rsidR="00000000" w:rsidDel="00000000" w:rsidP="00000000" w:rsidRDefault="00000000" w:rsidRPr="00000000" w14:paraId="0000002A">
      <w:pPr>
        <w:spacing w:line="276" w:lineRule="auto"/>
        <w:jc w:val="both"/>
        <w:rPr/>
      </w:pPr>
      <w:r w:rsidDel="00000000" w:rsidR="00000000" w:rsidRPr="00000000">
        <w:rPr>
          <w:rtl w:val="0"/>
        </w:rPr>
        <w:t xml:space="preserve"> </w:t>
      </w:r>
      <w:r w:rsidDel="00000000" w:rsidR="00000000" w:rsidRPr="00000000">
        <w:rPr>
          <w:rtl w:val="0"/>
        </w:rPr>
        <w:t xml:space="preserve">This work focuses on exploring lncRNAs in idiopathic pulmonary fibrosis (IPF), a lethal chronic lung disease without adequate treatment, whose etiology and pathogenesis are still unknown (</w:t>
      </w:r>
      <w:r w:rsidDel="00000000" w:rsidR="00000000" w:rsidRPr="00000000">
        <w:rPr>
          <w:highlight w:val="yellow"/>
          <w:rtl w:val="0"/>
        </w:rPr>
        <w:t xml:space="preserve">Lancet 2011</w:t>
      </w:r>
      <w:r w:rsidDel="00000000" w:rsidR="00000000" w:rsidRPr="00000000">
        <w:rPr>
          <w:rtl w:val="0"/>
        </w:rPr>
        <w:t xml:space="preserve">). </w:t>
      </w:r>
    </w:p>
    <w:p w:rsidR="00000000" w:rsidDel="00000000" w:rsidP="00000000" w:rsidRDefault="00000000" w:rsidRPr="00000000" w14:paraId="0000002B">
      <w:pPr>
        <w:spacing w:line="276" w:lineRule="auto"/>
        <w:jc w:val="both"/>
        <w:rPr/>
      </w:pPr>
      <w:r w:rsidDel="00000000" w:rsidR="00000000" w:rsidRPr="00000000">
        <w:rPr>
          <w:rtl w:val="0"/>
        </w:rPr>
      </w:r>
    </w:p>
    <w:p w:rsidR="00000000" w:rsidDel="00000000" w:rsidP="00000000" w:rsidRDefault="00000000" w:rsidRPr="00000000" w14:paraId="0000002C">
      <w:pPr>
        <w:spacing w:line="276" w:lineRule="auto"/>
        <w:jc w:val="both"/>
        <w:rPr/>
      </w:pPr>
      <w:r w:rsidDel="00000000" w:rsidR="00000000" w:rsidRPr="00000000">
        <w:rPr>
          <w:rtl w:val="0"/>
        </w:rPr>
        <w:t xml:space="preserve">Dysregulated expression of specific ncRNAs in IPF has been implicated in disease progression and the pathological remodeling of lung tissue. </w:t>
      </w:r>
    </w:p>
    <w:p w:rsidR="00000000" w:rsidDel="00000000" w:rsidP="00000000" w:rsidRDefault="00000000" w:rsidRPr="00000000" w14:paraId="0000002D">
      <w:pPr>
        <w:spacing w:line="276" w:lineRule="auto"/>
        <w:jc w:val="both"/>
        <w:rPr/>
      </w:pPr>
      <w:r w:rsidDel="00000000" w:rsidR="00000000" w:rsidRPr="00000000">
        <w:rPr>
          <w:rtl w:val="0"/>
        </w:rPr>
        <w:t xml:space="preserve">Therefore,  they are unaware. ; however, the most accepted approach regarding its pathogenesis indicates that it is an abnormal repair of epithelial wounds in response to repeated damage and in which fibroblasts play a relevant role </w:t>
      </w:r>
      <w:r w:rsidDel="00000000" w:rsidR="00000000" w:rsidRPr="00000000">
        <w:rPr>
          <w:highlight w:val="yellow"/>
          <w:rtl w:val="0"/>
        </w:rPr>
        <w:t xml:space="preserve">(PMID: 25659821</w:t>
      </w:r>
      <w:r w:rsidDel="00000000" w:rsidR="00000000" w:rsidRPr="00000000">
        <w:rPr>
          <w:rtl w:val="0"/>
        </w:rPr>
        <w:t xml:space="preserve">).</w:t>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t xml:space="preserve">In addition, some studies suggest that the role of hypoxia in this disease may be decisive in its development since it has been observed that hypoxia-inducible factors are deregulated in the lungs of these patients (XXX), so in this work, through a bioinformatic analysis with public data, the transcriptomic pattern of long non-coding RNAs in lung fibroblasts from patients with IPF subjected to low oxygen concentration was determined to establish which cellular pathways could be affected and thus help to understand the mechanisms. That control the activation of the fibroblast in which the lncRNAs could participate.</w:t>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spacing w:line="276" w:lineRule="auto"/>
        <w:jc w:val="both"/>
        <w:rPr/>
      </w:pPr>
      <w:r w:rsidDel="00000000" w:rsidR="00000000" w:rsidRPr="00000000">
        <w:rPr>
          <w:rtl w:val="0"/>
        </w:rPr>
      </w:r>
    </w:p>
    <w:p w:rsidR="00000000" w:rsidDel="00000000" w:rsidP="00000000" w:rsidRDefault="00000000" w:rsidRPr="00000000" w14:paraId="00000032">
      <w:pPr>
        <w:rPr>
          <w:sz w:val="20"/>
          <w:szCs w:val="20"/>
          <w:highlight w:val="yellow"/>
        </w:rPr>
      </w:pP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r>
    </w:p>
    <w:p w:rsidR="00000000" w:rsidDel="00000000" w:rsidP="00000000" w:rsidRDefault="00000000" w:rsidRPr="00000000" w14:paraId="00000034">
      <w:pPr>
        <w:spacing w:line="276" w:lineRule="auto"/>
        <w:jc w:val="both"/>
        <w:rPr/>
      </w:pPr>
      <w:r w:rsidDel="00000000" w:rsidR="00000000" w:rsidRPr="00000000">
        <w:rPr>
          <w:rtl w:val="0"/>
        </w:rPr>
        <w:t xml:space="preserve"> Further research is needed to better understand the specific ncRNAs that are differentially regulated in IPF-derived lung fibroblasts under hypoxic conditions and their functional implications in disease pathogenesis.</w:t>
      </w:r>
    </w:p>
    <w:p w:rsidR="00000000" w:rsidDel="00000000" w:rsidP="00000000" w:rsidRDefault="00000000" w:rsidRPr="00000000" w14:paraId="00000035">
      <w:pPr>
        <w:spacing w:line="276" w:lineRule="auto"/>
        <w:jc w:val="both"/>
        <w:rPr>
          <w:sz w:val="20"/>
          <w:szCs w:val="20"/>
          <w:highlight w:val="yellow"/>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sz w:val="20"/>
          <w:szCs w:val="20"/>
          <w:highlight w:val="yellow"/>
          <w:rtl w:val="0"/>
        </w:rPr>
        <w:t xml:space="preserve">The study of these new biological elements related to the development of diseases is new; however, exciting information has quickly been generated (PMID: 26269497; PMID: 27818919; PMID: 33527707; PMID: 32813323).. T</w:t>
      </w: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t xml:space="preserve">The intricate relationship among non-coding RNAs and IPF remains unclear.</w:t>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spacing w:line="276" w:lineRule="auto"/>
        <w:jc w:val="both"/>
        <w:rPr/>
      </w:pPr>
      <w:r w:rsidDel="00000000" w:rsidR="00000000" w:rsidRPr="00000000">
        <w:rPr>
          <w:rtl w:val="0"/>
        </w:rPr>
        <w:t xml:space="preserve">causes most of them to remain unstudied.</w:t>
      </w:r>
    </w:p>
    <w:p w:rsidR="00000000" w:rsidDel="00000000" w:rsidP="00000000" w:rsidRDefault="00000000" w:rsidRPr="00000000" w14:paraId="0000003A">
      <w:pPr>
        <w:spacing w:line="276" w:lineRule="auto"/>
        <w:jc w:val="both"/>
        <w:rPr/>
      </w:pPr>
      <w:r w:rsidDel="00000000" w:rsidR="00000000" w:rsidRPr="00000000">
        <w:rPr>
          <w:rtl w:val="0"/>
        </w:rPr>
      </w:r>
    </w:p>
    <w:p w:rsidR="00000000" w:rsidDel="00000000" w:rsidP="00000000" w:rsidRDefault="00000000" w:rsidRPr="00000000" w14:paraId="0000003B">
      <w:pPr>
        <w:spacing w:line="276" w:lineRule="auto"/>
        <w:jc w:val="both"/>
        <w:rPr>
          <w:rFonts w:ascii="Helvetica Neue" w:cs="Helvetica Neue" w:eastAsia="Helvetica Neue" w:hAnsi="Helvetica Neue"/>
          <w:color w:val="00b0f0"/>
          <w:sz w:val="18"/>
          <w:szCs w:val="18"/>
        </w:rPr>
      </w:pPr>
      <w:r w:rsidDel="00000000" w:rsidR="00000000" w:rsidRPr="00000000">
        <w:rPr>
          <w:rFonts w:ascii="Helvetica Neue" w:cs="Helvetica Neue" w:eastAsia="Helvetica Neue" w:hAnsi="Helvetica Neue"/>
          <w:color w:val="00b0f0"/>
          <w:sz w:val="18"/>
          <w:szCs w:val="18"/>
          <w:rtl w:val="0"/>
        </w:rPr>
        <w:t xml:space="preserve">Non-coding RNAs seem to be particularly abundant in roles that require highly specific nucleic acid recognition without complex catalysis, such as in directing post-transcriptional regulation of gene expression or in guiding RNA modifications.</w:t>
      </w:r>
    </w:p>
    <w:p w:rsidR="00000000" w:rsidDel="00000000" w:rsidP="00000000" w:rsidRDefault="00000000" w:rsidRPr="00000000" w14:paraId="0000003C">
      <w:pPr>
        <w:spacing w:line="276" w:lineRule="auto"/>
        <w:jc w:val="both"/>
        <w:rPr>
          <w:rFonts w:ascii="Helvetica Neue" w:cs="Helvetica Neue" w:eastAsia="Helvetica Neue" w:hAnsi="Helvetica Neue"/>
          <w:color w:val="00b0f0"/>
          <w:sz w:val="18"/>
          <w:szCs w:val="18"/>
        </w:rPr>
      </w:pPr>
      <w:r w:rsidDel="00000000" w:rsidR="00000000" w:rsidRPr="00000000">
        <w:rPr>
          <w:rtl w:val="0"/>
        </w:rPr>
      </w:r>
    </w:p>
    <w:p w:rsidR="00000000" w:rsidDel="00000000" w:rsidP="00000000" w:rsidRDefault="00000000" w:rsidRPr="00000000" w14:paraId="0000003D">
      <w:pPr>
        <w:spacing w:line="360" w:lineRule="auto"/>
        <w:jc w:val="both"/>
        <w:rPr>
          <w:rFonts w:ascii="Helvetica Neue" w:cs="Helvetica Neue" w:eastAsia="Helvetica Neue" w:hAnsi="Helvetica Neue"/>
          <w:color w:val="00b0f0"/>
          <w:sz w:val="18"/>
          <w:szCs w:val="18"/>
        </w:rPr>
      </w:pPr>
      <w:r w:rsidDel="00000000" w:rsidR="00000000" w:rsidRPr="00000000">
        <w:rPr>
          <w:rtl w:val="0"/>
        </w:rPr>
        <w:t xml:space="preserve"> In this paper, the transcriptional response of non-coding RNAs (ncRNAs) to hypoxia has been investigated in both control and idiopathic pulmonary fibrosis (IPF)-derived lung fibroblasts. Hypoxia is known to play a crucial role in various pathological conditions, including IPF.</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sz w:val="28"/>
          <w:szCs w:val="28"/>
        </w:rPr>
      </w:pPr>
      <w:r w:rsidDel="00000000" w:rsidR="00000000" w:rsidRPr="00000000">
        <w:rPr>
          <w:b w:val="1"/>
          <w:sz w:val="28"/>
          <w:szCs w:val="28"/>
          <w:rtl w:val="0"/>
        </w:rPr>
        <w:t xml:space="preserve">Materials and Methods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both"/>
        <w:rPr>
          <w:highlight w:val="yellow"/>
        </w:rPr>
      </w:pPr>
      <w:r w:rsidDel="00000000" w:rsidR="00000000" w:rsidRPr="00000000">
        <w:rPr>
          <w:highlight w:val="yellow"/>
          <w:rtl w:val="0"/>
        </w:rPr>
        <w:t xml:space="preserve">The experimental design and conditions are described in the previously published article (XXX); data downloaded from https://figshare.com/projects/Hipoxia/141623. Data correspond to two normal lung fibroblast cell lines (ATCC CCL-215, ATCC PCS-201-013) and one primary cell line as controls (C1, C2, and C3) and three primary lines from IPF patients (F1, F2, and F3). Once the data was obtained, we selected only the miRNAs and lnc-RNAs that had not been previously analyzed (due to a large amount of data and information generated) (XX).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both"/>
        <w:rPr>
          <w:highlight w:val="yellow"/>
        </w:rPr>
      </w:pPr>
      <w:r w:rsidDel="00000000" w:rsidR="00000000" w:rsidRPr="00000000">
        <w:rPr>
          <w:highlight w:val="yellow"/>
          <w:rtl w:val="0"/>
        </w:rPr>
        <w:t xml:space="preserve">The expression data were analyzed using R software version 4.1.0 (Team and Others 2013), and Bioconductor version 3.13 (Gentleman et al. 2004). Quality analysis was performed using affycoretools package version 1.64 (MacDonald 2019). To identify significant differences between gene expression in each condition, we selected the contrasts specified in (REF). All data were analyzed using the limma package version (Ritchie et al. 2015) using a linear model based on Bayes empirical method (Phipson et al. 2016). Gene annotation was performed using package pd.clariom.d.human version 8.8 (MacDonald 2016). For selecting non-coding RNAs we used only those probes that match with the NR database identifier. Representative data were considered significantly with higher p-values (adjusted p-value &lt; 0.05), and logFC &gt;0.7 or logFC &lt; -0.7.</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both"/>
        <w:rPr>
          <w:b w:val="1"/>
          <w:highlight w:val="yellow"/>
        </w:rPr>
      </w:pPr>
      <w:r w:rsidDel="00000000" w:rsidR="00000000" w:rsidRPr="00000000">
        <w:rPr>
          <w:b w:val="1"/>
          <w:highlight w:val="yellow"/>
          <w:rtl w:val="0"/>
        </w:rPr>
        <w:t xml:space="preserve">Data visualization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both"/>
        <w:rPr>
          <w:highlight w:val="yellow"/>
        </w:rPr>
      </w:pPr>
      <w:r w:rsidDel="00000000" w:rsidR="00000000" w:rsidRPr="00000000">
        <w:rPr>
          <w:highlight w:val="yellow"/>
          <w:rtl w:val="0"/>
        </w:rPr>
        <w:t xml:space="preserve">We generated volcano plots using EnhancedVolcano package version 1.10 (Blighe, Rana, and Lewis 2019), heatmaps were performed using ComplexHeatmap package version 2.8.0 [REF], and for the Venn diagrams, we used the VennDetail Shiny App </w:t>
      </w:r>
      <w:r w:rsidDel="00000000" w:rsidR="00000000" w:rsidRPr="00000000">
        <w:rPr>
          <w:highlight w:val="yellow"/>
          <w:rtl w:val="0"/>
        </w:rPr>
        <w:t xml:space="preserve">(http://hurlab.med.und.edu:3838/VennDetail/) (Hinder et al. 2017).</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both"/>
        <w:rPr>
          <w:b w:val="1"/>
          <w:highlight w:val="yellow"/>
        </w:rPr>
      </w:pPr>
      <w:r w:rsidDel="00000000" w:rsidR="00000000" w:rsidRPr="00000000">
        <w:rPr>
          <w:b w:val="1"/>
          <w:highlight w:val="yellow"/>
          <w:rtl w:val="0"/>
        </w:rPr>
        <w:t xml:space="preserve">Enrichment pathways analysis and networks generation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both"/>
        <w:rPr>
          <w:highlight w:val="yellow"/>
        </w:rPr>
      </w:pPr>
      <w:r w:rsidDel="00000000" w:rsidR="00000000" w:rsidRPr="00000000">
        <w:rPr>
          <w:highlight w:val="yellow"/>
          <w:rtl w:val="0"/>
        </w:rPr>
        <w:t xml:space="preserve">The pathways and networks were generated using the differentially expressed genes using QIAGEN Ingenuity Pathway Analysis, 2000-2022 (https://digitalinsights.qiagen.com/IPA) (Krämer et al. 2014). An enrichment analysis pathway was also performed on the genes obtained through the Venn diagrams using EnrichR with the Gene Ontology Biological Process (E. Y. Chen et al. 2013; Kuleshov et al. 2016; Xie et al. 2021).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rPr>
          <w:rFonts w:ascii="Palatino Linotype" w:cs="Palatino Linotype" w:eastAsia="Palatino Linotype" w:hAnsi="Palatino Linotype"/>
          <w:b w:val="1"/>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rFonts w:ascii="Palatino Linotype" w:cs="Palatino Linotype" w:eastAsia="Palatino Linotype" w:hAnsi="Palatino Linotype"/>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rPr>
          <w:b w:val="1"/>
          <w:sz w:val="28"/>
          <w:szCs w:val="28"/>
        </w:rPr>
      </w:pPr>
      <w:r w:rsidDel="00000000" w:rsidR="00000000" w:rsidRPr="00000000">
        <w:rPr>
          <w:b w:val="1"/>
          <w:sz w:val="28"/>
          <w:szCs w:val="28"/>
          <w:rtl w:val="0"/>
        </w:rPr>
        <w:t xml:space="preserve">Results</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28" w:lineRule="auto"/>
        <w:ind w:left="0" w:right="0" w:firstLine="0"/>
        <w:jc w:val="left"/>
        <w:rPr>
          <w:b w:val="1"/>
        </w:rPr>
      </w:pPr>
      <w:r w:rsidDel="00000000" w:rsidR="00000000" w:rsidRPr="00000000">
        <w:rPr>
          <w:b w:val="1"/>
          <w:rtl w:val="0"/>
        </w:rPr>
        <w:t xml:space="preserve">Intregrative analysis of non coding RNAs to hypoxia in lung fibroblast from IPF patients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 the present study, we carried out interactome integration of different levels of regulation of non-coding RNAs, based on transcriptome data of fibroblasts derived from IPF patients exposed to hypoxia, from a previous publication by our research group (GSEXXX). . Specifically, we incorporated gene expression data from microRNAs and lncRNAs, as well as their target genes, which were not considered in previous analyzes due to data volume restrictions. Enrichment pathways for ncRNAs and their differentially expressed target genes were identified, and regulatory networks were generated using databases specialized in ncRNAs (miRNET and RISE).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This study is founded on the prospect of integrating outcomes from distinct levels of regulation within the realm of non-coding RNAs, along with previously published data from the transcriptomic profile of fibroblasts derived from patients with idiopathic pulmonary fibrosis (IPF). Additionally, it is built upon previously published data obtained from lung fibroblasts of both healthy individuals and patients with IPF, exposed to hypoxia. </w:t>
      </w:r>
      <w:r w:rsidDel="00000000" w:rsidR="00000000" w:rsidRPr="00000000">
        <w:rPr>
          <w:rtl w:val="0"/>
        </w:rPr>
        <w:t xml:space="preserve">The focus is on analyzing miRNAs and lncRNAs that haven't been studied before due to data volume constraints (</w:t>
      </w:r>
      <w:r w:rsidDel="00000000" w:rsidR="00000000" w:rsidRPr="00000000">
        <w:rPr>
          <w:b w:val="1"/>
          <w:highlight w:val="yellow"/>
          <w:rtl w:val="0"/>
        </w:rPr>
        <w:t xml:space="preserve">Referencia</w:t>
      </w:r>
      <w:r w:rsidDel="00000000" w:rsidR="00000000" w:rsidRPr="00000000">
        <w:rPr>
          <w:rtl w:val="0"/>
        </w:rPr>
        <w:t xml:space="preserve">). Gene expression data were analyzed to identify significant differences between conditions. Enrichment pathway identification and network generation were conducted through the analysis of differentially expressed genes using specialized RNAs non coding data bases. Furthermore, an enrichment analysis of genes obtained was performed using biological process ontology annotations. </w:t>
      </w:r>
      <w:r w:rsidDel="00000000" w:rsidR="00000000" w:rsidRPr="00000000">
        <w:rPr>
          <w:b w:val="1"/>
          <w:highlight w:val="yellow"/>
          <w:rtl w:val="0"/>
        </w:rPr>
        <w:t xml:space="preserve">Figure 1 Biorender</w:t>
      </w:r>
      <w:r w:rsidDel="00000000" w:rsidR="00000000" w:rsidRPr="00000000">
        <w:rPr>
          <w:rtl w:val="0"/>
        </w:rPr>
        <w:t xml:space="preserve"> </w:t>
      </w:r>
      <w:r w:rsidDel="00000000" w:rsidR="00000000" w:rsidRPr="00000000">
        <w:rPr>
          <w:rtl w:val="0"/>
        </w:rPr>
        <w:t xml:space="preserve">In summary, various tools and analyses were employed to unveil significant patterns and enrichment pathways, contributing to a better understanding of the involvement of these factors in IPF and opening avenues for future research and potential therapies.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2">
      <w:pPr>
        <w:spacing w:after="60" w:before="240" w:line="360" w:lineRule="auto"/>
        <w:rPr>
          <w:b w:val="1"/>
        </w:rPr>
      </w:pPr>
      <w:r w:rsidDel="00000000" w:rsidR="00000000" w:rsidRPr="00000000">
        <w:rPr>
          <w:b w:val="1"/>
          <w:rtl w:val="0"/>
        </w:rPr>
        <w:t xml:space="preserve">Lack of Transcriptional Response of Non-coding RNAs (ncRNAs) in IPF-Derived Lung Fibroblasts  to Hypoxia </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Hypoxia in healthy fibroblasts elicited a robust transcriptional response, revealing 44 differentially expressed non-coding RNAs (ncRNA-DE), with 19 showing elevated expression (16 lncRNAs and 3 miRNAs), and 25 exhibiting decreased levels (22 lncRNAs and 3 miRNAs) in healthy fibroblasts </w:t>
      </w:r>
      <w:r w:rsidDel="00000000" w:rsidR="00000000" w:rsidRPr="00000000">
        <w:rPr>
          <w:b w:val="1"/>
          <w:highlight w:val="yellow"/>
          <w:rtl w:val="0"/>
        </w:rPr>
        <w:t xml:space="preserve">(Figure 2a and c</w:t>
      </w:r>
      <w:r w:rsidDel="00000000" w:rsidR="00000000" w:rsidRPr="00000000">
        <w:rPr>
          <w:b w:val="1"/>
          <w:rtl w:val="0"/>
        </w:rPr>
        <w:t xml:space="preserve">).</w:t>
      </w:r>
      <w:r w:rsidDel="00000000" w:rsidR="00000000" w:rsidRPr="00000000">
        <w:rPr>
          <w:rtl w:val="0"/>
        </w:rPr>
        <w:t xml:space="preserve"> In contrast, fibroblasts derived from IPF displayed a more limited response, with only 15 ncRNA-DE identified. Among these, 4 were upregulated (3 lncRNAs and 1 miRNA), while 11 were downregulated (10 lncRNAs and 1 miRNA) in IPF fibroblasts</w:t>
      </w:r>
      <w:r w:rsidDel="00000000" w:rsidR="00000000" w:rsidRPr="00000000">
        <w:rPr>
          <w:b w:val="1"/>
          <w:highlight w:val="yellow"/>
          <w:rtl w:val="0"/>
        </w:rPr>
        <w:t xml:space="preserve"> (Figure 2b and d).</w:t>
      </w:r>
      <w:r w:rsidDel="00000000" w:rsidR="00000000" w:rsidRPr="00000000">
        <w:rPr>
          <w:rtl w:val="0"/>
        </w:rPr>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pPr>
      <w:r w:rsidDel="00000000" w:rsidR="00000000" w:rsidRPr="00000000">
        <w:rPr>
          <w:rtl w:val="0"/>
        </w:rPr>
        <w:t xml:space="preserve">Regulatory networks of miRNAs and lncRNAs were constructed using the miRNet version 2.0 tool (</w:t>
      </w:r>
      <w:hyperlink r:id="rId7">
        <w:r w:rsidDel="00000000" w:rsidR="00000000" w:rsidRPr="00000000">
          <w:rPr>
            <w:rtl w:val="0"/>
          </w:rPr>
          <w:t xml:space="preserve">https://www.mirnet.ca/</w:t>
        </w:r>
      </w:hyperlink>
      <w:r w:rsidDel="00000000" w:rsidR="00000000" w:rsidRPr="00000000">
        <w:rPr>
          <w:rtl w:val="0"/>
        </w:rPr>
        <w:t xml:space="preserve">) based on the obtained lncRNAs. These were categorized into groups of upregulated and downregulated lncRNAs in controls (Group 1, Figure 2) and those in fibrotic conditions </w:t>
      </w:r>
      <w:r w:rsidDel="00000000" w:rsidR="00000000" w:rsidRPr="00000000">
        <w:rPr>
          <w:b w:val="1"/>
          <w:highlight w:val="yellow"/>
          <w:rtl w:val="0"/>
        </w:rPr>
        <w:t xml:space="preserve">(Group 2, Figure 3)</w:t>
      </w:r>
      <w:r w:rsidDel="00000000" w:rsidR="00000000" w:rsidRPr="00000000">
        <w:rPr>
          <w:rtl w:val="0"/>
        </w:rPr>
        <w:t xml:space="preserve">. Parameters used included the organism "Homo sapiens," with unspecified tissue.</w:t>
      </w:r>
    </w:p>
    <w:p w:rsidR="00000000" w:rsidDel="00000000" w:rsidP="00000000" w:rsidRDefault="00000000" w:rsidRPr="00000000" w14:paraId="00000055">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300" w:before="0" w:line="360" w:lineRule="auto"/>
        <w:ind w:left="0" w:right="0" w:firstLine="0"/>
        <w:jc w:val="both"/>
        <w:rPr/>
      </w:pPr>
      <w:r w:rsidDel="00000000" w:rsidR="00000000" w:rsidRPr="00000000">
        <w:rPr>
          <w:rtl w:val="0"/>
        </w:rPr>
        <w:t xml:space="preserve">In control fibroblasts exposed to hypoxia, a network depicting the relationships between 21 lncRNAs and their predicted target miRNAs was generated. MiRNAs associated with the lncRNAs were highlighted in yellow. Eleven upregulated miRNAs were represented in red, while ten downregulated miRNAs were shown in blue.</w:t>
      </w:r>
    </w:p>
    <w:p w:rsidR="00000000" w:rsidDel="00000000" w:rsidP="00000000" w:rsidRDefault="00000000" w:rsidRPr="00000000" w14:paraId="00000056">
      <w:pPr>
        <w:pBdr>
          <w:top w:color="d9d9e3" w:space="0" w:sz="0" w:val="none"/>
          <w:left w:color="d9d9e3" w:space="0" w:sz="0" w:val="none"/>
          <w:bottom w:color="d9d9e3" w:space="0" w:sz="0" w:val="none"/>
          <w:right w:color="d9d9e3" w:space="0" w:sz="0" w:val="none"/>
          <w:between w:color="d9d9e3" w:space="0" w:sz="0" w:val="none"/>
        </w:pBdr>
        <w:spacing w:before="300" w:line="360" w:lineRule="auto"/>
        <w:jc w:val="both"/>
        <w:rPr/>
      </w:pPr>
      <w:r w:rsidDel="00000000" w:rsidR="00000000" w:rsidRPr="00000000">
        <w:rPr>
          <w:rtl w:val="0"/>
        </w:rPr>
        <w:t xml:space="preserve">For IPF fibroblasts under hypoxia, a network was constructed to illustrate the connections of 4 lncRNAs to their 137 predicted target miRNAs.</w:t>
      </w:r>
    </w:p>
    <w:p w:rsidR="00000000" w:rsidDel="00000000" w:rsidP="00000000" w:rsidRDefault="00000000" w:rsidRPr="00000000" w14:paraId="00000057">
      <w:pPr>
        <w:spacing w:after="60" w:before="240" w:line="228" w:lineRule="auto"/>
        <w:rPr>
          <w:b w:val="1"/>
        </w:rPr>
      </w:pPr>
      <w:r w:rsidDel="00000000" w:rsidR="00000000" w:rsidRPr="00000000">
        <w:rPr>
          <w:rtl w:val="0"/>
        </w:rPr>
      </w:r>
    </w:p>
    <w:p w:rsidR="00000000" w:rsidDel="00000000" w:rsidP="00000000" w:rsidRDefault="00000000" w:rsidRPr="00000000" w14:paraId="00000058">
      <w:pPr>
        <w:spacing w:after="60" w:before="240" w:line="228" w:lineRule="auto"/>
        <w:rPr>
          <w:b w:val="1"/>
        </w:rPr>
      </w:pPr>
      <w:r w:rsidDel="00000000" w:rsidR="00000000" w:rsidRPr="00000000">
        <w:rPr>
          <w:rtl w:val="0"/>
        </w:rPr>
      </w:r>
    </w:p>
    <w:p w:rsidR="00000000" w:rsidDel="00000000" w:rsidP="00000000" w:rsidRDefault="00000000" w:rsidRPr="00000000" w14:paraId="00000059">
      <w:pPr>
        <w:spacing w:after="60" w:before="240" w:line="228" w:lineRule="auto"/>
        <w:rPr>
          <w:b w:val="1"/>
        </w:rPr>
      </w:pPr>
      <w:r w:rsidDel="00000000" w:rsidR="00000000" w:rsidRPr="00000000">
        <w:rPr>
          <w:b w:val="1"/>
          <w:rtl w:val="0"/>
        </w:rPr>
        <w:t xml:space="preserve">Regulatory Network of non coding RNA and target genes to hypoxia (controls)  </w:t>
      </w:r>
    </w:p>
    <w:p w:rsidR="00000000" w:rsidDel="00000000" w:rsidP="00000000" w:rsidRDefault="00000000" w:rsidRPr="00000000" w14:paraId="0000005A">
      <w:pPr>
        <w:spacing w:after="60" w:before="240" w:line="228" w:lineRule="auto"/>
        <w:rPr>
          <w:b w:val="1"/>
        </w:rPr>
      </w:pPr>
      <w:r w:rsidDel="00000000" w:rsidR="00000000" w:rsidRPr="00000000">
        <w:rPr>
          <w:rtl w:val="0"/>
        </w:rPr>
      </w:r>
    </w:p>
    <w:p w:rsidR="00000000" w:rsidDel="00000000" w:rsidP="00000000" w:rsidRDefault="00000000" w:rsidRPr="00000000" w14:paraId="0000005B">
      <w:pPr>
        <w:spacing w:after="60" w:before="240" w:line="360" w:lineRule="auto"/>
        <w:ind w:left="0" w:firstLine="0"/>
        <w:jc w:val="both"/>
        <w:rPr>
          <w:rFonts w:ascii="Palatino Linotype" w:cs="Palatino Linotype" w:eastAsia="Palatino Linotype" w:hAnsi="Palatino Linotype"/>
          <w:b w:val="1"/>
          <w:sz w:val="20"/>
          <w:szCs w:val="20"/>
        </w:rPr>
      </w:pPr>
      <w:r w:rsidDel="00000000" w:rsidR="00000000" w:rsidRPr="00000000">
        <w:rPr>
          <w:rtl w:val="0"/>
        </w:rPr>
        <w:t xml:space="preserve">As can be observed, the networks formed by the group of healthy fibroblasts in miRNet are much more complex and exhibit more interactions than the network of fibrotic fibroblasts. Additionally, it is noticeable that the upregulated lncRNAs are not present within the network of fibrotic fibroblasts, likely due to the absence of information on these in this database. In healthy fibroblasts, there are 5 upregulated and 8 downregulated lncRNAs, while in fibrotic fibroblasts, only a network with 4 downregulated lncRNAs is evident. Furthermore, in the color-coded tables in </w:t>
      </w:r>
      <w:r w:rsidDel="00000000" w:rsidR="00000000" w:rsidRPr="00000000">
        <w:rPr>
          <w:b w:val="1"/>
          <w:highlight w:val="yellow"/>
          <w:rtl w:val="0"/>
        </w:rPr>
        <w:t xml:space="preserve">Figure 2 and 3</w:t>
      </w:r>
      <w:r w:rsidDel="00000000" w:rsidR="00000000" w:rsidRPr="00000000">
        <w:rPr>
          <w:rtl w:val="0"/>
        </w:rPr>
        <w:t xml:space="preserve">, a significant number of lncRNAs are absent from both healthy and fibrotic networks, which is intriguing as this is the first report associating them with hypoxia in both healthy and fibrotic conditions.</w:t>
      </w:r>
      <w:r w:rsidDel="00000000" w:rsidR="00000000" w:rsidRPr="00000000">
        <w:rPr>
          <w:rtl w:val="0"/>
        </w:rPr>
      </w:r>
    </w:p>
    <w:p w:rsidR="00000000" w:rsidDel="00000000" w:rsidP="00000000" w:rsidRDefault="00000000" w:rsidRPr="00000000" w14:paraId="0000005C">
      <w:pPr>
        <w:spacing w:after="60" w:before="240" w:line="228" w:lineRule="auto"/>
        <w:rPr>
          <w:b w:val="1"/>
        </w:rPr>
      </w:pPr>
      <w:r w:rsidDel="00000000" w:rsidR="00000000" w:rsidRPr="00000000">
        <w:rPr>
          <w:rtl w:val="0"/>
        </w:rPr>
      </w:r>
    </w:p>
    <w:p w:rsidR="00000000" w:rsidDel="00000000" w:rsidP="00000000" w:rsidRDefault="00000000" w:rsidRPr="00000000" w14:paraId="0000005D">
      <w:pPr>
        <w:spacing w:after="60" w:before="240" w:line="228" w:lineRule="auto"/>
        <w:rPr>
          <w:b w:val="1"/>
          <w:color w:val="ff0000"/>
        </w:rPr>
      </w:pPr>
      <w:r w:rsidDel="00000000" w:rsidR="00000000" w:rsidRPr="00000000">
        <w:rPr>
          <w:b w:val="1"/>
          <w:strike w:val="1"/>
          <w:color w:val="ff0000"/>
          <w:rtl w:val="0"/>
        </w:rPr>
        <w:t xml:space="preserve">functions ( </w:t>
      </w:r>
      <w:r w:rsidDel="00000000" w:rsidR="00000000" w:rsidRPr="00000000">
        <w:rPr>
          <w:b w:val="1"/>
          <w:color w:val="ff0000"/>
          <w:rtl w:val="0"/>
        </w:rPr>
        <w:t xml:space="preserve">cell cycle &amp; DNA damage)</w:t>
      </w:r>
    </w:p>
    <w:p w:rsidR="00000000" w:rsidDel="00000000" w:rsidP="00000000" w:rsidRDefault="00000000" w:rsidRPr="00000000" w14:paraId="0000005E">
      <w:pPr>
        <w:spacing w:after="60" w:before="240" w:line="228" w:lineRule="auto"/>
        <w:rPr>
          <w:b w:val="1"/>
          <w:highlight w:val="yellow"/>
        </w:rPr>
      </w:pPr>
      <w:r w:rsidDel="00000000" w:rsidR="00000000" w:rsidRPr="00000000">
        <w:rPr>
          <w:b w:val="1"/>
          <w:highlight w:val="yellow"/>
          <w:rtl w:val="0"/>
        </w:rPr>
        <w:t xml:space="preserve">Cytoscape por Procesos </w:t>
      </w:r>
    </w:p>
    <w:p w:rsidR="00000000" w:rsidDel="00000000" w:rsidP="00000000" w:rsidRDefault="00000000" w:rsidRPr="00000000" w14:paraId="0000005F">
      <w:pPr>
        <w:spacing w:after="60" w:before="240" w:line="228" w:lineRule="auto"/>
        <w:rPr>
          <w:b w:val="1"/>
        </w:rPr>
      </w:pPr>
      <w:r w:rsidDel="00000000" w:rsidR="00000000" w:rsidRPr="00000000">
        <w:rPr>
          <w:b w:val="1"/>
          <w:rtl w:val="0"/>
        </w:rPr>
        <w:t xml:space="preserve">DESCRIBIR LA RED </w:t>
      </w:r>
    </w:p>
    <w:p w:rsidR="00000000" w:rsidDel="00000000" w:rsidP="00000000" w:rsidRDefault="00000000" w:rsidRPr="00000000" w14:paraId="00000060">
      <w:pPr>
        <w:spacing w:after="60" w:before="240" w:line="228" w:lineRule="auto"/>
        <w:rPr>
          <w:b w:val="1"/>
        </w:rPr>
      </w:pPr>
      <w:r w:rsidDel="00000000" w:rsidR="00000000" w:rsidRPr="00000000">
        <w:rPr>
          <w:b w:val="1"/>
          <w:rtl w:val="0"/>
        </w:rPr>
        <w:t xml:space="preserve">TIPO DE PROCESO</w:t>
      </w:r>
    </w:p>
    <w:p w:rsidR="00000000" w:rsidDel="00000000" w:rsidP="00000000" w:rsidRDefault="00000000" w:rsidRPr="00000000" w14:paraId="00000061">
      <w:pPr>
        <w:spacing w:after="60" w:before="240" w:line="228" w:lineRule="auto"/>
        <w:rPr>
          <w:b w:val="1"/>
        </w:rPr>
      </w:pPr>
      <w:r w:rsidDel="00000000" w:rsidR="00000000" w:rsidRPr="00000000">
        <w:rPr>
          <w:rtl w:val="0"/>
        </w:rPr>
      </w:r>
    </w:p>
    <w:p w:rsidR="00000000" w:rsidDel="00000000" w:rsidP="00000000" w:rsidRDefault="00000000" w:rsidRPr="00000000" w14:paraId="00000062">
      <w:pPr>
        <w:spacing w:after="60" w:before="240" w:line="228" w:lineRule="auto"/>
        <w:rPr>
          <w:b w:val="1"/>
        </w:rPr>
      </w:pPr>
      <w:r w:rsidDel="00000000" w:rsidR="00000000" w:rsidRPr="00000000">
        <w:rPr>
          <w:rtl w:val="0"/>
        </w:rPr>
      </w:r>
    </w:p>
    <w:p w:rsidR="00000000" w:rsidDel="00000000" w:rsidP="00000000" w:rsidRDefault="00000000" w:rsidRPr="00000000" w14:paraId="00000063">
      <w:pPr>
        <w:spacing w:after="60" w:before="240" w:line="228" w:lineRule="auto"/>
        <w:rPr>
          <w:b w:val="1"/>
        </w:rPr>
      </w:pPr>
      <w:r w:rsidDel="00000000" w:rsidR="00000000" w:rsidRPr="00000000">
        <w:rPr>
          <w:b w:val="1"/>
          <w:rtl w:val="0"/>
        </w:rPr>
        <w:t xml:space="preserve">R4.  (</w:t>
      </w:r>
      <w:r w:rsidDel="00000000" w:rsidR="00000000" w:rsidRPr="00000000">
        <w:rPr>
          <w:b w:val="1"/>
          <w:highlight w:val="red"/>
          <w:rtl w:val="0"/>
        </w:rPr>
        <w:t xml:space="preserve">Mir503,</w:t>
      </w:r>
      <w:r w:rsidDel="00000000" w:rsidR="00000000" w:rsidRPr="00000000">
        <w:rPr>
          <w:b w:val="1"/>
          <w:rtl w:val="0"/>
        </w:rPr>
        <w:t xml:space="preserve"> </w:t>
      </w:r>
      <w:r w:rsidDel="00000000" w:rsidR="00000000" w:rsidRPr="00000000">
        <w:rPr>
          <w:b w:val="1"/>
          <w:shd w:fill="4a86e8" w:val="clear"/>
          <w:rtl w:val="0"/>
        </w:rPr>
        <w:t xml:space="preserve">Mir590,</w:t>
      </w:r>
      <w:r w:rsidDel="00000000" w:rsidR="00000000" w:rsidRPr="00000000">
        <w:rPr>
          <w:b w:val="1"/>
          <w:rtl w:val="0"/>
        </w:rPr>
        <w:t xml:space="preserve"> FENDRR, HOTAIR)  are candidates nodes to regulate under hypoxia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b w:val="1"/>
        </w:rPr>
      </w:pPr>
      <w:r w:rsidDel="00000000" w:rsidR="00000000" w:rsidRPr="00000000">
        <w:rPr>
          <w:rtl w:val="0"/>
        </w:rPr>
      </w:r>
    </w:p>
    <w:p w:rsidR="00000000" w:rsidDel="00000000" w:rsidP="00000000" w:rsidRDefault="00000000" w:rsidRPr="00000000" w14:paraId="00000065">
      <w:pPr>
        <w:shd w:fill="ffffff" w:val="clear"/>
        <w:spacing w:after="160" w:line="276" w:lineRule="auto"/>
        <w:jc w:val="both"/>
        <w:rPr>
          <w:rFonts w:ascii="Arial" w:cs="Arial" w:eastAsia="Arial" w:hAnsi="Arial"/>
          <w:b w:val="1"/>
          <w:color w:val="1f1f1f"/>
        </w:rPr>
      </w:pPr>
      <w:r w:rsidDel="00000000" w:rsidR="00000000" w:rsidRPr="00000000">
        <w:rPr>
          <w:rFonts w:ascii="Arial" w:cs="Arial" w:eastAsia="Arial" w:hAnsi="Arial"/>
          <w:b w:val="1"/>
          <w:color w:val="1f1f1f"/>
          <w:rtl w:val="0"/>
        </w:rPr>
        <w:t xml:space="preserve">miR-503 es un miembro de la familia de microARN miR-16 (PMID: 22814423)  que se encuentra localizado en el cromosoma Xq26.3., está compuesto por seis miARN; miR-424, miR-503, miR-542, miR-450a-1, miR-450a-2 y miR-450b, este miR es regulado por varios estimulos como el estrés, la inflamación y la hipoxia; miR-503 tiene una serie de genes diana, incluyendo CCND1, VEGF-A, IGF-1R y SMAD7 (PMID: 30425513) entre otros que recientemente se han descrito. El aumento de este gen en los fibroblastos sanos en hipoxia, es uno de los que tiene mayor expresión en este análisis, el estudio de miR-503 se ha enfocado principalmente en varios tipos de cancer, en algunos tipos de cancer funciona como un Supresor de tumores (PMID: 33928605; PMID: 30697802;</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color w:val="1f1f1f"/>
          <w:rtl w:val="0"/>
        </w:rPr>
        <w:t xml:space="preserve">PMID: 3655555;</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color w:val="1f1f1f"/>
          <w:rtl w:val="0"/>
        </w:rPr>
        <w:t xml:space="preserve">PMID: 31249473; PMID: 29168599;  PMID: 28602785;  PMID: 23731275) mientras que otros casos funciona como Oncogen (PMID: 31410179;</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color w:val="1f1f1f"/>
          <w:rtl w:val="0"/>
        </w:rPr>
        <w:t xml:space="preserve">PMID: 30853181; PMID: 31115006; PMID: 30003722; PMID: 29758012; PMID: 29758012), en el caso de otras enfermedades por ejemplo en los fibroblastos de pulmón con EPOC se ha encontro disminuido (PMID: 28880936)</w:t>
      </w:r>
    </w:p>
    <w:p w:rsidR="00000000" w:rsidDel="00000000" w:rsidP="00000000" w:rsidRDefault="00000000" w:rsidRPr="00000000" w14:paraId="00000066">
      <w:pPr>
        <w:shd w:fill="ffffff" w:val="clear"/>
        <w:spacing w:after="160" w:line="276" w:lineRule="auto"/>
        <w:jc w:val="both"/>
        <w:rPr>
          <w:rFonts w:ascii="Arial" w:cs="Arial" w:eastAsia="Arial" w:hAnsi="Arial"/>
          <w:b w:val="1"/>
          <w:color w:val="1f1f1f"/>
        </w:rPr>
      </w:pPr>
      <w:r w:rsidDel="00000000" w:rsidR="00000000" w:rsidRPr="00000000">
        <w:rPr>
          <w:rFonts w:ascii="Arial" w:cs="Arial" w:eastAsia="Arial" w:hAnsi="Arial"/>
          <w:b w:val="1"/>
          <w:color w:val="1f1f1f"/>
          <w:rtl w:val="0"/>
        </w:rPr>
        <w:t xml:space="preserve">Todo lo anterior nos hace pensar que la función de miR-503 y las vias de señalización afectadas por este, va a depender del tipo de la celula y del tipo de estimulo sobre las células, en el caso de los fibroblastos sanos de pulmon en hipoxia pareciera que este miRNA es importante para mantener las funciones adecuadas a este tipo celular bajo este estimulo.</w:t>
      </w:r>
    </w:p>
    <w:p w:rsidR="00000000" w:rsidDel="00000000" w:rsidP="00000000" w:rsidRDefault="00000000" w:rsidRPr="00000000" w14:paraId="00000067">
      <w:pPr>
        <w:spacing w:line="276" w:lineRule="auto"/>
        <w:jc w:val="both"/>
        <w:rPr>
          <w:rFonts w:ascii="Arial" w:cs="Arial" w:eastAsia="Arial" w:hAnsi="Arial"/>
          <w:b w:val="1"/>
          <w:color w:val="1f1f1f"/>
        </w:rPr>
      </w:pPr>
      <w:r w:rsidDel="00000000" w:rsidR="00000000" w:rsidRPr="00000000">
        <w:rPr>
          <w:rFonts w:ascii="Arial" w:cs="Arial" w:eastAsia="Arial" w:hAnsi="Arial"/>
          <w:b w:val="1"/>
          <w:color w:val="1f1f1f"/>
          <w:rtl w:val="0"/>
        </w:rPr>
        <w:t xml:space="preserve">La expresión de mir-503 en condiciones de hipoxia podria estar promoviendo la fibrosis, debido a que uno de los blancos de miR-503 denominado SMAD7 (PMID: 32319077)  es un inhibidor de la fibrosis, contrario a esto otro blanco de miR 503 denominado </w:t>
      </w:r>
      <w:r w:rsidDel="00000000" w:rsidR="00000000" w:rsidRPr="00000000">
        <w:rPr>
          <w:rFonts w:ascii="Arial" w:cs="Arial" w:eastAsia="Arial" w:hAnsi="Arial"/>
          <w:b w:val="1"/>
          <w:color w:val="212121"/>
          <w:highlight w:val="white"/>
          <w:rtl w:val="0"/>
        </w:rPr>
        <w:t xml:space="preserve">WNT3A</w:t>
      </w:r>
      <w:r w:rsidDel="00000000" w:rsidR="00000000" w:rsidRPr="00000000">
        <w:rPr>
          <w:rFonts w:ascii="Arial" w:cs="Arial" w:eastAsia="Arial" w:hAnsi="Arial"/>
          <w:b w:val="1"/>
          <w:rtl w:val="0"/>
        </w:rPr>
        <w:t xml:space="preserve"> (PMID: 36555553) </w:t>
      </w:r>
      <w:r w:rsidDel="00000000" w:rsidR="00000000" w:rsidRPr="00000000">
        <w:rPr>
          <w:rFonts w:ascii="Arial" w:cs="Arial" w:eastAsia="Arial" w:hAnsi="Arial"/>
          <w:b w:val="1"/>
          <w:color w:val="1f1f1f"/>
          <w:rtl w:val="0"/>
        </w:rPr>
        <w:t xml:space="preserve">es un promotor de la fibrosis pulmonar (PMID: 184780899). Hasta la fecha este es el primer trabajo en donde se reporta la expresión aumentada de mir-503 en fibroblastos de pulmon sano en hipoxia lo que nos hace suponer que la hipoxia y sus vias de señalizaciojn pudieran ser un evento temprano en el desarrollo de la fibrosis pulmonar y que la progresion o no de esta enfermedad dependera de una compleja red de interacion que involucra la activación e inactivación de genes que pudieran suprimir o estimular la progresión de este enfermedad.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b w:val="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Studies have shown that hypoxia can modulate the expression of ncRNAs in lung fibroblasts. Specifically, certain ncRNAs, such as hypoxia-inducible miRNAs, may be upregulated in response to hypoxic conditions. These miRNAs can regulate gene expression by binding to target mRNAs and affecting their stability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 translation.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The analyzed data corresponds to the transcriptomic profile of non-coding RNAs, including miRNAs and lncRNAs, in three lines of healthy lung fibroblasts as controls (C1, C2, and C3) and three primary lines of lung fibroblasts from patients with idiopathic pulmonary fibrosis (F1, F2, and F3). These cells were cultured for 48 hours under normoxia and hypoxia conditions (1% O</w:t>
      </w:r>
      <w:r w:rsidDel="00000000" w:rsidR="00000000" w:rsidRPr="00000000">
        <w:rPr>
          <w:rFonts w:ascii="Calibri" w:cs="Calibri" w:eastAsia="Calibri" w:hAnsi="Calibri"/>
          <w:b w:val="0"/>
          <w:i w:val="0"/>
          <w:smallCaps w:val="0"/>
          <w:strike w:val="1"/>
          <w:color w:val="000000"/>
          <w:sz w:val="24"/>
          <w:szCs w:val="24"/>
          <w:u w:val="none"/>
          <w:shd w:fill="auto" w:val="clear"/>
          <w:vertAlign w:val="subscript"/>
          <w:rtl w:val="0"/>
        </w:rPr>
        <w:t xml:space="preserve">2</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 As shown in the volcano plots in </w:t>
      </w:r>
      <w:r w:rsidDel="00000000" w:rsidR="00000000" w:rsidRPr="00000000">
        <w:rPr>
          <w:rFonts w:ascii="Calibri" w:cs="Calibri" w:eastAsia="Calibri" w:hAnsi="Calibri"/>
          <w:b w:val="1"/>
          <w:i w:val="0"/>
          <w:smallCaps w:val="0"/>
          <w:strike w:val="1"/>
          <w:color w:val="000000"/>
          <w:sz w:val="24"/>
          <w:szCs w:val="24"/>
          <w:highlight w:val="yellow"/>
          <w:u w:val="none"/>
          <w:vertAlign w:val="baseline"/>
          <w:rtl w:val="0"/>
        </w:rPr>
        <w:t xml:space="preserve">Figure 2</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 the abundance of non-coding RNAs in the control group is significantly higher compared to the IPF patient-derived fibroblasts.</w:t>
      </w:r>
      <w:r w:rsidDel="00000000" w:rsidR="00000000" w:rsidRPr="00000000">
        <w:rPr>
          <w:rFonts w:ascii="Palatino Linotype" w:cs="Palatino Linotype" w:eastAsia="Palatino Linotype" w:hAnsi="Palatino Linotype"/>
          <w:b w:val="0"/>
          <w:i w:val="1"/>
          <w:smallCaps w:val="0"/>
          <w:strike w:val="1"/>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Hypoxia in healthy fibroblasts had a higher transcriptional response, </w:t>
      </w:r>
      <w:r w:rsidDel="00000000" w:rsidR="00000000" w:rsidRPr="00000000">
        <w:rPr>
          <w:rFonts w:ascii="Calibri" w:cs="Calibri" w:eastAsia="Calibri" w:hAnsi="Calibri"/>
          <w:b w:val="0"/>
          <w:i w:val="0"/>
          <w:smallCaps w:val="0"/>
          <w:strike w:val="1"/>
          <w:color w:val="000000"/>
          <w:sz w:val="24"/>
          <w:szCs w:val="24"/>
          <w:highlight w:val="yellow"/>
          <w:u w:val="none"/>
          <w:vertAlign w:val="baseline"/>
          <w:rtl w:val="0"/>
        </w:rPr>
        <w:t xml:space="preserve">44</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 differentially expressed ncRNAs were observed, of which </w:t>
      </w:r>
      <w:r w:rsidDel="00000000" w:rsidR="00000000" w:rsidRPr="00000000">
        <w:rPr>
          <w:rFonts w:ascii="Calibri" w:cs="Calibri" w:eastAsia="Calibri" w:hAnsi="Calibri"/>
          <w:b w:val="0"/>
          <w:i w:val="0"/>
          <w:smallCaps w:val="0"/>
          <w:strike w:val="1"/>
          <w:color w:val="000000"/>
          <w:sz w:val="24"/>
          <w:szCs w:val="24"/>
          <w:highlight w:val="yellow"/>
          <w:u w:val="none"/>
          <w:vertAlign w:val="baseline"/>
          <w:rtl w:val="0"/>
        </w:rPr>
        <w:t xml:space="preserve">19 </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were found to be increased (16 lncRNA and 3 miRNAs) and 25 decreased (22 lncRNA and 3 miRNA) in healthy fibroblasts </w:t>
      </w:r>
      <w:r w:rsidDel="00000000" w:rsidR="00000000" w:rsidRPr="00000000">
        <w:rPr>
          <w:rFonts w:ascii="Calibri" w:cs="Calibri" w:eastAsia="Calibri" w:hAnsi="Calibri"/>
          <w:b w:val="1"/>
          <w:i w:val="0"/>
          <w:smallCaps w:val="0"/>
          <w:strike w:val="1"/>
          <w:color w:val="000000"/>
          <w:sz w:val="24"/>
          <w:szCs w:val="24"/>
          <w:highlight w:val="yellow"/>
          <w:u w:val="none"/>
          <w:vertAlign w:val="baseline"/>
          <w:rtl w:val="0"/>
        </w:rPr>
        <w:t xml:space="preserve">(Figure 2).</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 While IPF-derived fibroblasts show a poor response with only 15 ncRNA-DE and of these only 4 were found to be increased (3 lncRNA and 1 miRNA) and 11 decreased (10 lncRNA and 1 miRNA (</w:t>
      </w:r>
      <w:r w:rsidDel="00000000" w:rsidR="00000000" w:rsidRPr="00000000">
        <w:rPr>
          <w:rFonts w:ascii="Calibri" w:cs="Calibri" w:eastAsia="Calibri" w:hAnsi="Calibri"/>
          <w:b w:val="1"/>
          <w:i w:val="0"/>
          <w:smallCaps w:val="0"/>
          <w:strike w:val="1"/>
          <w:color w:val="000000"/>
          <w:sz w:val="24"/>
          <w:szCs w:val="24"/>
          <w:highlight w:val="yellow"/>
          <w:u w:val="none"/>
          <w:vertAlign w:val="baseline"/>
          <w:rtl w:val="0"/>
        </w:rPr>
        <w:t xml:space="preserve">Figure 2</w:t>
      </w: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1"/>
          <w:i w:val="0"/>
          <w:smallCaps w:val="0"/>
          <w:strike w:val="1"/>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1"/>
          <w:color w:val="000000"/>
          <w:sz w:val="24"/>
          <w:szCs w:val="24"/>
          <w:u w:val="none"/>
          <w:shd w:fill="auto" w:val="clear"/>
          <w:vertAlign w:val="baseline"/>
          <w:rtl w:val="0"/>
        </w:rPr>
        <w:t xml:space="preserve">Differential Network Complexity and LncRNA Expression in Healthy and Fibrotic Fibroblasts under Hypoxia</w:t>
      </w:r>
    </w:p>
    <w:p w:rsidR="00000000" w:rsidDel="00000000" w:rsidP="00000000" w:rsidRDefault="00000000" w:rsidRPr="00000000" w14:paraId="0000006F">
      <w:pPr>
        <w:rPr>
          <w:strike w:val="1"/>
        </w:rPr>
      </w:pPr>
      <w:r w:rsidDel="00000000" w:rsidR="00000000" w:rsidRPr="00000000">
        <w:rPr>
          <w:rtl w:val="0"/>
        </w:rPr>
      </w:r>
    </w:p>
    <w:p w:rsidR="00000000" w:rsidDel="00000000" w:rsidP="00000000" w:rsidRDefault="00000000" w:rsidRPr="00000000" w14:paraId="00000070">
      <w:pPr>
        <w:jc w:val="both"/>
        <w:rPr>
          <w:strike w:val="1"/>
        </w:rPr>
      </w:pPr>
      <w:r w:rsidDel="00000000" w:rsidR="00000000" w:rsidRPr="00000000">
        <w:rPr>
          <w:strike w:val="1"/>
          <w:highlight w:val="yellow"/>
          <w:rtl w:val="0"/>
        </w:rPr>
        <w:t xml:space="preserve">Regulation networks of miRNAs and lncRNAs were created with the tool miRNet version 2.0 (https://www.mirnet.ca/) with the lncRNA obtained, for this they were entered by groups of lncRNA that included increased and decreased lncRNA in controls</w:t>
      </w:r>
      <w:r w:rsidDel="00000000" w:rsidR="00000000" w:rsidRPr="00000000">
        <w:rPr>
          <w:rtl w:val="0"/>
        </w:rPr>
      </w:r>
    </w:p>
    <w:p w:rsidR="00000000" w:rsidDel="00000000" w:rsidP="00000000" w:rsidRDefault="00000000" w:rsidRPr="00000000" w14:paraId="00000071">
      <w:pPr>
        <w:spacing w:line="276" w:lineRule="auto"/>
        <w:rPr>
          <w:strike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0"/>
          <w:i w:val="0"/>
          <w:smallCaps w:val="0"/>
          <w:strike w:val="1"/>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1"/>
          <w:color w:val="000000"/>
          <w:sz w:val="24"/>
          <w:szCs w:val="24"/>
          <w:u w:val="none"/>
          <w:shd w:fill="auto" w:val="clear"/>
          <w:vertAlign w:val="baseline"/>
          <w:rtl w:val="0"/>
        </w:rPr>
        <w:t xml:space="preserve">As observed, the networks formed by the group of healthy fibroblasts in miRNet are much more complex and exhibit more interactions compared to the network of fibrotic fibroblasts. Additionally, it can be noted that the upregulated lncRNAs are not present within the network, most likely due to the absence of information on these specific lncRNAs in the database. In healthy fibroblasts, 5 upregulated and 8 downregulated lncRNAs are observed, while in fibrotic fibroblasts, only a network of 4 downregulated lncRNAs is evident. Moreover, the color tables in Figures 2 and 3 reveal that a significant number of lncRNAs are not found in the networks of both healthy and fibrotic subjects. This finding is particularly interesting as it represents the first report associating these lncRNAs with hypoxia in both healthy and fibrotic individuals.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jc w:val="both"/>
        <w:rPr>
          <w:b w:val="1"/>
          <w:color w:val="000000"/>
          <w:sz w:val="28"/>
          <w:szCs w:val="28"/>
        </w:rPr>
      </w:pPr>
      <w:r w:rsidDel="00000000" w:rsidR="00000000" w:rsidRPr="00000000">
        <w:rPr>
          <w:b w:val="1"/>
          <w:color w:val="000000"/>
          <w:sz w:val="28"/>
          <w:szCs w:val="28"/>
          <w:rtl w:val="0"/>
        </w:rPr>
        <w:t xml:space="preserve">Acknowledgments</w:t>
      </w:r>
    </w:p>
    <w:p w:rsidR="00000000" w:rsidDel="00000000" w:rsidP="00000000" w:rsidRDefault="00000000" w:rsidRPr="00000000" w14:paraId="00000079">
      <w:pPr>
        <w:spacing w:line="276" w:lineRule="auto"/>
        <w:jc w:val="both"/>
        <w:rPr>
          <w:color w:val="1f1f1f"/>
          <w:highlight w:val="white"/>
        </w:rPr>
      </w:pPr>
      <w:r w:rsidDel="00000000" w:rsidR="00000000" w:rsidRPr="00000000">
        <w:rPr>
          <w:color w:val="1f1f1f"/>
          <w:highlight w:val="white"/>
          <w:rtl w:val="0"/>
        </w:rPr>
        <w:t xml:space="preserve">The present study was supported by CONACYT Ciencia de Frontera 2019 #51219</w:t>
      </w:r>
    </w:p>
    <w:p w:rsidR="00000000" w:rsidDel="00000000" w:rsidP="00000000" w:rsidRDefault="00000000" w:rsidRPr="00000000" w14:paraId="0000007A">
      <w:pPr>
        <w:spacing w:line="276" w:lineRule="auto"/>
        <w:jc w:val="both"/>
        <w:rPr>
          <w:color w:val="1f1f1f"/>
          <w:highlight w:val="white"/>
        </w:rPr>
      </w:pPr>
      <w:r w:rsidDel="00000000" w:rsidR="00000000" w:rsidRPr="00000000">
        <w:rPr>
          <w:rtl w:val="0"/>
        </w:rPr>
      </w:r>
    </w:p>
    <w:p w:rsidR="00000000" w:rsidDel="00000000" w:rsidP="00000000" w:rsidRDefault="00000000" w:rsidRPr="00000000" w14:paraId="0000007B">
      <w:pPr>
        <w:tabs>
          <w:tab w:val="left" w:leader="none" w:pos="489"/>
        </w:tabs>
        <w:spacing w:line="276" w:lineRule="auto"/>
        <w:jc w:val="both"/>
        <w:rPr>
          <w:color w:val="1f1f1f"/>
          <w:highlight w:val="white"/>
        </w:rPr>
      </w:pPr>
      <w:r w:rsidDel="00000000" w:rsidR="00000000" w:rsidRPr="00000000">
        <w:rPr>
          <w:rtl w:val="0"/>
        </w:rPr>
      </w:r>
    </w:p>
    <w:p w:rsidR="00000000" w:rsidDel="00000000" w:rsidP="00000000" w:rsidRDefault="00000000" w:rsidRPr="00000000" w14:paraId="0000007C">
      <w:pPr>
        <w:spacing w:line="276" w:lineRule="auto"/>
        <w:jc w:val="both"/>
        <w:rPr>
          <w:b w:val="1"/>
          <w:color w:val="000000"/>
          <w:sz w:val="28"/>
          <w:szCs w:val="28"/>
        </w:rPr>
      </w:pPr>
      <w:bookmarkStart w:colFirst="0" w:colLast="0" w:name="_heading=h.yr2rw2caphxp" w:id="0"/>
      <w:bookmarkEnd w:id="0"/>
      <w:r w:rsidDel="00000000" w:rsidR="00000000" w:rsidRPr="00000000">
        <w:rPr>
          <w:b w:val="1"/>
          <w:color w:val="000000"/>
          <w:sz w:val="28"/>
          <w:szCs w:val="28"/>
          <w:rtl w:val="0"/>
        </w:rPr>
        <w:t xml:space="preserve">Funding</w:t>
      </w:r>
    </w:p>
    <w:p w:rsidR="00000000" w:rsidDel="00000000" w:rsidP="00000000" w:rsidRDefault="00000000" w:rsidRPr="00000000" w14:paraId="0000007D">
      <w:pPr>
        <w:spacing w:line="276" w:lineRule="auto"/>
        <w:jc w:val="both"/>
        <w:rPr>
          <w:color w:val="1f1f1f"/>
          <w:highlight w:val="white"/>
        </w:rPr>
      </w:pPr>
      <w:r w:rsidDel="00000000" w:rsidR="00000000" w:rsidRPr="00000000">
        <w:rPr>
          <w:color w:val="1f1f1f"/>
          <w:highlight w:val="white"/>
          <w:rtl w:val="0"/>
        </w:rPr>
        <w:t xml:space="preserve">The present study was supported by CONACYT Ciencia de Frontera 2019 #51219.</w:t>
      </w:r>
    </w:p>
    <w:p w:rsidR="00000000" w:rsidDel="00000000" w:rsidP="00000000" w:rsidRDefault="00000000" w:rsidRPr="00000000" w14:paraId="0000007E">
      <w:pPr>
        <w:spacing w:line="276" w:lineRule="auto"/>
        <w:jc w:val="both"/>
        <w:rPr/>
      </w:pPr>
      <w:r w:rsidDel="00000000" w:rsidR="00000000" w:rsidRPr="00000000">
        <w:rPr>
          <w:rtl w:val="0"/>
        </w:rPr>
      </w:r>
    </w:p>
    <w:p w:rsidR="00000000" w:rsidDel="00000000" w:rsidP="00000000" w:rsidRDefault="00000000" w:rsidRPr="00000000" w14:paraId="0000007F">
      <w:pPr>
        <w:spacing w:line="276" w:lineRule="auto"/>
        <w:jc w:val="both"/>
        <w:rPr>
          <w:b w:val="1"/>
          <w:color w:val="000000"/>
          <w:sz w:val="28"/>
          <w:szCs w:val="28"/>
        </w:rPr>
      </w:pPr>
      <w:r w:rsidDel="00000000" w:rsidR="00000000" w:rsidRPr="00000000">
        <w:rPr>
          <w:b w:val="1"/>
          <w:color w:val="000000"/>
          <w:sz w:val="28"/>
          <w:szCs w:val="28"/>
          <w:rtl w:val="0"/>
        </w:rPr>
        <w:t xml:space="preserve">Author Contributions</w:t>
      </w:r>
    </w:p>
    <w:p w:rsidR="00000000" w:rsidDel="00000000" w:rsidP="00000000" w:rsidRDefault="00000000" w:rsidRPr="00000000" w14:paraId="00000080">
      <w:pPr>
        <w:spacing w:line="276" w:lineRule="auto"/>
        <w:jc w:val="both"/>
        <w:rPr>
          <w:color w:val="1f1f1f"/>
          <w:highlight w:val="white"/>
        </w:rPr>
      </w:pPr>
      <w:r w:rsidDel="00000000" w:rsidR="00000000" w:rsidRPr="00000000">
        <w:rPr>
          <w:color w:val="1f1f1f"/>
          <w:highlight w:val="white"/>
          <w:rtl w:val="0"/>
        </w:rPr>
        <w:t xml:space="preserve">Y.R</w:t>
      </w:r>
      <w:r w:rsidDel="00000000" w:rsidR="00000000" w:rsidRPr="00000000">
        <w:rPr>
          <w:color w:val="1f1f1f"/>
          <w:highlight w:val="yellow"/>
          <w:rtl w:val="0"/>
        </w:rPr>
        <w:t xml:space="preserve">. </w:t>
      </w:r>
      <w:r w:rsidDel="00000000" w:rsidR="00000000" w:rsidRPr="00000000">
        <w:rPr>
          <w:strike w:val="1"/>
          <w:color w:val="1f1f1f"/>
          <w:highlight w:val="yellow"/>
          <w:rtl w:val="0"/>
        </w:rPr>
        <w:t xml:space="preserve">and A.P. conceived and designed research; Y.R., F.T-M., U.C-S., T.V-H., R.R., and M.R.L. performed experiments and analyzed data. Y.R. and F.T-M. drafted manuscript; M.S. and A.P. edited and revised the manuscript. All authors approved final version of manuscript.</w:t>
      </w:r>
      <w:r w:rsidDel="00000000" w:rsidR="00000000" w:rsidRPr="00000000">
        <w:rPr>
          <w:rtl w:val="0"/>
        </w:rPr>
      </w:r>
    </w:p>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spacing w:line="276" w:lineRule="auto"/>
        <w:jc w:val="both"/>
        <w:rPr>
          <w:b w:val="1"/>
          <w:color w:val="000000"/>
          <w:sz w:val="28"/>
          <w:szCs w:val="28"/>
        </w:rPr>
      </w:pPr>
      <w:r w:rsidDel="00000000" w:rsidR="00000000" w:rsidRPr="00000000">
        <w:rPr>
          <w:b w:val="1"/>
          <w:color w:val="000000"/>
          <w:sz w:val="28"/>
          <w:szCs w:val="28"/>
          <w:rtl w:val="0"/>
        </w:rPr>
        <w:t xml:space="preserve">Conflict of interest</w:t>
      </w:r>
    </w:p>
    <w:p w:rsidR="00000000" w:rsidDel="00000000" w:rsidP="00000000" w:rsidRDefault="00000000" w:rsidRPr="00000000" w14:paraId="00000083">
      <w:pPr>
        <w:spacing w:line="276" w:lineRule="auto"/>
        <w:jc w:val="both"/>
        <w:rPr>
          <w:color w:val="1f1f1f"/>
          <w:highlight w:val="white"/>
        </w:rPr>
      </w:pPr>
      <w:r w:rsidDel="00000000" w:rsidR="00000000" w:rsidRPr="00000000">
        <w:rPr>
          <w:color w:val="1f1f1f"/>
          <w:highlight w:val="white"/>
          <w:rtl w:val="0"/>
        </w:rPr>
        <w:t xml:space="preserve">None declared.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spacing w:line="276"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References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spacing w:line="276" w:lineRule="auto"/>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Legends of the figures </w:t>
      </w:r>
    </w:p>
    <w:p w:rsidR="00000000" w:rsidDel="00000000" w:rsidP="00000000" w:rsidRDefault="00000000" w:rsidRPr="00000000" w14:paraId="0000008B">
      <w:pPr>
        <w:pStyle w:val="Heading1"/>
        <w:keepNext w:val="0"/>
        <w:keepLines w:val="0"/>
        <w:spacing w:line="275.99962500000004" w:lineRule="auto"/>
        <w:rPr>
          <w:b w:val="1"/>
          <w:color w:val="000000"/>
          <w:sz w:val="28"/>
          <w:szCs w:val="28"/>
        </w:rPr>
      </w:pPr>
      <w:bookmarkStart w:colFirst="0" w:colLast="0" w:name="_heading=h.odlcupen5yyb" w:id="1"/>
      <w:bookmarkEnd w:id="1"/>
      <w:r w:rsidDel="00000000" w:rsidR="00000000" w:rsidRPr="00000000">
        <w:rPr>
          <w:rtl w:val="0"/>
        </w:rPr>
      </w:r>
    </w:p>
    <w:p w:rsidR="00000000" w:rsidDel="00000000" w:rsidP="00000000" w:rsidRDefault="00000000" w:rsidRPr="00000000" w14:paraId="0000008C">
      <w:pPr>
        <w:spacing w:line="276" w:lineRule="auto"/>
        <w:rPr>
          <w:b w:val="1"/>
        </w:rPr>
      </w:pPr>
      <w:r w:rsidDel="00000000" w:rsidR="00000000" w:rsidRPr="00000000">
        <w:rPr>
          <w:b w:val="1"/>
          <w:rtl w:val="0"/>
        </w:rPr>
        <w:t xml:space="preserve"> </w:t>
      </w:r>
    </w:p>
    <w:p w:rsidR="00000000" w:rsidDel="00000000" w:rsidP="00000000" w:rsidRDefault="00000000" w:rsidRPr="00000000" w14:paraId="0000008D">
      <w:pPr>
        <w:rPr>
          <w:b w:val="1"/>
        </w:rPr>
      </w:pPr>
      <w:r w:rsidDel="00000000" w:rsidR="00000000" w:rsidRPr="00000000">
        <w:rPr>
          <w:b w:val="1"/>
          <w:rtl w:val="0"/>
        </w:rPr>
        <w:t xml:space="preserve">Fig. 1 Schematic representation of the study design.</w:t>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color w:val="000000"/>
          <w:rtl w:val="0"/>
        </w:rPr>
        <w:t xml:space="preserve">Fig. 2 </w:t>
      </w:r>
      <w:r w:rsidDel="00000000" w:rsidR="00000000" w:rsidRPr="00000000">
        <w:rPr>
          <w:b w:val="1"/>
          <w:rtl w:val="0"/>
        </w:rPr>
        <w:t xml:space="preserve">Differential expression of n</w:t>
      </w:r>
      <w:r w:rsidDel="00000000" w:rsidR="00000000" w:rsidRPr="00000000">
        <w:rPr>
          <w:b w:val="1"/>
          <w:rtl w:val="0"/>
        </w:rPr>
        <w:t xml:space="preserve">on-coding RNA lung fibroblasts from patients with idiopathic pulmonary fibrosis cultured in low oxygen concentrations. </w:t>
      </w:r>
    </w:p>
    <w:p w:rsidR="00000000" w:rsidDel="00000000" w:rsidP="00000000" w:rsidRDefault="00000000" w:rsidRPr="00000000" w14:paraId="00000090">
      <w:pPr>
        <w:rPr/>
      </w:pPr>
      <w:r w:rsidDel="00000000" w:rsidR="00000000" w:rsidRPr="00000000">
        <w:rPr>
          <w:b w:val="1"/>
          <w:rtl w:val="0"/>
        </w:rPr>
        <w:t xml:space="preserve">A, B </w:t>
      </w:r>
      <w:r w:rsidDel="00000000" w:rsidR="00000000" w:rsidRPr="00000000">
        <w:rPr>
          <w:rtl w:val="0"/>
        </w:rPr>
        <w:t xml:space="preserve">Volcano plot of non-coding RNA</w:t>
      </w:r>
    </w:p>
    <w:p w:rsidR="00000000" w:rsidDel="00000000" w:rsidP="00000000" w:rsidRDefault="00000000" w:rsidRPr="00000000" w14:paraId="00000091">
      <w:pPr>
        <w:rPr/>
      </w:pPr>
      <w:r w:rsidDel="00000000" w:rsidR="00000000" w:rsidRPr="00000000">
        <w:rPr>
          <w:rFonts w:ascii="Arial" w:cs="Arial" w:eastAsia="Arial" w:hAnsi="Arial"/>
          <w:b w:val="1"/>
          <w:color w:val="222222"/>
          <w:sz w:val="21"/>
          <w:szCs w:val="21"/>
          <w:highlight w:val="white"/>
          <w:rtl w:val="0"/>
        </w:rPr>
        <w:t xml:space="preserve">(A)</w:t>
      </w:r>
      <w:r w:rsidDel="00000000" w:rsidR="00000000" w:rsidRPr="00000000">
        <w:rPr>
          <w:rtl w:val="0"/>
        </w:rPr>
        <w:t xml:space="preserve"> Volcano plot (control fibroblasts)(C) Heatmap (control fibroblasts).. (B) Volcano plot (IPF fibroblasts).  (D) Heatmap (IPF fibroblasts). (E) GO gene ontology biological process (control fibroblasts). (F) GO gene ontology biological process (IPF fibroblasts).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C</w:t>
        <w:br w:type="textWrapping"/>
        <w:t xml:space="preserve">D </w:t>
      </w:r>
      <w:r w:rsidDel="00000000" w:rsidR="00000000" w:rsidRPr="00000000">
        <w:rPr>
          <w:rtl w:val="0"/>
        </w:rPr>
        <w:t xml:space="preserve">Volcano plot</w:t>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rPr>
          <w:b w:val="1"/>
          <w:color w:val="000000"/>
        </w:rPr>
      </w:pPr>
      <w:r w:rsidDel="00000000" w:rsidR="00000000" w:rsidRPr="00000000">
        <w:rPr>
          <w:rtl w:val="0"/>
        </w:rPr>
      </w:r>
    </w:p>
    <w:p w:rsidR="00000000" w:rsidDel="00000000" w:rsidP="00000000" w:rsidRDefault="00000000" w:rsidRPr="00000000" w14:paraId="00000096">
      <w:pPr>
        <w:rPr/>
      </w:pPr>
      <w:r w:rsidDel="00000000" w:rsidR="00000000" w:rsidRPr="00000000">
        <w:rPr>
          <w:b w:val="1"/>
          <w:color w:val="000000"/>
          <w:rtl w:val="0"/>
        </w:rPr>
        <w:t xml:space="preserve">Fig. 3 </w:t>
      </w:r>
      <w:r w:rsidDel="00000000" w:rsidR="00000000" w:rsidRPr="00000000">
        <w:rPr>
          <w:b w:val="1"/>
          <w:highlight w:val="yellow"/>
          <w:rtl w:val="0"/>
        </w:rPr>
        <w:t xml:space="preserve">Control fibroblast; the relationships of 14 miRNAs to their 8,051 predicted target genes.</w:t>
      </w:r>
      <w:r w:rsidDel="00000000" w:rsidR="00000000" w:rsidRPr="00000000">
        <w:rPr>
          <w:rtl w:val="0"/>
        </w:rPr>
        <w:t xml:space="preserve"> The network shows in yellow the target gene that miRNet associates with the miRNAs, </w:t>
      </w:r>
      <w:r w:rsidDel="00000000" w:rsidR="00000000" w:rsidRPr="00000000">
        <w:rPr>
          <w:b w:val="1"/>
          <w:highlight w:val="yellow"/>
          <w:rtl w:val="0"/>
        </w:rPr>
        <w:t xml:space="preserve">four</w:t>
      </w:r>
      <w:r w:rsidDel="00000000" w:rsidR="00000000" w:rsidRPr="00000000">
        <w:rPr>
          <w:rtl w:val="0"/>
        </w:rPr>
        <w:t xml:space="preserve"> miRNAs that are Up-regulated are shown in red and </w:t>
      </w:r>
      <w:r w:rsidDel="00000000" w:rsidR="00000000" w:rsidRPr="00000000">
        <w:rPr>
          <w:b w:val="1"/>
          <w:rtl w:val="0"/>
        </w:rPr>
        <w:t xml:space="preserve">ten</w:t>
      </w:r>
      <w:r w:rsidDel="00000000" w:rsidR="00000000" w:rsidRPr="00000000">
        <w:rPr>
          <w:rtl w:val="0"/>
        </w:rPr>
        <w:t xml:space="preserve"> miRNAs that are Down-regulated are shown in blue. </w:t>
      </w:r>
      <w:r w:rsidDel="00000000" w:rsidR="00000000" w:rsidRPr="00000000">
        <w:rPr>
          <w:b w:val="1"/>
          <w:rtl w:val="0"/>
        </w:rPr>
        <w:t xml:space="preserve">Control fibroblast in hypoxia; The relationships of 21 lncRNAs to their 860 predicted target miRNAs.</w:t>
      </w:r>
      <w:r w:rsidDel="00000000" w:rsidR="00000000" w:rsidRPr="00000000">
        <w:rPr>
          <w:rtl w:val="0"/>
        </w:rPr>
        <w:t xml:space="preserve"> The network shows in yellow the miRNAs that miRNet associates with the lncRNAs, eleven miRNAs that are Up-regulated are shown in red and ten miRNAs that are Down-regulated are shown in blue.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color w:val="000000"/>
          <w:rtl w:val="0"/>
        </w:rPr>
        <w:t xml:space="preserve">Fig. 4 </w:t>
      </w:r>
      <w:r w:rsidDel="00000000" w:rsidR="00000000" w:rsidRPr="00000000">
        <w:rPr>
          <w:b w:val="1"/>
          <w:rtl w:val="0"/>
        </w:rPr>
        <w:t xml:space="preserve">IPF fibroblast in hypoxia; The relationships of 4 lncRNAs to their 137 predicted target miRNAs. </w:t>
      </w:r>
      <w:r w:rsidDel="00000000" w:rsidR="00000000" w:rsidRPr="00000000">
        <w:rPr>
          <w:rtl w:val="0"/>
        </w:rPr>
        <w:t xml:space="preserve">The network shows in yellow the miRNAs that miRNet associates with the lncRNAs, all lncRNAs are Down-regulated and shown in blue.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highlight w:val="yellow"/>
          <w:rtl w:val="0"/>
        </w:rPr>
        <w:t xml:space="preserve">Tablas</w:t>
      </w:r>
      <w:r w:rsidDel="00000000" w:rsidR="00000000" w:rsidRPr="00000000">
        <w:rPr>
          <w:b w:val="1"/>
          <w:rtl w:val="0"/>
        </w:rPr>
        <w:t xml:space="preserve"> </w:t>
      </w:r>
      <w:r w:rsidDel="00000000" w:rsidR="00000000" w:rsidRPr="00000000">
        <w:rPr>
          <w:b w:val="1"/>
          <w:highlight w:val="yellow"/>
          <w:rtl w:val="0"/>
        </w:rPr>
        <w:t xml:space="preserve">Johnny</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color w:val="000000"/>
        </w:rPr>
      </w:pPr>
      <w:r w:rsidDel="00000000" w:rsidR="00000000" w:rsidRPr="00000000">
        <w:rPr>
          <w:b w:val="1"/>
          <w:color w:val="000000"/>
          <w:rtl w:val="0"/>
        </w:rPr>
        <w:t xml:space="preserve">Fig. 5 </w:t>
      </w:r>
    </w:p>
    <w:p w:rsidR="00000000" w:rsidDel="00000000" w:rsidP="00000000" w:rsidRDefault="00000000" w:rsidRPr="00000000" w14:paraId="0000009E">
      <w:pPr>
        <w:rPr>
          <w:b w:val="1"/>
          <w:color w:val="000000"/>
        </w:rPr>
      </w:pPr>
      <w:r w:rsidDel="00000000" w:rsidR="00000000" w:rsidRPr="00000000">
        <w:rPr>
          <w:rtl w:val="0"/>
        </w:rPr>
      </w:r>
    </w:p>
    <w:p w:rsidR="00000000" w:rsidDel="00000000" w:rsidP="00000000" w:rsidRDefault="00000000" w:rsidRPr="00000000" w14:paraId="0000009F">
      <w:pPr>
        <w:rPr>
          <w:b w:val="1"/>
          <w:color w:val="000000"/>
        </w:rPr>
      </w:pPr>
      <w:r w:rsidDel="00000000" w:rsidR="00000000" w:rsidRPr="00000000">
        <w:rPr>
          <w:b w:val="1"/>
          <w:color w:val="000000"/>
          <w:rtl w:val="0"/>
        </w:rPr>
        <w:t xml:space="preserve">Fig. 6 </w:t>
      </w:r>
    </w:p>
    <w:p w:rsidR="00000000" w:rsidDel="00000000" w:rsidP="00000000" w:rsidRDefault="00000000" w:rsidRPr="00000000" w14:paraId="000000A0">
      <w:pPr>
        <w:rPr>
          <w:b w:val="1"/>
          <w:color w:val="000000"/>
        </w:rPr>
      </w:pPr>
      <w:r w:rsidDel="00000000" w:rsidR="00000000" w:rsidRPr="00000000">
        <w:rPr>
          <w:rtl w:val="0"/>
        </w:rPr>
      </w:r>
    </w:p>
    <w:p w:rsidR="00000000" w:rsidDel="00000000" w:rsidP="00000000" w:rsidRDefault="00000000" w:rsidRPr="00000000" w14:paraId="000000A1">
      <w:pPr>
        <w:rPr/>
      </w:pPr>
      <w:r w:rsidDel="00000000" w:rsidR="00000000" w:rsidRPr="00000000">
        <w:rPr>
          <w:b w:val="1"/>
          <w:color w:val="000000"/>
          <w:rtl w:val="0"/>
        </w:rPr>
        <w:t xml:space="preserve">Fig. 7 </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C62964"/>
    <w:pPr>
      <w:keepNext w:val="1"/>
      <w:keepLines w:val="1"/>
      <w:spacing w:before="240"/>
      <w:outlineLvl w:val="0"/>
    </w:pPr>
    <w:rPr>
      <w:rFonts w:asciiTheme="majorHAnsi" w:cstheme="majorBidi" w:eastAsiaTheme="majorEastAsia" w:hAnsiTheme="majorHAnsi"/>
      <w:color w:val="2f5496" w:themeColor="accent1" w:themeShade="0000BF"/>
      <w:sz w:val="32"/>
      <w:szCs w:val="32"/>
      <w:lang w:eastAsia="es-MX"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4A3A32"/>
    <w:pPr>
      <w:spacing w:after="100" w:afterAutospacing="1" w:before="100" w:beforeAutospacing="1"/>
    </w:pPr>
    <w:rPr>
      <w:rFonts w:ascii="Times New Roman" w:cs="Times New Roman" w:eastAsia="Times New Roman" w:hAnsi="Times New Roman"/>
      <w:lang w:eastAsia="es-MX"/>
    </w:rPr>
  </w:style>
  <w:style w:type="paragraph" w:styleId="Ttulo">
    <w:name w:val="Title"/>
    <w:basedOn w:val="Normal"/>
    <w:next w:val="Normal"/>
    <w:link w:val="TtuloCar"/>
    <w:uiPriority w:val="10"/>
    <w:qFormat w:val="1"/>
    <w:rsid w:val="00746BB8"/>
    <w:pPr>
      <w:keepNext w:val="1"/>
      <w:keepLines w:val="1"/>
      <w:spacing w:after="120" w:before="480"/>
    </w:pPr>
    <w:rPr>
      <w:rFonts w:ascii="Calibri" w:cs="Calibri" w:eastAsia="Calibri" w:hAnsi="Calibri"/>
      <w:b w:val="1"/>
      <w:sz w:val="72"/>
      <w:szCs w:val="72"/>
      <w:lang w:eastAsia="es-MX" w:val="en-US"/>
    </w:rPr>
  </w:style>
  <w:style w:type="character" w:styleId="TtuloCar" w:customStyle="1">
    <w:name w:val="Título Car"/>
    <w:basedOn w:val="Fuentedeprrafopredeter"/>
    <w:link w:val="Ttulo"/>
    <w:uiPriority w:val="10"/>
    <w:rsid w:val="00746BB8"/>
    <w:rPr>
      <w:rFonts w:ascii="Calibri" w:cs="Calibri" w:eastAsia="Calibri" w:hAnsi="Calibri"/>
      <w:b w:val="1"/>
      <w:sz w:val="72"/>
      <w:szCs w:val="72"/>
      <w:lang w:eastAsia="es-MX" w:val="en-US"/>
    </w:rPr>
  </w:style>
  <w:style w:type="paragraph" w:styleId="MDPI13authornames" w:customStyle="1">
    <w:name w:val="MDPI_1.3_authornames"/>
    <w:next w:val="Normal"/>
    <w:qFormat w:val="1"/>
    <w:rsid w:val="00746BB8"/>
    <w:pPr>
      <w:adjustRightInd w:val="0"/>
      <w:snapToGrid w:val="0"/>
      <w:spacing w:after="360" w:line="260" w:lineRule="atLeast"/>
    </w:pPr>
    <w:rPr>
      <w:rFonts w:ascii="Palatino Linotype" w:cs="Times New Roman" w:eastAsia="Times New Roman" w:hAnsi="Palatino Linotype"/>
      <w:b w:val="1"/>
      <w:color w:val="000000"/>
      <w:sz w:val="20"/>
      <w:szCs w:val="22"/>
      <w:lang w:bidi="en-US" w:eastAsia="de-DE" w:val="en-US"/>
    </w:rPr>
  </w:style>
  <w:style w:type="paragraph" w:styleId="MDPI14history" w:customStyle="1">
    <w:name w:val="MDPI_1.4_history"/>
    <w:basedOn w:val="Normal"/>
    <w:next w:val="Normal"/>
    <w:qFormat w:val="1"/>
    <w:rsid w:val="00746BB8"/>
    <w:pPr>
      <w:adjustRightInd w:val="0"/>
      <w:snapToGrid w:val="0"/>
      <w:spacing w:line="240" w:lineRule="atLeast"/>
      <w:ind w:right="113"/>
    </w:pPr>
    <w:rPr>
      <w:rFonts w:ascii="Palatino Linotype" w:cs="Times New Roman" w:eastAsia="Times New Roman" w:hAnsi="Palatino Linotype"/>
      <w:color w:val="000000"/>
      <w:sz w:val="14"/>
      <w:szCs w:val="20"/>
      <w:lang w:bidi="en-US" w:eastAsia="de-DE" w:val="en-US"/>
    </w:rPr>
  </w:style>
  <w:style w:type="paragraph" w:styleId="MDPI16affiliation" w:customStyle="1">
    <w:name w:val="MDPI_1.6_affiliation"/>
    <w:qFormat w:val="1"/>
    <w:rsid w:val="00746BB8"/>
    <w:pPr>
      <w:adjustRightInd w:val="0"/>
      <w:snapToGrid w:val="0"/>
      <w:spacing w:line="200" w:lineRule="atLeast"/>
      <w:ind w:left="2806" w:hanging="198"/>
    </w:pPr>
    <w:rPr>
      <w:rFonts w:ascii="Palatino Linotype" w:cs="Times New Roman" w:eastAsia="Times New Roman" w:hAnsi="Palatino Linotype"/>
      <w:color w:val="000000"/>
      <w:sz w:val="16"/>
      <w:szCs w:val="18"/>
      <w:lang w:bidi="en-US" w:eastAsia="de-DE" w:val="en-US"/>
    </w:rPr>
  </w:style>
  <w:style w:type="paragraph" w:styleId="MDPI61Citation" w:customStyle="1">
    <w:name w:val="MDPI_6.1_Citation"/>
    <w:qFormat w:val="1"/>
    <w:rsid w:val="00746BB8"/>
    <w:pPr>
      <w:adjustRightInd w:val="0"/>
      <w:snapToGrid w:val="0"/>
      <w:spacing w:line="240" w:lineRule="atLeast"/>
      <w:ind w:right="113"/>
    </w:pPr>
    <w:rPr>
      <w:rFonts w:ascii="Palatino Linotype" w:cs="Cordia New" w:eastAsia="SimSun" w:hAnsi="Palatino Linotype"/>
      <w:sz w:val="14"/>
      <w:szCs w:val="22"/>
      <w:lang w:eastAsia="zh-CN" w:val="en-US"/>
    </w:rPr>
  </w:style>
  <w:style w:type="paragraph" w:styleId="MDPI63Notes" w:customStyle="1">
    <w:name w:val="MDPI_6.3_Notes"/>
    <w:qFormat w:val="1"/>
    <w:rsid w:val="00746BB8"/>
    <w:pPr>
      <w:adjustRightInd w:val="0"/>
      <w:snapToGrid w:val="0"/>
      <w:spacing w:after="120" w:line="240" w:lineRule="atLeast"/>
      <w:ind w:right="113"/>
    </w:pPr>
    <w:rPr>
      <w:rFonts w:ascii="Palatino Linotype" w:cs="Times New Roman" w:eastAsia="SimSun" w:hAnsi="Palatino Linotype"/>
      <w:snapToGrid w:val="0"/>
      <w:color w:val="000000"/>
      <w:sz w:val="14"/>
      <w:szCs w:val="20"/>
      <w:lang w:bidi="en-US" w:val="en-US"/>
    </w:rPr>
  </w:style>
  <w:style w:type="paragraph" w:styleId="MDPI15academiceditor" w:customStyle="1">
    <w:name w:val="MDPI_1.5_academic_editor"/>
    <w:qFormat w:val="1"/>
    <w:rsid w:val="00746BB8"/>
    <w:pPr>
      <w:adjustRightInd w:val="0"/>
      <w:snapToGrid w:val="0"/>
      <w:spacing w:before="120" w:line="240" w:lineRule="atLeast"/>
      <w:ind w:right="113"/>
    </w:pPr>
    <w:rPr>
      <w:rFonts w:ascii="Palatino Linotype" w:cs="Times New Roman" w:eastAsia="Times New Roman" w:hAnsi="Palatino Linotype"/>
      <w:color w:val="000000"/>
      <w:sz w:val="14"/>
      <w:szCs w:val="22"/>
      <w:lang w:bidi="en-US" w:eastAsia="de-DE" w:val="en-US"/>
    </w:rPr>
  </w:style>
  <w:style w:type="paragraph" w:styleId="MDPI21heading1" w:customStyle="1">
    <w:name w:val="MDPI_2.1_heading1"/>
    <w:qFormat w:val="1"/>
    <w:rsid w:val="00ED3AF4"/>
    <w:pPr>
      <w:adjustRightInd w:val="0"/>
      <w:snapToGrid w:val="0"/>
      <w:spacing w:after="60" w:before="240" w:line="228" w:lineRule="auto"/>
      <w:ind w:left="2608"/>
      <w:outlineLvl w:val="0"/>
    </w:pPr>
    <w:rPr>
      <w:rFonts w:ascii="Palatino Linotype" w:cs="Times New Roman" w:eastAsia="Times New Roman" w:hAnsi="Palatino Linotype"/>
      <w:b w:val="1"/>
      <w:snapToGrid w:val="0"/>
      <w:color w:val="000000"/>
      <w:sz w:val="20"/>
      <w:szCs w:val="22"/>
      <w:lang w:bidi="en-US" w:eastAsia="de-DE" w:val="en-US"/>
    </w:rPr>
  </w:style>
  <w:style w:type="paragraph" w:styleId="MDPI22heading2" w:customStyle="1">
    <w:name w:val="MDPI_2.2_heading2"/>
    <w:qFormat w:val="1"/>
    <w:rsid w:val="00C62964"/>
    <w:pPr>
      <w:adjustRightInd w:val="0"/>
      <w:snapToGrid w:val="0"/>
      <w:spacing w:after="60" w:before="60" w:line="228" w:lineRule="auto"/>
      <w:ind w:left="2608"/>
      <w:outlineLvl w:val="1"/>
    </w:pPr>
    <w:rPr>
      <w:rFonts w:ascii="Palatino Linotype" w:cs="Times New Roman" w:eastAsia="Times New Roman" w:hAnsi="Palatino Linotype"/>
      <w:i w:val="1"/>
      <w:noProof w:val="1"/>
      <w:snapToGrid w:val="0"/>
      <w:color w:val="000000"/>
      <w:sz w:val="20"/>
      <w:szCs w:val="22"/>
      <w:lang w:bidi="en-US" w:eastAsia="de-DE" w:val="en-US"/>
    </w:rPr>
  </w:style>
  <w:style w:type="character" w:styleId="Ttulo1Car" w:customStyle="1">
    <w:name w:val="Título 1 Car"/>
    <w:basedOn w:val="Fuentedeprrafopredeter"/>
    <w:link w:val="Ttulo1"/>
    <w:uiPriority w:val="9"/>
    <w:rsid w:val="00C62964"/>
    <w:rPr>
      <w:rFonts w:asciiTheme="majorHAnsi" w:cstheme="majorBidi" w:eastAsiaTheme="majorEastAsia" w:hAnsiTheme="majorHAnsi"/>
      <w:color w:val="2f5496" w:themeColor="accent1" w:themeShade="0000BF"/>
      <w:sz w:val="32"/>
      <w:szCs w:val="32"/>
      <w:lang w:eastAsia="es-MX"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irnet.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SzPPIN2N91VhgkDQr+UW95mCQ==">CgMxLjAyDmgueXIycncyY2FwaHhwMg5oLm9kbGN1cGVuNXl5YjgAciExeHRvdFo3OHdGUk9NR1lmWWQzdnlGT2htYmlJSlBKREk=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2023-06-02T05:59:00Z</dcterms:created>
  <dc:creator>YAIR ROMERO LOPEZ</dc:creator>
</cp:coreProperties>
</file>