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rPr>
      </w:pPr>
      <w:r w:rsidDel="00000000" w:rsidR="00000000" w:rsidRPr="00000000">
        <w:rPr>
          <w:b w:val="1"/>
          <w:bCs w:val="1"/>
          <w:rtl w:val="0"/>
        </w:rPr>
        <w:t xml:space="preserve">BIST100 Endeks Tahmininde Makine Öğrenmesi ve Derin Öğrenme Yöntemlerinin Karşılaştırmalı Analizi </w:t>
      </w:r>
    </w:p>
    <w:p w:rsidR="00000000" w:rsidDel="00000000" w:rsidP="00000000" w:rsidRDefault="00000000" w:rsidRPr="00000000" w14:paraId="00000002">
      <w:pPr>
        <w:spacing w:after="40" w:lineRule="auto"/>
        <w:jc w:val="center"/>
        <w:rPr>
          <w:b w:val="1"/>
          <w:bCs w:val="1"/>
        </w:rPr>
      </w:pPr>
      <w:r w:rsidDel="00000000" w:rsidR="00000000" w:rsidRPr="00000000">
        <w:rPr>
          <w:rtl w:val="0"/>
        </w:rPr>
      </w:r>
    </w:p>
    <w:p w:rsidR="00000000" w:rsidDel="00000000" w:rsidP="00000000" w:rsidRDefault="00000000" w:rsidRPr="00000000" w14:paraId="00000003">
      <w:pPr>
        <w:spacing w:after="24" w:before="36" w:lineRule="auto"/>
        <w:rPr/>
      </w:pPr>
      <w:r w:rsidDel="00000000" w:rsidR="00000000" w:rsidRPr="00000000">
        <w:rPr>
          <w:rtl w:val="0"/>
        </w:rPr>
      </w:r>
    </w:p>
    <w:p w:rsidR="00000000" w:rsidDel="00000000" w:rsidP="00000000" w:rsidRDefault="00000000" w:rsidRPr="00000000" w14:paraId="00000004">
      <w:pPr>
        <w:spacing w:after="24" w:before="36" w:lineRule="auto"/>
        <w:rPr>
          <w:b w:val="1"/>
          <w:bCs w:val="1"/>
        </w:rPr>
      </w:pPr>
      <w:r w:rsidDel="00000000" w:rsidR="00000000" w:rsidRPr="00000000">
        <w:rPr>
          <w:b w:val="1"/>
          <w:bCs w:val="1"/>
          <w:rtl w:val="0"/>
        </w:rPr>
        <w:t xml:space="preserve">Özet</w:t>
      </w:r>
    </w:p>
    <w:p w:rsidR="00000000" w:rsidDel="00000000" w:rsidP="00000000" w:rsidRDefault="00000000" w:rsidRPr="00000000" w14:paraId="00000005">
      <w:pPr>
        <w:spacing w:after="24" w:before="36" w:lineRule="auto"/>
        <w:rPr>
          <w:b w:val="1"/>
          <w:bCs w:val="1"/>
        </w:rPr>
      </w:pPr>
      <w:r w:rsidDel="00000000" w:rsidR="00000000" w:rsidRPr="00000000">
        <w:rPr>
          <w:rtl w:val="0"/>
        </w:rPr>
      </w:r>
    </w:p>
    <w:p w:rsidR="00000000" w:rsidDel="00000000" w:rsidP="00000000" w:rsidRDefault="00000000" w:rsidRPr="00000000" w14:paraId="00000006">
      <w:pPr>
        <w:spacing w:after="12" w:line="276" w:lineRule="auto"/>
        <w:jc w:val="both"/>
        <w:rPr/>
      </w:pPr>
      <w:r w:rsidDel="00000000" w:rsidR="00000000" w:rsidRPr="00000000">
        <w:rPr>
          <w:rtl w:val="0"/>
        </w:rPr>
        <w:t xml:space="preserve">Hisse senedi piyasası tahmini, yüksek oynaklık ve doğrusal olmayan dinamikler nedeniyle geleneksel ekonometrik yöntemlerin sınırlı kaldığı, derin öğrenme ve makine öğrenmesi tekniklerinin giderek daha fazla kullanıldığı bir araştırma alanıdır. </w:t>
      </w:r>
      <w:sdt>
        <w:sdtPr>
          <w:id w:val="580562309"/>
          <w:tag w:val="goog_rdk_0"/>
        </w:sdtPr>
        <w:sdtContent>
          <w:commentRangeStart w:id="0"/>
        </w:sdtContent>
      </w:sdt>
      <w:r w:rsidDel="00000000" w:rsidR="00000000" w:rsidRPr="00000000">
        <w:rPr>
          <w:highlight w:val="yellow"/>
          <w:rtl w:val="0"/>
        </w:rPr>
        <w:t xml:space="preserve">Bu çalışma, Borsa İstanbul BIST100 endeksinin tahminine ilişkin literatürün kapsamlı bir taramasını sunmaktadır</w:t>
      </w:r>
      <w:commentRangeEnd w:id="0"/>
      <w:r w:rsidDel="00000000" w:rsidR="00000000" w:rsidRPr="00000000">
        <w:commentReference w:id="0"/>
      </w:r>
      <w:r w:rsidDel="00000000" w:rsidR="00000000" w:rsidRPr="00000000">
        <w:rPr>
          <w:rtl w:val="0"/>
        </w:rPr>
        <w:t xml:space="preserve">. IEEE Xplore, Google Scholar ve Web of Science veritabanlarında 2019-2026 yılları arasında yayımlanmış 19 akademik çalışma; veri seti yapıları, bağımsız değişken tercihleri, model mimarileri ve başarım ölçütleri açısından kronolojik bir çerçevede karşılaştırmalı olarak incelenmiştir. İncelenen çalışmalar, fiyat yönü sınıflandırmasından ve duygu analizinden zaman serisi regresyonuna, hibrit modellemeye ve oynaklık tahminine uzanan geniş bir yöntemsel yelpazeyi yansıtmaktadır. Yapılan analiz sonucunda literatürde iki temel boşluk tespit edilmiştir: literatürdeki çalışmaların büyük çoğunluğu endeksin genel yönüne veya sınırlı bir hisse grubuna odaklanmaktadır; yakın tarihli bazı araştırmalar (örn. Ergenç ve Aktaş, 2025b) makine öğrenmesi modellerinin performansını sektörel bazda ayrıştırarak incelemeye başlasa da, bu tür çok sektörlü ve geniş çaplı karşılaştırmalı analizler literatürde henüz standart bir uygulama haline gelmemiştir. </w:t>
      </w:r>
    </w:p>
    <w:p w:rsidR="00000000" w:rsidDel="00000000" w:rsidP="00000000" w:rsidRDefault="00000000" w:rsidRPr="00000000" w14:paraId="00000007">
      <w:pPr>
        <w:spacing w:after="12" w:line="276" w:lineRule="auto"/>
        <w:jc w:val="both"/>
        <w:rPr/>
      </w:pPr>
      <w:r w:rsidDel="00000000" w:rsidR="00000000" w:rsidRPr="00000000">
        <w:rPr>
          <w:rtl w:val="0"/>
        </w:rPr>
      </w:r>
    </w:p>
    <w:p w:rsidR="00000000" w:rsidDel="00000000" w:rsidP="00000000" w:rsidRDefault="00000000" w:rsidRPr="00000000" w14:paraId="00000008">
      <w:pPr>
        <w:spacing w:after="36.00000000000001" w:line="276" w:lineRule="auto"/>
        <w:jc w:val="both"/>
        <w:rPr/>
      </w:pPr>
      <w:r w:rsidDel="00000000" w:rsidR="00000000" w:rsidRPr="00000000">
        <w:rPr>
          <w:b w:val="1"/>
          <w:bCs w:val="1"/>
          <w:i w:val="1"/>
          <w:iCs w:val="1"/>
          <w:rtl w:val="0"/>
        </w:rPr>
        <w:t xml:space="preserve">Anahtar Kelimeler:</w:t>
      </w:r>
      <w:r w:rsidDel="00000000" w:rsidR="00000000" w:rsidRPr="00000000">
        <w:rPr>
          <w:i w:val="1"/>
          <w:iCs w:val="1"/>
          <w:rtl w:val="0"/>
        </w:rPr>
        <w:t xml:space="preserve"> BIST100, derin öğrenme, makine öğrenmesi, LSTM, zaman serisi tahmini, duygu analizi, hibrit modeller.</w:t>
      </w:r>
      <w:r w:rsidDel="00000000" w:rsidR="00000000" w:rsidRPr="00000000">
        <w:rPr>
          <w:rtl w:val="0"/>
        </w:rPr>
      </w:r>
    </w:p>
    <w:p w:rsidR="00000000" w:rsidDel="00000000" w:rsidP="00000000" w:rsidRDefault="00000000" w:rsidRPr="00000000" w14:paraId="00000009">
      <w:pPr>
        <w:spacing w:after="24" w:before="36" w:lineRule="auto"/>
        <w:rPr/>
      </w:pPr>
      <w:r w:rsidDel="00000000" w:rsidR="00000000" w:rsidRPr="00000000">
        <w:rPr>
          <w:rtl w:val="0"/>
        </w:rPr>
      </w:r>
    </w:p>
    <w:p w:rsidR="00000000" w:rsidDel="00000000" w:rsidP="00000000" w:rsidRDefault="00000000" w:rsidRPr="00000000" w14:paraId="0000000A">
      <w:pPr>
        <w:numPr>
          <w:ilvl w:val="0"/>
          <w:numId w:val="1"/>
        </w:numPr>
        <w:spacing w:after="24" w:before="36" w:lineRule="auto"/>
        <w:ind w:left="425" w:hanging="360"/>
        <w:rPr>
          <w:b w:val="1"/>
          <w:bCs w:val="1"/>
        </w:rPr>
      </w:pPr>
      <w:r w:rsidDel="00000000" w:rsidR="00000000" w:rsidRPr="00000000">
        <w:rPr>
          <w:b w:val="1"/>
          <w:bCs w:val="1"/>
          <w:rtl w:val="0"/>
        </w:rPr>
        <w:t xml:space="preserve">Giriş</w:t>
      </w:r>
    </w:p>
    <w:p w:rsidR="00000000" w:rsidDel="00000000" w:rsidP="00000000" w:rsidRDefault="00000000" w:rsidRPr="00000000" w14:paraId="0000000B">
      <w:pPr>
        <w:spacing w:after="24" w:before="36" w:lineRule="auto"/>
        <w:jc w:val="center"/>
        <w:rPr>
          <w:b w:val="1"/>
          <w:bCs w:val="1"/>
          <w:smallCaps w:val="1"/>
        </w:rPr>
      </w:pPr>
      <w:r w:rsidDel="00000000" w:rsidR="00000000" w:rsidRPr="00000000">
        <w:rPr>
          <w:rtl w:val="0"/>
        </w:rPr>
      </w:r>
    </w:p>
    <w:p w:rsidR="00000000" w:rsidDel="00000000" w:rsidP="00000000" w:rsidRDefault="00000000" w:rsidRPr="00000000" w14:paraId="0000000C">
      <w:pPr>
        <w:spacing w:after="12" w:line="276" w:lineRule="auto"/>
        <w:jc w:val="both"/>
        <w:rPr/>
      </w:pPr>
      <w:r w:rsidDel="00000000" w:rsidR="00000000" w:rsidRPr="00000000">
        <w:rPr>
          <w:rtl w:val="0"/>
        </w:rPr>
        <w:t xml:space="preserve">Hisse senedi piyasası tahminleri; doğrusal olmayan dinamikler, yüksek oynaklık ve pek çok birbirine bağlı faktörün eş zamanlı etkisi nedeniyle üzerinde yoğun araştırma yürütülen bir alan olmayı sürdürmektedir. Geleneksel ekonometrik yöntemler bir süre için piyasa davranışını modellemede yeterli sayılmış; ancak finansal zaman serilerindeki asimetri, kümeli oynaklık ve yapısal kırılmalar, bu yöntemlerin açıklayıcı gücünü sınırlandırmıştır. Derin öğrenme ve makine öğrenmesi tekniklerinin olgunlaşmasıyla birlikte araştırmacılar, bu yaklaşımları Borsa İstanbul BIST100 endeksinin tahmininde de sınamaya başlamıştır. Bu proje, BIST100 endeksi üzerinde geleneksel istatistiksel yöntemler ile makine öğrenmesi ve derin öğrenme tabanlı modellerin karşılaştırmalı bir analizini gerçekleştirmeyi amaçlamaktadır; temel hedef bu yöntemleri yalnızca betimlemek değil, BIST100 tahmininde hangi modellerin daha güvenilir sonuçlar ürettiğini sistematik biçimde ortaya koymaktır. Bu amaca ulaşmanın ilk adımı olarak aşağıda sunulan literatür taraması, 2019 yılından itibaren yayımlanan çalışmaları kronolojik bir çerçevede derleyerek her çalışmanın yöntemsel katkısını, veri altyapısını ve sınırlılıklarını birlikte tartışmaktadır. Bu inceleme yalnızca alana ilişkin genel bir görünüm sunmakla kalmamakta; projede karşılaştırmaya dahil edilecek modellerin hangi kriterlerle seçileceğine ve karşılaştırma sürecinde hangi metodolojik yolun izleneceğine doğrudan temel oluşturmaktadır.</w:t>
      </w:r>
    </w:p>
    <w:p w:rsidR="00000000" w:rsidDel="00000000" w:rsidP="00000000" w:rsidRDefault="00000000" w:rsidRPr="00000000" w14:paraId="0000000D">
      <w:pPr>
        <w:spacing w:after="12" w:line="276" w:lineRule="auto"/>
        <w:jc w:val="both"/>
        <w:rPr>
          <w:color w:val="ff0000"/>
        </w:rPr>
      </w:pPr>
      <w:r w:rsidDel="00000000" w:rsidR="00000000" w:rsidRPr="00000000">
        <w:rPr>
          <w:rtl w:val="0"/>
        </w:rPr>
      </w:r>
    </w:p>
    <w:p w:rsidR="00000000" w:rsidDel="00000000" w:rsidP="00000000" w:rsidRDefault="00000000" w:rsidRPr="00000000" w14:paraId="0000000E">
      <w:pPr>
        <w:spacing w:after="12" w:line="276" w:lineRule="auto"/>
        <w:jc w:val="both"/>
        <w:rPr/>
      </w:pPr>
      <w:r w:rsidDel="00000000" w:rsidR="00000000" w:rsidRPr="00000000">
        <w:rPr>
          <w:rtl w:val="0"/>
        </w:rPr>
      </w:r>
    </w:p>
    <w:p w:rsidR="00000000" w:rsidDel="00000000" w:rsidP="00000000" w:rsidRDefault="00000000" w:rsidRPr="00000000" w14:paraId="0000000F">
      <w:pPr>
        <w:spacing w:after="12" w:line="276" w:lineRule="auto"/>
        <w:jc w:val="both"/>
        <w:rPr/>
      </w:pPr>
      <w:r w:rsidDel="00000000" w:rsidR="00000000" w:rsidRPr="00000000">
        <w:rPr>
          <w:rtl w:val="0"/>
        </w:rPr>
      </w:r>
    </w:p>
    <w:p w:rsidR="00000000" w:rsidDel="00000000" w:rsidP="00000000" w:rsidRDefault="00000000" w:rsidRPr="00000000" w14:paraId="00000010">
      <w:pPr>
        <w:numPr>
          <w:ilvl w:val="0"/>
          <w:numId w:val="1"/>
        </w:numPr>
        <w:spacing w:after="36.00000000000001" w:line="276" w:lineRule="auto"/>
        <w:ind w:left="425" w:hanging="360"/>
        <w:jc w:val="both"/>
        <w:rPr>
          <w:b w:val="1"/>
          <w:bCs w:val="1"/>
        </w:rPr>
      </w:pPr>
      <w:r w:rsidDel="00000000" w:rsidR="00000000" w:rsidRPr="00000000">
        <w:rPr>
          <w:b w:val="1"/>
          <w:bCs w:val="1"/>
          <w:rtl w:val="0"/>
        </w:rPr>
        <w:t xml:space="preserve">Literatür Analizi</w:t>
      </w:r>
    </w:p>
    <w:p w:rsidR="00000000" w:rsidDel="00000000" w:rsidP="00000000" w:rsidRDefault="00000000" w:rsidRPr="00000000" w14:paraId="00000011">
      <w:pPr>
        <w:spacing w:after="24" w:before="36" w:lineRule="auto"/>
        <w:rPr>
          <w:b w:val="1"/>
          <w:bCs w:val="1"/>
          <w:smallCaps w:val="1"/>
        </w:rPr>
      </w:pPr>
      <w:r w:rsidDel="00000000" w:rsidR="00000000" w:rsidRPr="00000000">
        <w:rPr>
          <w:b w:val="1"/>
          <w:bCs w:val="1"/>
          <w:smallCaps w:val="1"/>
          <w:rtl w:val="0"/>
        </w:rPr>
        <w:t xml:space="preserve"> </w:t>
      </w:r>
    </w:p>
    <w:p w:rsidR="00000000" w:rsidDel="00000000" w:rsidP="00000000" w:rsidRDefault="00000000" w:rsidRPr="00000000" w14:paraId="00000012">
      <w:pPr>
        <w:spacing w:after="24" w:before="36" w:lineRule="auto"/>
        <w:rPr>
          <w:b w:val="1"/>
          <w:bCs w:val="1"/>
        </w:rPr>
      </w:pPr>
      <w:r w:rsidDel="00000000" w:rsidR="00000000" w:rsidRPr="00000000">
        <w:rPr>
          <w:b w:val="1"/>
          <w:bCs w:val="1"/>
          <w:smallCaps w:val="1"/>
          <w:rtl w:val="0"/>
        </w:rPr>
        <w:t xml:space="preserve">2.1. </w:t>
      </w:r>
      <w:r w:rsidDel="00000000" w:rsidR="00000000" w:rsidRPr="00000000">
        <w:rPr>
          <w:b w:val="1"/>
          <w:bCs w:val="1"/>
          <w:rtl w:val="0"/>
        </w:rPr>
        <w:t xml:space="preserve">BIST100 endeksinin tahminine ilişkin kavramsal çerçeve</w:t>
      </w:r>
    </w:p>
    <w:p w:rsidR="00000000" w:rsidDel="00000000" w:rsidP="00000000" w:rsidRDefault="00000000" w:rsidRPr="00000000" w14:paraId="00000013">
      <w:pPr>
        <w:spacing w:after="24" w:before="36" w:lineRule="auto"/>
        <w:rPr/>
      </w:pPr>
      <w:r w:rsidDel="00000000" w:rsidR="00000000" w:rsidRPr="00000000">
        <w:rPr>
          <w:rtl w:val="0"/>
        </w:rPr>
      </w:r>
    </w:p>
    <w:p w:rsidR="00000000" w:rsidDel="00000000" w:rsidP="00000000" w:rsidRDefault="00000000" w:rsidRPr="00000000" w14:paraId="00000014">
      <w:pPr>
        <w:spacing w:after="12" w:line="276" w:lineRule="auto"/>
        <w:jc w:val="both"/>
        <w:rPr/>
      </w:pPr>
      <w:r w:rsidDel="00000000" w:rsidR="00000000" w:rsidRPr="00000000">
        <w:rPr>
          <w:rtl w:val="0"/>
        </w:rPr>
        <w:t xml:space="preserve">Borsa İstanbul BIST100 endeksinin tahminine ilişkin kavramsal çerçeveyi oluşturmak amacıyla bu bölümde kapsamlı bir literatür analizi sunulmuştur. Bu kapsamda, IEEE Xplore, Google Scholar ve Web of Science veritabanlarında yayımlanmış akademik çalışmalar "stock price prediction LSTM", "BIST100 machine learning forecasting", "ARIMA vs LSTM time series comparison", "financial time series deep learning" ve "GRU stock market prediction" anahtar kelimeleriyle analiz edilmiştir. Analiz sonucunda araştırma konusunun özellikle ivme kazandığı 2019-2026 yılları arasındaki 19 akademik çalışma ele alınmaktadır. İncelenen çalışmalar, derin öğrenme mimarileri, makine öğrenmesi algoritmaları, doğal dil işleme tabanlı duygu analizi ve hibrit modelleme yaklaşımları etrafında şekillenmektedir. Literatür analizi, çalışmaların veri seti yapıları, bağımsız değişken tercihleri, model mimarileri ve başarım ölçütleri açısından karşılaştırmalı bir perspektifi kronolojik olarak sunmaktadır.</w:t>
      </w:r>
    </w:p>
    <w:p w:rsidR="00000000" w:rsidDel="00000000" w:rsidP="00000000" w:rsidRDefault="00000000" w:rsidRPr="00000000" w14:paraId="00000015">
      <w:pPr>
        <w:spacing w:after="12" w:line="276" w:lineRule="auto"/>
        <w:ind w:firstLine="720"/>
        <w:jc w:val="both"/>
        <w:rPr/>
      </w:pPr>
      <w:r w:rsidDel="00000000" w:rsidR="00000000" w:rsidRPr="00000000">
        <w:rPr>
          <w:rtl w:val="0"/>
        </w:rPr>
        <w:t xml:space="preserve">Othan, Kilimci ve Uysal (2019), BIST100 bünyesindeki sekiz banka hissesinin (Akbank, Albaraka, Garanti, Halkbank, İş Bankası, TSKB, Vakıfbank, Yapı Kredi) fiyat yönünü tahmin etmek amacıyla Twitter'dan derlenen Türkçe kullanıcı yorumlarını analiz etmiştir. Selenium aracılığıyla 1 Eylül 2018 - 1 Eylül 2019 tarihleri arasında 117.136 tweet toplanmış; durak kelime eliminasyonu, hashtag/URL kaldırma ve kök bulma işlemleri gerçekleştirilmiştir. Etiketleme için Hepsiburada ürün yorumları üzerinde eğitilmiş Naive Bayes tabanlı Türkçe duygu sınıflandırıcısı kullanılmış, veri %80 eğitim ve %20 test olarak ayrılmıştır. Çalışmada CNN, RNN ve LSTM modelleri ile BERT (Bidirectional Encoder Representations from Transformers) karşılaştırılmıştır. BERT, veriyi hem soldan sağa hem de sağdan sola işleyerek bağlamsal temsil üretmekte; ince ayar (fine-tuning) mekanizması sayesinde sınıflandırma görevlerine kolayca uyarlanabilmektedir. Model değerlendirmesinde doğruluk (accuracy) temel ölçüt olarak benimsenmiştir. Ortalama doğruluk değerleri karşılaştırıldığında sıralama BERT (%96,26) &gt; RNN &gt; CNN &gt; LSTM şeklinde gerçekleşmiştir. BERT, TSKB hissesinde %98,71, VAKBN hissesinde ise %98,63 doğrulukla öne çıkmıştır. AKBNK ve GARAN hisselerinde RNN, BERT'i sırasıyla yaklaşık %2 ve %1 oranında geride bırakmıştır. Çalışma, Türkçe finansal metinlerde BERT etkinliğini deneysel olarak sınayan öncü çalışmalardan biri olma özelliğini korumaktadır. Temel metodolojik kısıt, İngilizce temelli TextBlob'un Türkçe etiketleme sürecinde kullanılmış olmasıdır.</w:t>
      </w:r>
    </w:p>
    <w:p w:rsidR="00000000" w:rsidDel="00000000" w:rsidP="00000000" w:rsidRDefault="00000000" w:rsidRPr="00000000" w14:paraId="00000016">
      <w:pPr>
        <w:spacing w:after="12" w:line="276" w:lineRule="auto"/>
        <w:ind w:firstLine="720"/>
        <w:jc w:val="both"/>
        <w:rPr/>
      </w:pPr>
      <w:r w:rsidDel="00000000" w:rsidR="00000000" w:rsidRPr="00000000">
        <w:rPr>
          <w:rtl w:val="0"/>
        </w:rPr>
        <w:t xml:space="preserve">Koç (2021), BIST100 endeksinde işlem gören Pegasus (ulaşım) ve İş Bankası (bankacılık) hisselerinin orta vadeli yönlü tahminini makine öğrenmesi algoritmaları aracılığıyla gerçekleştirmiştir. 1 Ocak 2017 - 30 Nisan 2021 arasındaki kapanış verileri İdeal programının veritabanından temin edilmiş; günlük, 21 ve 63 günlük getiriler ile volatilite analizleri Excel ortamında yapılmıştır. Pegasus hissesinin 63 günlük standart sapması %26 iken, İş Bankası için bu değerin %12 düzeyinde kaldığı görülmüştür. Yapay sinir ağı (YSA) modelinde pencere büyüklüğü (k=5, 7, 15), nöron sayısı (N=30, 40, 60) ve getiri eşiği (P=%3, %5) kombinasyonları denenmiştir. LSTM modeli ise %80-%20 ve %90-%10 eğitim-test ayrımları ile 40, 60 ve 100 gizli birim değerlerinde test edilmiştir. %3 eşiği, her iki hisse için daha yüksek gerçek pozitif değerleri üretmiştir. İş Bankası için en düşük LSTM RMSE değeri 0,12518 iken Pegasus için bu değer 2,5956 düzeyinde kalmıştır. Çalışma; yüksek volatiliteli hisselerde LSTM'nin güvenilir tahmin üretmekte yetersiz kaldığını, buna karşın düşük volatiliteli hisselerde YSA'ya kıyasla daha anlamlı çıktılar verdiğini ortaya koymaktadır.</w:t>
      </w:r>
    </w:p>
    <w:p w:rsidR="00000000" w:rsidDel="00000000" w:rsidP="00000000" w:rsidRDefault="00000000" w:rsidRPr="00000000" w14:paraId="00000017">
      <w:pPr>
        <w:spacing w:after="12" w:line="276" w:lineRule="auto"/>
        <w:ind w:firstLine="720"/>
        <w:jc w:val="both"/>
        <w:rPr/>
      </w:pPr>
      <w:r w:rsidDel="00000000" w:rsidR="00000000" w:rsidRPr="00000000">
        <w:rPr>
          <w:rtl w:val="0"/>
        </w:rPr>
        <w:t xml:space="preserve">Kilimci, Kilimci ve Yıldırım (2021), BIST100 fiyat tahmini için bireysel derin öğrenme modellerini Karar Birleştirme Stratejisi (DIS) çerçevesinde bir araya getirmiştir. Şubat 2011 - Şubat 2021 arasındaki on yıllık periyoda ait veriler kullanılmış; Dow Jones, NASDAQ, S&amp;P 500, Şanghay ve Tokyo dahil olmak üzere 18 farklı borsa endeksi ile USD/TRY, EUR/USD ve ABD tahvil faizleri bağımsız değişkenler olarak modele eklenmiştir. Veri %70 eğitim ve %30 test olarak ayrılmış; tüm modellerde ReLU aktivasyonu, ADAM optimizasyonu ve MSE kayıp fonksiyonu kullanılmıştır. MLP, CNN ve LSTM modellerinin tahminleri Gradient Boosting Regressor aracılığıyla birleştirilen DIS modeli, 4,93 MAPE değeriyle en düşük hatayı göstermiştir. Bireysel model sıralaması CNN (5,71) &gt; LSTM (6,66) &gt; MLP (6,99) şeklinde gerçekleşmiştir. Topluluk yaklaşımının bireysel modellere kıyasla belirgin üstünlüğü, model çeşitliliğinin finansal tahmin problemlerindeki artı değerini somut olarak ortaya koymaktadır. Sosyal medya verisinin ve teknik göstergelerin sisteme dahil edilmemiş olması, çalışmanın başlıca sınırlılıkları arasında yer almaktadır.</w:t>
      </w:r>
    </w:p>
    <w:p w:rsidR="00000000" w:rsidDel="00000000" w:rsidP="00000000" w:rsidRDefault="00000000" w:rsidRPr="00000000" w14:paraId="00000018">
      <w:pPr>
        <w:spacing w:after="12" w:line="276" w:lineRule="auto"/>
        <w:ind w:firstLine="720"/>
        <w:jc w:val="both"/>
        <w:rPr/>
      </w:pPr>
      <w:r w:rsidDel="00000000" w:rsidR="00000000" w:rsidRPr="00000000">
        <w:rPr>
          <w:rtl w:val="0"/>
        </w:rPr>
        <w:t xml:space="preserve">Othan ve Kilimci (2021), BIST100 endeksinin yön tahmininde geleneksel sözcük gömme modelleri (Word2Vec, GloVe, FastText), derin öğrenme algoritmaları (CNN, RNN, LSTM) ve yeni nesil bağlamsal temsil modelleri (BERT, ELMo, ULMFiT) arasında kapsamlı bir karşılaştırma yapmıştır. BIST100 bünyesindeki dokuz banka hissesine ait Türkçe Twitter yorumları (2.364 dosya, 117.136 tweet) ön işlemeden geçirilerek 71.405 olumlu ve 45.731 olumsuz olmak üzere etiketlenmiştir. Veri setinin %80'i eğitim amacıyla ayrılmıştır. ELMo, çift yönlü LSTM mimarisini kullanarak sözcükleri bağlam içinde temsil eden ve karakter tabanlı yapısıyla bilinmeyen sözcükleri de kapsayan bir modeldir. Deneysel bulgular, ELMo'nun %87,70 ortalama doğrulukla tüm modeller arasında birinci sıraya yerleştiğini göstermektedir. Model sıralaması ELMo &gt; BERT &gt; RNN &gt; LSTM &gt; ULMFiT &gt; FastText &gt; Word2Vec &gt; GloVe &gt; CNN biçiminde gerçekleşmiştir. Etikelemede kullanılan Hepsiburada verisinin borsa söyleminin dilsel yapısını tam anlamıyla yansıtmaması çalışmanın temel kısıtı olarak değerlendirilmektedir.</w:t>
      </w:r>
    </w:p>
    <w:p w:rsidR="00000000" w:rsidDel="00000000" w:rsidP="00000000" w:rsidRDefault="00000000" w:rsidRPr="00000000" w14:paraId="00000019">
      <w:pPr>
        <w:spacing w:after="12" w:line="276" w:lineRule="auto"/>
        <w:ind w:firstLine="720"/>
        <w:jc w:val="both"/>
        <w:rPr/>
      </w:pPr>
      <w:r w:rsidDel="00000000" w:rsidR="00000000" w:rsidRPr="00000000">
        <w:rPr>
          <w:rtl w:val="0"/>
        </w:rPr>
        <w:t xml:space="preserve">Aker (2022), BIST100 endeksinin yüksek oynaklık sergilediği 2021 yılına ait 248 günlük kapanış verisini (Yahoo Finance) kullanarak LSTM ve Facebook Prophet modellerini karşılaştırmıştır. LSTM, 4 gizli katman ve 50 nörondan oluşan bir mimariyle, 50 küme çapraz doğrulama ve 10 epoch ile eğitilmiş; veri %80 eğitim ve %20 test olarak ayrılmıştır. Facebook Prophet, mevsimsellik, tatil etkisi ve büyüme eğrisi bileşenlerinden oluşan zaman serisi odaklı bir modeldir. MAE, MSE ve RMSE kriterleri üzerinden değerlendirildiğinde LSTM (106, 15.845, 126 değerleriyle), Facebook Prophet'i (324, 155.653, 395) tüm ölçütlerde belirgin biçimde geride bırakmıştır. LSTM, düzensiz fiyat hareketlerinin yoğun yaşandığı dönemlerde dahi kapanış değerlerini başarıyla takip etmiştir. Benzer bulgular USD/TRY ve S&amp;P 500 üzerine yapılan çalışmalarda da gözlemlenmiştir. Araştırmacı, enflasyon, faiz ve döviz kuru gibi ek değişkenlerin modele eklenmesinin tahmin doğruluğunu artırabileceğini önermiştir.</w:t>
      </w:r>
    </w:p>
    <w:p w:rsidR="00000000" w:rsidDel="00000000" w:rsidP="00000000" w:rsidRDefault="00000000" w:rsidRPr="00000000" w14:paraId="0000001A">
      <w:pPr>
        <w:spacing w:after="12" w:line="276" w:lineRule="auto"/>
        <w:ind w:firstLine="720"/>
        <w:jc w:val="both"/>
        <w:rPr/>
      </w:pPr>
      <w:r w:rsidDel="00000000" w:rsidR="00000000" w:rsidRPr="00000000">
        <w:rPr>
          <w:rtl w:val="0"/>
        </w:rPr>
        <w:t xml:space="preserve">Bulut ve Hüdaverdi (2022), hibrit yaklaşımların tekil modellere kıyasla tahmin performansı üzerindeki etkisini incelemek amacıyla NASDAQ, DAX, NSE ve BIST100 endekslerinin 1 Ocak 2017 - 18 Ekim 2021 arasındaki günlük kapanış verilerini kullanmıştır. Veri seti %70 eğitim ve %30 test olarak bölünmüş; hibrit modellemede önce doğrusal yapı ARIMA veya ARIMA-EGARCH ile modellenmiş, ardından artıklar LSTM ya da SVM ile işlenmiştir. Model seçiminde Akaike Bilgi Kriteri (AIC) esas alınmıştır. BIST100 için en başarılı yaklaşım ARIMA-SVM hibrit modeli olmuş (MAE=0,00183, MAPE=0,82378, RMSE=0,00302); NASDAQ'ta ise ARIMA-EGARCH-SVM kombinasyonu öne çıkmıştır. Hibrit modellerin her iki piyasa türünde de tutarlı biçimde daha düşük hata değerleri ürettiği ve volatilite modellemesinin tahmin başarısını anlamlı ölçüde artırdığı ortaya konmuştur.</w:t>
      </w:r>
    </w:p>
    <w:p w:rsidR="00000000" w:rsidDel="00000000" w:rsidP="00000000" w:rsidRDefault="00000000" w:rsidRPr="00000000" w14:paraId="0000001B">
      <w:pPr>
        <w:spacing w:after="12" w:line="276" w:lineRule="auto"/>
        <w:ind w:firstLine="720"/>
        <w:jc w:val="both"/>
        <w:rPr/>
      </w:pPr>
      <w:r w:rsidDel="00000000" w:rsidR="00000000" w:rsidRPr="00000000">
        <w:rPr>
          <w:rtl w:val="0"/>
        </w:rPr>
        <w:t xml:space="preserve">Sarıkoç ve Çelik (2022), BIST100 endeksinin 5 gün sonrasının fiyatını tahmin etmek amacıyla LSTM modeline Faktör Analizi (FA), Temel Bileşen Analizi (PCA) ve Bağımsız Bileşen Analizi (ICA) yöntemlerini entegre etmiştir. 20 Eylül 2002 - 24 Temmuz 2020 arasındaki 4.422 günlük veri kullanılmış; ham veri EMA, SMA, RSI, ATR ve Fibonacci düzeltme seviyeleri gibi teknik göstergelerle genişletilerek 49 özniteliklik bir veri seti oluşturulmuştur. Veri %70 eğitim, %10 doğrulama ve %20 test olarak ayrılmış; LSTM mimarisi iki tekrarlayan ve iki tam bağlantılı katmandan oluşmaktadır. Tek başına kullanılan LSTM modeli R²=0,844 ve RMSE=0,031 değerlerine ulaşırken, PCA+LSTM kombinasyonu (8 öznitelik) R²=0,883 ve RMSE=0,027 ile en yüksek başarımı sergilemiştir. Bu sonuç, tek başına LSTM'ye kıyasla R² skorunda %4,60 ve RMSE değerinde %13,35 iyileşmeye karşılık gelmektedir. FA+LSTM ve ICA+LSTM modellerinin en iyi sonuçları R²=0,868 düzeyinde kalmıştır. Yalnızca tarihsel fiyat ve teknik gösterge verilerinin kullanılmış olması temel bir sınırlılık olarak değerlendirilmektedir.</w:t>
      </w:r>
    </w:p>
    <w:p w:rsidR="00000000" w:rsidDel="00000000" w:rsidP="00000000" w:rsidRDefault="00000000" w:rsidRPr="00000000" w14:paraId="0000001C">
      <w:pPr>
        <w:spacing w:after="12" w:line="276" w:lineRule="auto"/>
        <w:ind w:firstLine="720"/>
        <w:jc w:val="both"/>
        <w:rPr/>
      </w:pPr>
      <w:r w:rsidDel="00000000" w:rsidR="00000000" w:rsidRPr="00000000">
        <w:rPr>
          <w:rtl w:val="0"/>
        </w:rPr>
        <w:t xml:space="preserve">Gür (2024), BIST100 endeksinin tahmininde sekiz farklı modeli karşılaştırmalı biçimde değerlendirmiştir: LSTM, GRU, CNN, Random Forest (RF), KNN, MLP, RBF ve SVM. Ocak 2022 - Eylül 2023 arasındaki 425 günlük veri kullanılmış; gram altın, dolar/TL, euro/TL, Brent petrol, BIST işlem hacmi ve miktarı, repo faiz oranı ile XUSIN endeksi bağımsız değişkenler olarak modele dahil edilmiştir. Veriler min-max normalizasyonuyla [0,1] aralığına dönüştürülmüş ve %80 eğitim, %20 test olarak ayrılmıştır. CNN modeli RMSE=55,40 ve R²=0,9986 ile tüm modeller arasında en üstün performansı sergilemiştir; bunu RF (RMSE=63,19) ve GRU (RMSE=66,60) izlemiştir. LSTM derin öğrenme modelleri arasında en düşük başarımı (RMSE=80,41) gösterirken SVM, RMSE=434,91 ile tüm modeller içinde en zayıf konumda kalmıştır. Genel sıralama CNN &gt; RF &gt; GRU &gt; LSTM &gt; MLP &gt; RBF &gt; KNN &gt; SVM biçiminde gerçekleşmiştir. Makroekonomik değişkenlerin bağımsız girdi olarak kullanılması çalışmayı yalnızca tarihsel fiyat verilerine dayanan araştırmalardan ayrıştırmaktadır. Veri periyodunun görece kısa tutulması (425 gün), modellerin farklı piyasa koşullarına genellenebilirliğini sınırlayabilir.</w:t>
      </w:r>
    </w:p>
    <w:p w:rsidR="00000000" w:rsidDel="00000000" w:rsidP="00000000" w:rsidRDefault="00000000" w:rsidRPr="00000000" w14:paraId="0000001D">
      <w:pPr>
        <w:spacing w:after="12" w:line="276" w:lineRule="auto"/>
        <w:ind w:firstLine="720"/>
        <w:jc w:val="both"/>
        <w:rPr/>
      </w:pPr>
      <w:r w:rsidDel="00000000" w:rsidR="00000000" w:rsidRPr="00000000">
        <w:rPr>
          <w:rtl w:val="0"/>
        </w:rPr>
        <w:t xml:space="preserve">Çelik (2024), BIST100'ün günlük kapanış fiyatlarını tahmin etmek amacıyla LSTM ve GRU modellerini incelemiştir. 1 Temmuz 1997 - 1 Aralık 2023 arasındaki 6.600 günlük veri yfinance kütüphanesi aracılığıyla Yahoo Finance'ten temin edilmiştir. 27 Haziran 2020'deki ölçek dönüşümünden kaynaklanan tutarsızlık, önceki değerlerin 100'e bölünmesiyle giderilmiştir. Veriler %80 eğitim, %10 doğrulama ve %10 test olarak ayrılmış; her iki model de 60 günlük ardışık kapanış dizisini girdi olarak alarak bir sonraki günü tahmin edecek şekilde eğitilmiştir. Erken durdurma mekanizması sayesinde GRU 37., LSTM ise 70. epoch'ta eğitimini tamamlamıştır. Her iki model de genel eğilimleri başarıyla takip etmiştir; ancak ani fiyat hareketleri dönemlerinde gerçek değerlerden belirgin sapmalar gözlemlenmiştir. GRU'nun daha hızlı yakınsaması, basitleştirilmiş kapı yapısının hesaplama verimliliğine katkısını göstermektedir. Araştırmacı, teknik göstergelerin ve makroekonomik değişkenlerin eklenmesi ile hibrit mimarilerin denenmesini gelecek çalışmalar için önermektedir.</w:t>
      </w:r>
    </w:p>
    <w:p w:rsidR="00000000" w:rsidDel="00000000" w:rsidP="00000000" w:rsidRDefault="00000000" w:rsidRPr="00000000" w14:paraId="0000001E">
      <w:pPr>
        <w:spacing w:after="12" w:line="276" w:lineRule="auto"/>
        <w:ind w:firstLine="720"/>
        <w:jc w:val="both"/>
        <w:rPr/>
      </w:pPr>
      <w:r w:rsidDel="00000000" w:rsidR="00000000" w:rsidRPr="00000000">
        <w:rPr>
          <w:rtl w:val="0"/>
        </w:rPr>
        <w:t xml:space="preserve">Sönmez ve Coşkun Arslan (2024), BIST100 ve DAX endeksleri için teknik göstergeler yerine oynaklık endekslerini (VIX, GVZ, EVZ, OVX) girdi değişkeni olarak kullanan bir LSTM modeli geliştirmiştir. 30 Ocak 2012 - 26 Haziran 2024 arasındaki 2.957 günlük gözlem kullanılmış; model iki LSTM katmanından (her birinde 100 gizli birim) oluşmakta, 5 katlı çapraz doğrulama ve 140 epoch ile eğitilmektedir. Oynaklık endeksleri ile borsa endeksleri arasında ters yönlü bir hareket eğilimi gözlemlenmiştir. BIST100 için RMSE=0,0151, MAE=0,0076, MAPE=%0,04 ve R²=0,9948 elde edilmiştir; bu değerler endeks varyansının %99,48'inin model tarafından açıklandığına işaret etmektedir. DAX için ise R²=0,9829 olarak gerçekleşmiştir. Araştırmacılar, oynaklık endekslerinin ham fiyat verilerine kıyasla piyasa risk algısını daha doğrudan yansıttığını ve bu yaklaşımın yatırım stratejileri ile risk yönetimi açısından pratik değer taşıdığını vurgulamıştır.</w:t>
      </w:r>
    </w:p>
    <w:p w:rsidR="00000000" w:rsidDel="00000000" w:rsidP="00000000" w:rsidRDefault="00000000" w:rsidRPr="00000000" w14:paraId="0000001F">
      <w:pPr>
        <w:spacing w:after="12" w:line="276" w:lineRule="auto"/>
        <w:ind w:firstLine="720"/>
        <w:jc w:val="both"/>
        <w:rPr/>
      </w:pPr>
      <w:r w:rsidDel="00000000" w:rsidR="00000000" w:rsidRPr="00000000">
        <w:rPr>
          <w:rtl w:val="0"/>
        </w:rPr>
        <w:t xml:space="preserve">Kazak, Kumar, Gündüz, Akcan ve Bilgiç (2025), BIST100 fiyat tahmininde metasezgisel algoritmalarla optimize edilmiş ANFIS ve YSA modellerini karşılaştırmıştır. 2010-2023 dönemine ait haftalık frekansta 720 gözlem (540 eğitim, 180 test) kullanılmış; Altın/TL, VIX ve iki yıllık tahvil faizi bağımsız değişkenler olarak seçilmiştir. ANFIS mimarisi; bulanık mantık tabanlı kural çıkarım kapasitesini sinir ağlarının öğrenme yeteneğiyle birleştirmekte, ağırlık ve üyelik fonksiyonları ise Parçacık Sürü Optimizasyonu (PSO) ve Karınca Kolonisi Optimizasyonu (ACO) ile ince ayar yöntemiyle optimize edilmektedir. YSA modeli (MSE=0,0254, R²=0,9248) ve ANFIS-PSO (MSE=0,0261, R²=0,9226) en yüksek tahmin performansını sergilemiştir. ANFIS-PSO'nun eğitim süresi yalnızca 68,9 saniye iken, ANFIS-ACO 954 saniye gerektirmiştir; bu bulgular PSO tabanlı yaklaşımın hem doğruluk hem de hesaplama verimliliği açısından üstünlüğünü ortaya koymaktadır. Regresyon analizi, AU_TL, THV_2 ve VIX değişkenlerinin BIST100 varyansının yaklaşık %89,2'sini açıkladığını göstermiştir.</w:t>
      </w:r>
    </w:p>
    <w:p w:rsidR="00000000" w:rsidDel="00000000" w:rsidP="00000000" w:rsidRDefault="00000000" w:rsidRPr="00000000" w14:paraId="00000020">
      <w:pPr>
        <w:spacing w:after="12" w:line="276" w:lineRule="auto"/>
        <w:ind w:firstLine="720"/>
        <w:jc w:val="both"/>
        <w:rPr/>
      </w:pPr>
      <w:r w:rsidDel="00000000" w:rsidR="00000000" w:rsidRPr="00000000">
        <w:rPr>
          <w:rtl w:val="0"/>
        </w:rPr>
        <w:t xml:space="preserve">Varürer, Özaydın ve Çemrek (2025), BIST100 tahmininde LSTM, BILSTM ve CNN-LSTM modellerini karşılaştırmıştır. 1 Ocak 2014 - 28 Şubat 2025 arasındaki 2.802 günlük kapanış verisi kullanılmış; DAX, NASDAQ, S&amp;P 500, NIKKEI 225 ve FTSE 100 endeksleri bağımsız değişken olarak modele eklenmiştir. Veri %80 eğitim ve %20 test olarak ayrılmış; Min-Max normalizasyonu, batch size=32 ve epoch=50 parametreleriyle eğitilmiştir. CNN-LSTM mimarisi, evrişimsel katmanların yerel örüntü çıkarma yeteneğini LSTM'nin ardışık veri işleme kapasitesiyle birleştirir. CNN-LSTM hibrit modeli RMSE=170,87 ile en düşük hatayı elde etmiş; BILSTM (RMSE=178,57) yakın performansla ikinci sıraya yerleşmiş; standart LSTM ise RMSE=308,51 ile belirgin biçimde geride kalmıştır. Hibrit derin öğrenme mimarilerinin geleneksel LSTM yapısına kıyasla daha güçlü bir tahmin kapasitesi sunduğu somut verilerle ortaya konmuştur.</w:t>
      </w:r>
    </w:p>
    <w:p w:rsidR="00000000" w:rsidDel="00000000" w:rsidP="00000000" w:rsidRDefault="00000000" w:rsidRPr="00000000" w14:paraId="00000021">
      <w:pPr>
        <w:spacing w:after="12" w:line="276" w:lineRule="auto"/>
        <w:ind w:firstLine="720"/>
        <w:jc w:val="both"/>
        <w:rPr/>
      </w:pPr>
      <w:r w:rsidDel="00000000" w:rsidR="00000000" w:rsidRPr="00000000">
        <w:rPr>
          <w:rtl w:val="0"/>
        </w:rPr>
        <w:t xml:space="preserve">Kosunalp ve Korkmaz (2025), BIST100 oynaklık tahmininde GARCH(1,1), EGARCH(1,1,1) ve GJR-GARCH(1,1,1) modellerini LSTM ve BiLSTM mimarileriyle karşılaştırmıştır. 2 Ocak 2015 - 30 Eylül 2024 arasındaki yaklaşık 2.700 günlük veri kullanılmış; gerçekleşmiş oynaklık göstergesi olarak logaritmik getirilerin karesi benimsenmiştir. Betimsel istatistikler, getiri serisinin negatif çarpıklık, ağır kuyruklar ve güçlü volatilite kümelenmesi içerdiğini ortaya koymuş; Jarque-Bera testi normallik varsayımını reddetmiştir. GJR-GARCH(1,1,1) modeli RMSE=0,000558 ve R²=0,205 ile en yüksek açıklayıcı güce ulaşmıştır. Buna karşın LSTM (-0,111) ve BiLSTM (-0,100) negatif R² değerleriyle varyans açıklama gücü bakımından yetersiz kalmıştır. Araştırmacılar, asimetrik şoklar ve ağır kuyruklar içeren gelişmekte olan piyasalarda GARCH ailesi modellerinin istatistiksel etkinlik avantajını koruduğunu; ancak GARCH kaynaklı oynaklık tahminleriyle LSTM mimarilerini birleştiren hibrit çerçevelerin gelecek çalışmalarda umut verici sonuçlar üretebileceğini ifade etmektedir.</w:t>
      </w:r>
    </w:p>
    <w:p w:rsidR="00000000" w:rsidDel="00000000" w:rsidP="00000000" w:rsidRDefault="00000000" w:rsidRPr="00000000" w14:paraId="00000022">
      <w:pPr>
        <w:spacing w:after="12" w:line="276" w:lineRule="auto"/>
        <w:ind w:firstLine="720"/>
        <w:jc w:val="both"/>
        <w:rPr/>
      </w:pPr>
      <w:r w:rsidDel="00000000" w:rsidR="00000000" w:rsidRPr="00000000">
        <w:rPr>
          <w:rtl w:val="0"/>
        </w:rPr>
        <w:t xml:space="preserve">Ağaslan (2025), Haziran 2015 - Haziran 2025 arasındaki 2.508 günlük BIST100 kapanış verisini kullanarak ARIMA(2,1,2), GARCH(1,1), SVR ve LightGBM modellerini karşılaştırmıştır. Veri %75 eğitim ve %25 test olarak ayrılmış; model değerlendirmesinde MAPE, sMAPE, RealMAPE, OWA ve yön başarı yüzdesi gibi çoklu ölçütler kullanılmıştır.</w:t>
      </w:r>
    </w:p>
    <w:p w:rsidR="00000000" w:rsidDel="00000000" w:rsidP="00000000" w:rsidRDefault="00000000" w:rsidRPr="00000000" w14:paraId="00000023">
      <w:pPr>
        <w:spacing w:after="12" w:line="276" w:lineRule="auto"/>
        <w:jc w:val="both"/>
        <w:rPr/>
      </w:pPr>
      <w:r w:rsidDel="00000000" w:rsidR="00000000" w:rsidRPr="00000000">
        <w:rPr>
          <w:rtl w:val="0"/>
        </w:rPr>
        <w:t xml:space="preserve">SVR, tüm hata kriterleri açısından belirgin biçimde öne çıkmıştır (MAPE=%1,2507, OWA=0,8955, yön başarısı=%99,36). LightGBM MAPE=%9,0006 ile ikinci sıraya yerleşirken GARCH(1,1) orta düzeyde bir performans sergilemiştir. ARIMA(2,1,2) ise MAPE=%51,82 ile en zayıf sonuçları vermiştir. Araştırmacı, makine öğrenmesi tabanlı yöntemlerin kısa vadeli öngörülerde geleneksel modellere kıyasla belirgin üstünlük sağladığını vurgulamış; pratik boyutta eşik tetik mekanizmalarının risk yönetimine katkı sağlayabileceğini önermiştir.</w:t>
      </w:r>
    </w:p>
    <w:p w:rsidR="00000000" w:rsidDel="00000000" w:rsidP="00000000" w:rsidRDefault="00000000" w:rsidRPr="00000000" w14:paraId="00000024">
      <w:pPr>
        <w:spacing w:after="12" w:line="276" w:lineRule="auto"/>
        <w:ind w:firstLine="720"/>
        <w:jc w:val="both"/>
        <w:rPr/>
      </w:pPr>
      <w:r w:rsidDel="00000000" w:rsidR="00000000" w:rsidRPr="00000000">
        <w:rPr>
          <w:rtl w:val="0"/>
        </w:rPr>
        <w:t xml:space="preserve">Ozdes ve Koru (2026), BIST100 hisse senetleri için gerçek zamanlı fiyat tahmini yapan FinAI adlı yapay zekâ destekli bir web ve mobil uyumlu platform geliştirmiştir. Sistem, Python/Flask tabanlı mikro servis mimarisi üzerine inşa edilmiş; ön yüz ReactJS ile tasarlanmıştır. Alpha Vantage ve Yahoo Finance API'lerinden gerçek zamanlı veri çeken platform, RSI, MACD, EMA ve Bollinger Bantları gibi teknik göstergeleri özellik olarak türetmektedir. Tahmin modülünde Lineer Regresyon, Random Forest, XGBoost, CatBoost ve MLP bir arada kullanılmış; bu modellerin tahminleri çapraz doğrulama performansına dayalı ağırlıklı ortalama ile bir topluluk katmanında birleştirilmiştir. 2019-2024 arasındaki 15.000 veri noktası üzerinde gerçekleştirilen deneylerde topluluk modeli MAE=1,84, RMSE=2,45, MAPE=%1,92 ve R²=0,81 değerlerine ulaşmıştır. Çalışmanın en özgün katkısı, akademik ile uygulamalı boyutları bütünleştirerek finansal tahmin modellerini günlük kullanım için erişilebilir bir platforma dönüştürmesidir. Bireysel model karşılaştırmalarının yeterince ayrıntılı sunulmaması ve uyarlamalı yeniden eğitim (adaptive retraining) mekanizmasının eksikliği, gelecek çalışmalar için belirtilen başlıca geliştirme alanlarıdır.</w:t>
      </w:r>
    </w:p>
    <w:p w:rsidR="00000000" w:rsidDel="00000000" w:rsidP="00000000" w:rsidRDefault="00000000" w:rsidRPr="00000000" w14:paraId="00000025">
      <w:pPr>
        <w:ind w:firstLine="720"/>
        <w:jc w:val="both"/>
        <w:rPr/>
      </w:pPr>
      <w:r w:rsidDel="00000000" w:rsidR="00000000" w:rsidRPr="00000000">
        <w:rPr>
          <w:rtl w:val="0"/>
        </w:rPr>
        <w:t xml:space="preserve">Lu, Ou, Wang, Qu, Xia, Tang, Kotenko ve Li (2025), zaman serisi tahmini alanında derin öğrenme mimarilerinin (CNN, RNN, GNN ve Transformer) geleneksel istatistiksel yöntemlere ve standart makine öğrenmesi algoritmalarına karşı üstünlüklerini inceleyen kapsamlı bir derleme çalışması sunmuştur. Çalışmada, her bir model paradigmasının teorik temelleri, algoritma gelişmeleri ve pratik uygulama senaryoları detaylı bir biçimde ele alınmıştır. Doğrudan BIST100'e odaklanmamakla birlikte bu çalışma; finansal göstergeler gibi karmaşık, doğrusal olmayan ve uzun vadeli bağımlılıklar içeren verilerde derin öğrenme modellerinin neden tercih edilmesi gerektiğine dair güçlü bir yöntemsel temel (state-of-the-art) sağlamaktadır.</w:t>
      </w:r>
    </w:p>
    <w:p w:rsidR="00000000" w:rsidDel="00000000" w:rsidP="00000000" w:rsidRDefault="00000000" w:rsidRPr="00000000" w14:paraId="00000026">
      <w:pPr>
        <w:ind w:firstLine="720"/>
        <w:jc w:val="both"/>
        <w:rPr/>
      </w:pPr>
      <w:r w:rsidDel="00000000" w:rsidR="00000000" w:rsidRPr="00000000">
        <w:rPr>
          <w:rtl w:val="0"/>
        </w:rPr>
        <w:t xml:space="preserve">Ergenç ve Aktaş (2025a), BIST100 endeksindeki şirketlerin finansal performanslarını tahmin etmek için ağaca dayalı (Random Forest, XGBoost vb.), sinir ağı tabanlı (ANN, CNN, LSTM) ve örneklem tabanlı (SVM, KNN) çeşitli denetimli makine öğrenmesi modellerini kapsamlı bir şekilde karşılaştırmıştır. 2014-2024 yıllarını kapsayan veri setinde MSE, RMSE ve MAPE gibi metrikler kullanılarak yapılan değerlendirmeler sonucunda, hiçbir modelin tüm şirketler için sürekli en iyi performansı göstermediği; ancak XGBoost ve Random Forest modellerinin genel olarak en güçlü ve tutarlı sonuçları ürettiği tespit edilmiştir. Derin öğrenme modelleri (CNN, RNN, LSTM) ise özellikle belirli firmalar için umut verici sonuçlar sunmuştur.</w:t>
      </w:r>
    </w:p>
    <w:p w:rsidR="00000000" w:rsidDel="00000000" w:rsidP="00000000" w:rsidRDefault="00000000" w:rsidRPr="00000000" w14:paraId="00000027">
      <w:pPr>
        <w:ind w:firstLine="720"/>
        <w:jc w:val="both"/>
        <w:rPr/>
      </w:pPr>
      <w:r w:rsidDel="00000000" w:rsidR="00000000" w:rsidRPr="00000000">
        <w:rPr>
          <w:rtl w:val="0"/>
        </w:rPr>
        <w:t xml:space="preserve">Ergenç ve Aktaş (2025b), BIST100 endeksinde listelenen 21 şirkete ait 2013-2023 dönemine ilişkin verilerle çeşitli sektörlerdeki finansal performansın makine öğrenmesi modelleriyle tahmin edilmesini incelemiştir. Çalışmada Doğrusal Regresyon, Ridge, Lasso, Karar Ağacı, Bagging, Rastgele Orman, AdaBoost, Gradyan Güçlendirme (GBM), LightGBM ve XGBoost modelleri değerlendirilmiştir. Toplam gelir hedef değişken olarak belirlenirken Net Kâr, Toplam Varlıklar, Toplam Yükümlülükler ve Özsermaye bağımsız değişken olarak kullanılmıştır. Model performansı MSE, RMSE, MAE, MAPE ve rRMSE kriterleri üzerinden ölçülmüştür. GBM, en düşük MSE (0,0014) ve RMSE (0,0378) değerleriyle en iyi performansı gösteren model olmuş; Bagging ve Rastgele Orman da güçlü topluluk yöntemi başarımı sergilemiştir. Doğrusal modeller finansal verinin karmaşık yapısını yeterince yakalayamazken, LightGBM ve XGBoost belirli veri setleri için ek hiperparametre ayarına ihtiyaç duyduğunu ortaya koymuştur. Model yorumlanabilirliğini artırmak amacıyla SHAP (SHapley Additive exPlanations) değerleri kullanılmış; Net Kâr ve Uzun Vadeli Yükümlülüklerin tahminler üzerindeki en etkili özellikler olduğu tespit edilmiştir. Sektörel analizler, model performansının ve özellik etkilerinin sektörden sektöre farklılaştığını; GBM’nin enerji, kimya ve telekomünikasyon sektörlerinde özellikle güçlü sonuçlar verdiğini göstermiştir.</w:t>
      </w:r>
    </w:p>
    <w:p w:rsidR="00000000" w:rsidDel="00000000" w:rsidP="00000000" w:rsidRDefault="00000000" w:rsidRPr="00000000" w14:paraId="00000028">
      <w:pPr>
        <w:ind w:firstLine="720"/>
        <w:jc w:val="both"/>
        <w:rPr/>
      </w:pPr>
      <w:r w:rsidDel="00000000" w:rsidR="00000000" w:rsidRPr="00000000">
        <w:rPr>
          <w:rtl w:val="0"/>
        </w:rPr>
        <w:t xml:space="preserve">Akturk, Kılıç, Algorabi, Ulu, Türkan ve Namlı (2025), piyasa oynaklığı ve belirsizliği altında BIST100 endeksinin gerçek zamanlı tahmini için yeni bir yaklaşım önermiştir. Çalışmada SVR, karar ağaçları, rastgele orman, çoklu doğrusal regresyon ve topluluk öğrenmesine dayalı hibrit modeller kullanılarak endeksin ertesi günkü kapanış fiyatı ve hareketi yönü tahmin edilmiştir. 2010-2018 dönemine ait günlük BIST100 verisiyle birlikte S&amp;P 500, USD/TL, Brent petrol ve iShares MSCI Turkey ETF kapanış değerleri de veri setine eklenmiş; güç, oynaklık, trend, momentum ve özel göstergeler dahil toplam 55 teknik gösterge türetilmiştir. Anlık dalgalanmaların olumsuz etkisini azaltmak amacıyla orijinal günlük verilerle birlikte 7 günlük hareketli ortalama verileri de modellere dahil edilmiştir. Hibrit modeller bagging tekniğiyle oluşturulmuş; üçüncü hibrit model ise ilk iki hibrit modelin ortalama topluluk yöntemiyle birleştirilmesiyle elde edilmiştir. Kapanış fiyatı tahmininde tüm modeller için R² değerlerinin 0,99 üzerinde seyrettiği görülmüş; orijinal verideki en iyi MAPE değeri (0,21) MLR modeline ait olmuştur. Yön tahmini (sınıflandırma) açısından ise hibrit modellerin ortalaması 0,833 doğruluk oranıyla en üstün performansı sergilemiştir. Çalışma, 7 günlük ortalama verinin oynaklığı yumuşatarak model başarısını artırdığını ve hibrit yaklaşımların tekil modellere kıyasla daha güvenilir tahminler ürettiğini ortaya koymuştur.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 w:line="276" w:lineRule="auto"/>
        <w:jc w:val="both"/>
        <w:rPr>
          <w:b w:val="1"/>
          <w:bCs w:val="1"/>
        </w:rPr>
      </w:pPr>
      <w:r w:rsidDel="00000000" w:rsidR="00000000" w:rsidRPr="00000000">
        <w:rPr>
          <w:b w:val="1"/>
          <w:bCs w:val="1"/>
          <w:rtl w:val="0"/>
        </w:rPr>
        <w:t xml:space="preserve">2.2. Literatür Değerlendirmesi ve Araştırma Boşluğu</w:t>
      </w:r>
    </w:p>
    <w:p w:rsidR="00000000" w:rsidDel="00000000" w:rsidP="00000000" w:rsidRDefault="00000000" w:rsidRPr="00000000" w14:paraId="0000002B">
      <w:pPr>
        <w:spacing w:after="20" w:lineRule="auto"/>
        <w:rPr/>
      </w:pPr>
      <w:r w:rsidDel="00000000" w:rsidR="00000000" w:rsidRPr="00000000">
        <w:rPr>
          <w:rtl w:val="0"/>
        </w:rPr>
      </w:r>
    </w:p>
    <w:p w:rsidR="00000000" w:rsidDel="00000000" w:rsidP="00000000" w:rsidRDefault="00000000" w:rsidRPr="00000000" w14:paraId="0000002C">
      <w:pPr>
        <w:spacing w:after="12" w:line="276" w:lineRule="auto"/>
        <w:jc w:val="both"/>
        <w:rPr/>
      </w:pPr>
      <w:r w:rsidDel="00000000" w:rsidR="00000000" w:rsidRPr="00000000">
        <w:rPr>
          <w:rtl w:val="0"/>
        </w:rPr>
        <w:t xml:space="preserve">İncelenen on dokuz çalışma bir bütün olarak değerlendirildiğinde, BIST100 tahmininde kullanılan yöntemlerin zaman içinde belirgin biçimde çeşitlendiği ve olgunlaştığı görülmektedir. 2019-2021 döneminde fiyat yönü sınıflandırması ve duygu analizi ön plana çıkarken, 2022 sonrasında zaman serisi regresyonu, hibrit modelleme ve oynaklık tahmini giderek daha fazla ilgi çektiği görülmüştür.</w:t>
      </w:r>
    </w:p>
    <w:p w:rsidR="00000000" w:rsidDel="00000000" w:rsidP="00000000" w:rsidRDefault="00000000" w:rsidRPr="00000000" w14:paraId="0000002D">
      <w:pPr>
        <w:spacing w:after="12" w:line="276" w:lineRule="auto"/>
        <w:ind w:firstLine="720"/>
        <w:jc w:val="both"/>
        <w:rPr/>
      </w:pPr>
      <w:r w:rsidDel="00000000" w:rsidR="00000000" w:rsidRPr="00000000">
        <w:rPr>
          <w:rtl w:val="0"/>
        </w:rPr>
        <w:t xml:space="preserve">Veri altyapısı açısından bakıldığında, çalışmaların büyük çoğunluğunun günlük kapanış fiyatı verisini kullandığı, bağımsız değişken tercihlerinde ise önemli farklılıklar bulunduğu dikkat çekmektedir. Bir bölüm çalışma yalnızca tarihsel fiyat verisine dayanırken (Çelik, 2024; Aker, 2022), diğerleri döviz kurları ve emtia fiyatları gibi makroekonomik değişkenleri (Gür, 2024; Kazak vd., 2025), küresel borsa endekslerini (Kilimci vd., 2021; Varürer vd., 2025), oynaklık endekslerini (Sönmez ve Coşkun Arslan, 2024) ya da sosyal medya temelli duygu verilerini (Othan ve Kilimci, 2021; Othan vd., 2019) bağımsız girdi olarak kullanmıştır. Yöntemsel eğilimler incelendiğinde, tekil modeller yerine hibrit ve topluluk yaklaşımlarının çoğunlukla daha düşük hata değerleri ürettiği görülmektedir. ARIMA-SVM kombinasyonu (Bulut ve Hüdaverdi, 2022), CNN-LSTM hibrit mimarisi (Varürer vd., 2025) ve Karar Birleştirme Stratejisi (Kilimci vd., 2021) bu eğilimin somut örneklerini oluşturmaktadır. Öte yandan oynaklık tahminine odaklanan çalışmalar (Kosunalp ve Korkmaz, 2025), derin öğrenme modellerinin GARCH ailesi karşısında her durumda üstünlük sağlamadığını ve model seçiminin tahmin hedefine göre farklılaşması gerektiğini açıkça ortaya koymaktadır.</w:t>
      </w:r>
    </w:p>
    <w:p w:rsidR="00000000" w:rsidDel="00000000" w:rsidP="00000000" w:rsidRDefault="00000000" w:rsidRPr="00000000" w14:paraId="0000002E">
      <w:pPr>
        <w:spacing w:after="12" w:line="276" w:lineRule="auto"/>
        <w:ind w:firstLine="720"/>
        <w:jc w:val="both"/>
        <w:rPr/>
      </w:pPr>
      <w:r w:rsidDel="00000000" w:rsidR="00000000" w:rsidRPr="00000000">
        <w:rPr>
          <w:rtl w:val="0"/>
        </w:rPr>
        <w:t xml:space="preserve">BIST100 endeksinin tahminine ilişkin literatürde çeşitli makine öğrenmesi ve derin öğrenme çalışmaları gerçekleştirilmiş olmasına rağmen, bu alanda bazı boşluklar olduğu belirlenmiştir. Birincisi, çalışmaların büyük çoğunluğu tek bir endeks veya hisse grubuna odaklanmakta; sektörler arası ve uluslararası karşılaştırmalı analizler yeterince yer bulmamaktadır. İkincisi, literatürün genelinde hiperparametre optimizasyonuna sistematik biçimde yaklaşılmaması önemli bir eksiklik olmaya devam etmektedir; her ne kadar çok yakın tarihli bazı kapsamlı çalışmalarda (örn. Akturk vd., 2025; Ergenç ve Aktaş, 2025a) 'ızgara arama' (grid search) ve çapraz doğrulama gibi optimizasyon teknikleri kullanılmaya başlansa da, genel tabloya bakıldığında modellerin çoğunlukla birbirinden bağımsız çalışmalarda farklı veri setleri ve değerlendirme ölçütleriyle ele alınması, sonuçların karşılaştırılabilirliğini, yeniden üretilebilirliğini ve genellenebilirliğini sınırlandırmaktadır. </w:t>
      </w:r>
    </w:p>
    <w:p w:rsidR="00000000" w:rsidDel="00000000" w:rsidP="00000000" w:rsidRDefault="00000000" w:rsidRPr="00000000" w14:paraId="0000002F">
      <w:pPr>
        <w:spacing w:after="12" w:line="276" w:lineRule="auto"/>
        <w:ind w:firstLine="720"/>
        <w:jc w:val="both"/>
        <w:rPr/>
      </w:pPr>
      <w:r w:rsidDel="00000000" w:rsidR="00000000" w:rsidRPr="00000000">
        <w:rPr>
          <w:rtl w:val="0"/>
        </w:rPr>
        <w:t xml:space="preserve">Üçüncüsü ve en önemlisi, literatürde farklı model ailelerinin aynı veri seti ve aynı hata metrikleri altında yüzleştirildiği ampirik karşılaştırmalar sınırlıdır. Her ne kadar güncel çalışmalar (örn. Ergenç ve Aktaş, 2025a) çok sayıda makine öğrenmesi ve derin öğrenme modelini aynı veri seti üzerinde başarıyla karşılaştırmış olsa da, ARIMA ve GARCH gibi geleneksel istatistiksel yöntemleri bu sistematik çerçevenin dışında bırakmışlardır. Bu proje, tam olarak bu metodolojik boşluğa yanıt vermeyi amaçlamaktadır: Geleneksel istatistiksel yöntemler ile yeni nesil makine öğrenmesi ve derin öğrenme tabanlı modeller, BIST100’e ait gerçek bir veri seti üzerinde bizzat uygulanarak ve aynı değerlendirme ölçütleri altında ilk kez bu kadar doğrudan bir ampirik karşılaştırmaya tabi tutulacaktır. Böylece, geleneksel ekonometrik modellerle algoritmik yaklaşımların başarım farkları tamamen eşit koşullar altında, sistematik biçimde ortaya konacaktır. </w:t>
      </w:r>
    </w:p>
    <w:p w:rsidR="00000000" w:rsidDel="00000000" w:rsidP="00000000" w:rsidRDefault="00000000" w:rsidRPr="00000000" w14:paraId="00000030">
      <w:pPr>
        <w:spacing w:after="12" w:line="276" w:lineRule="auto"/>
        <w:ind w:firstLine="720"/>
        <w:jc w:val="both"/>
        <w:rPr/>
      </w:pPr>
      <w:r w:rsidDel="00000000" w:rsidR="00000000" w:rsidRPr="00000000">
        <w:rPr>
          <w:rtl w:val="0"/>
        </w:rPr>
      </w:r>
    </w:p>
    <w:p w:rsidR="00000000" w:rsidDel="00000000" w:rsidP="00000000" w:rsidRDefault="00000000" w:rsidRPr="00000000" w14:paraId="00000031">
      <w:pPr>
        <w:numPr>
          <w:ilvl w:val="0"/>
          <w:numId w:val="1"/>
        </w:numPr>
        <w:spacing w:after="12" w:line="276" w:lineRule="auto"/>
        <w:ind w:left="720" w:hanging="360"/>
        <w:jc w:val="both"/>
        <w:rPr>
          <w:b w:val="1"/>
          <w:bCs w:val="1"/>
        </w:rPr>
      </w:pPr>
      <w:r w:rsidDel="00000000" w:rsidR="00000000" w:rsidRPr="00000000">
        <w:rPr>
          <w:b w:val="1"/>
          <w:bCs w:val="1"/>
          <w:rtl w:val="0"/>
        </w:rPr>
        <w:t xml:space="preserve">Veri Seti ve Veri  </w:t>
      </w:r>
      <w:sdt>
        <w:sdtPr>
          <w:id w:val="1535679341"/>
          <w:tag w:val="goog_rdk_1"/>
        </w:sdtPr>
        <w:sdtContent>
          <w:commentRangeStart w:id="1"/>
        </w:sdtContent>
      </w:sdt>
      <w:r w:rsidDel="00000000" w:rsidR="00000000" w:rsidRPr="00000000">
        <w:rPr>
          <w:b w:val="1"/>
          <w:bCs w:val="1"/>
          <w:rtl w:val="0"/>
        </w:rPr>
        <w:t xml:space="preserve">Önişleme</w:t>
      </w:r>
      <w:commentRangeEnd w:id="1"/>
      <w:r w:rsidDel="00000000" w:rsidR="00000000" w:rsidRPr="00000000">
        <w:commentReference w:id="1"/>
      </w:r>
      <w:r w:rsidDel="00000000" w:rsidR="00000000" w:rsidRPr="00000000">
        <w:rPr>
          <w:b w:val="1"/>
          <w:bCs w:val="1"/>
          <w:rtl w:val="0"/>
        </w:rPr>
        <w:t xml:space="preserve"> </w:t>
      </w:r>
    </w:p>
    <w:p w:rsidR="00000000" w:rsidDel="00000000" w:rsidP="00000000" w:rsidRDefault="00000000" w:rsidRPr="00000000" w14:paraId="00000032">
      <w:pPr>
        <w:spacing w:after="12" w:line="276" w:lineRule="auto"/>
        <w:ind w:left="0" w:firstLine="0"/>
        <w:jc w:val="both"/>
        <w:rPr/>
      </w:pPr>
      <w:r w:rsidDel="00000000" w:rsidR="00000000" w:rsidRPr="00000000">
        <w:rPr>
          <w:rtl w:val="0"/>
        </w:rPr>
      </w:r>
    </w:p>
    <w:p w:rsidR="00000000" w:rsidDel="00000000" w:rsidP="00000000" w:rsidRDefault="00000000" w:rsidRPr="00000000" w14:paraId="00000033">
      <w:pPr>
        <w:numPr>
          <w:ilvl w:val="0"/>
          <w:numId w:val="1"/>
        </w:numPr>
        <w:spacing w:after="12" w:line="276" w:lineRule="auto"/>
        <w:ind w:left="720" w:hanging="360"/>
        <w:jc w:val="both"/>
        <w:rPr>
          <w:b w:val="1"/>
          <w:bCs w:val="1"/>
          <w:u w:val="none"/>
        </w:rPr>
      </w:pPr>
      <w:r w:rsidDel="00000000" w:rsidR="00000000" w:rsidRPr="00000000">
        <w:rPr>
          <w:b w:val="1"/>
          <w:bCs w:val="1"/>
          <w:rtl w:val="0"/>
        </w:rPr>
        <w:t xml:space="preserve">Kaynakça</w:t>
      </w:r>
    </w:p>
    <w:p w:rsidR="00000000" w:rsidDel="00000000" w:rsidP="00000000" w:rsidRDefault="00000000" w:rsidRPr="00000000" w14:paraId="00000034">
      <w:pPr>
        <w:spacing w:after="12" w:line="276" w:lineRule="auto"/>
        <w:jc w:val="both"/>
        <w:rPr/>
      </w:pPr>
      <w:r w:rsidDel="00000000" w:rsidR="00000000" w:rsidRPr="00000000">
        <w:rPr>
          <w:rtl w:val="0"/>
        </w:rPr>
      </w:r>
    </w:p>
    <w:p w:rsidR="00000000" w:rsidDel="00000000" w:rsidP="00000000" w:rsidRDefault="00000000" w:rsidRPr="00000000" w14:paraId="00000035">
      <w:pPr>
        <w:spacing w:after="12" w:line="276" w:lineRule="auto"/>
        <w:ind w:left="720" w:hanging="720"/>
        <w:jc w:val="both"/>
        <w:rPr/>
      </w:pPr>
      <w:r w:rsidDel="00000000" w:rsidR="00000000" w:rsidRPr="00000000">
        <w:rPr>
          <w:rtl w:val="0"/>
        </w:rPr>
        <w:t xml:space="preserve">Ağaslan, E. (2025). BIST100 endeksi için öngörü: ARIMA, GARCH, SVR ve LightGBM modellerinin ekonometrik karşılaştırması. Aizanoi Academia, 3(2), 74–92. https://aizanoiacademia.com</w:t>
      </w:r>
    </w:p>
    <w:p w:rsidR="00000000" w:rsidDel="00000000" w:rsidP="00000000" w:rsidRDefault="00000000" w:rsidRPr="00000000" w14:paraId="00000036">
      <w:pPr>
        <w:spacing w:after="12" w:line="276" w:lineRule="auto"/>
        <w:ind w:left="720" w:hanging="720"/>
        <w:jc w:val="both"/>
        <w:rPr/>
      </w:pPr>
      <w:r w:rsidDel="00000000" w:rsidR="00000000" w:rsidRPr="00000000">
        <w:rPr>
          <w:rtl w:val="0"/>
        </w:rPr>
        <w:t xml:space="preserve">Aker, Y. (2022). Analysis of price volatility in BIST 100 index with time series: Comparison of Fbprophet and LSTM model. European Journal of Science and Technology, (35), 89–93. https://doi.org/10.31590/ejosat.1066722</w:t>
      </w:r>
    </w:p>
    <w:p w:rsidR="00000000" w:rsidDel="00000000" w:rsidP="00000000" w:rsidRDefault="00000000" w:rsidRPr="00000000" w14:paraId="00000037">
      <w:pPr>
        <w:spacing w:after="12" w:line="276" w:lineRule="auto"/>
        <w:ind w:left="720" w:hanging="720"/>
        <w:jc w:val="both"/>
        <w:rPr/>
      </w:pPr>
      <w:r w:rsidDel="00000000" w:rsidR="00000000" w:rsidRPr="00000000">
        <w:rPr>
          <w:rtl w:val="0"/>
        </w:rPr>
        <w:t xml:space="preserve">Akturk, Z., Kılıç, E., Algorabi, Ö., Ulu, M., Türkan, Y. S., &amp; Namlı, E. (2025). Real-Time Forecast of BIST100 Index Under Market Volatility and Uncertainty. Computational Economics, 67(4), 3249–3274. https://doi.org/10.1007/s10614-025-10986-1</w:t>
      </w:r>
    </w:p>
    <w:p w:rsidR="00000000" w:rsidDel="00000000" w:rsidP="00000000" w:rsidRDefault="00000000" w:rsidRPr="00000000" w14:paraId="00000038">
      <w:pPr>
        <w:spacing w:after="12" w:line="276" w:lineRule="auto"/>
        <w:ind w:left="720" w:hanging="720"/>
        <w:jc w:val="both"/>
        <w:rPr/>
      </w:pPr>
      <w:r w:rsidDel="00000000" w:rsidR="00000000" w:rsidRPr="00000000">
        <w:rPr>
          <w:rtl w:val="0"/>
        </w:rPr>
        <w:t xml:space="preserve">Bulut, C., &amp; Hüdaverdi, B. (2022). Hybrid approaches in financial time series forecasting: A stock market application. EKOIST Journal of Econometrics and Statistics, 37, 53–68. https://doi.org/10.26650/ekoist.2022.37.1108411</w:t>
      </w:r>
    </w:p>
    <w:p w:rsidR="00000000" w:rsidDel="00000000" w:rsidP="00000000" w:rsidRDefault="00000000" w:rsidRPr="00000000" w14:paraId="00000039">
      <w:pPr>
        <w:spacing w:after="12" w:line="276" w:lineRule="auto"/>
        <w:ind w:left="720" w:hanging="720"/>
        <w:jc w:val="both"/>
        <w:rPr/>
      </w:pPr>
      <w:r w:rsidDel="00000000" w:rsidR="00000000" w:rsidRPr="00000000">
        <w:rPr>
          <w:rtl w:val="0"/>
        </w:rPr>
        <w:t xml:space="preserve">Çelik, Y. (2024). Bellek tabanlı LSTM ve GRU makine öğrenmesi algoritmaları kullanarak BIST100 endeks tahmini. Fırat Üniversitesi Mühendislik Bilimleri Dergisi, 36(2), 553–561. https://doi.org/10.35234/fumbd.1406688</w:t>
      </w:r>
    </w:p>
    <w:p w:rsidR="00000000" w:rsidDel="00000000" w:rsidP="00000000" w:rsidRDefault="00000000" w:rsidRPr="00000000" w14:paraId="0000003A">
      <w:pPr>
        <w:spacing w:after="12" w:line="276" w:lineRule="auto"/>
        <w:ind w:left="720" w:hanging="720"/>
        <w:jc w:val="both"/>
        <w:rPr/>
      </w:pPr>
      <w:r w:rsidDel="00000000" w:rsidR="00000000" w:rsidRPr="00000000">
        <w:rPr>
          <w:rtl w:val="0"/>
        </w:rPr>
        <w:t xml:space="preserve">Ergenç, C., &amp; Aktaş, R. (2025a). A Supervised Machine Learning in Financial Forecasting: Identifying Effective Models for the BIST100 Index. Review of Economic Perspectives, 25(1), 66–90. https://doi.org/10.2478/revecp-2025-0005</w:t>
      </w:r>
    </w:p>
    <w:p w:rsidR="00000000" w:rsidDel="00000000" w:rsidP="00000000" w:rsidRDefault="00000000" w:rsidRPr="00000000" w14:paraId="0000003B">
      <w:pPr>
        <w:spacing w:after="12" w:line="276" w:lineRule="auto"/>
        <w:ind w:left="720" w:hanging="720"/>
        <w:jc w:val="both"/>
        <w:rPr/>
      </w:pPr>
      <w:r w:rsidDel="00000000" w:rsidR="00000000" w:rsidRPr="00000000">
        <w:rPr>
          <w:rtl w:val="0"/>
        </w:rPr>
        <w:t xml:space="preserve">Ergenç, C., &amp; Aktaş, R. (2025b). Sector-specific financial forecasting with machine learning algorithm and SHAP interaction values. Financial Internet Quarterly, 21(1), 42–66. https://doi.org/10.2478/fiqf-2025-0004</w:t>
      </w:r>
    </w:p>
    <w:p w:rsidR="00000000" w:rsidDel="00000000" w:rsidP="00000000" w:rsidRDefault="00000000" w:rsidRPr="00000000" w14:paraId="0000003C">
      <w:pPr>
        <w:spacing w:after="12" w:line="276" w:lineRule="auto"/>
        <w:ind w:left="720" w:hanging="720"/>
        <w:jc w:val="both"/>
        <w:rPr/>
      </w:pPr>
      <w:r w:rsidDel="00000000" w:rsidR="00000000" w:rsidRPr="00000000">
        <w:rPr>
          <w:rtl w:val="0"/>
        </w:rPr>
        <w:t xml:space="preserve">Gür, Y. E. (2024). Evaluation of BIST100 Index Prediction Performance of Deep and Machine Learning Algorithms. Ekonomik ve Sosyal Araştırmalar Dergisi, 20(2), 394–408. https://dergipark.org.tr/en/pub/esad/article/1366131</w:t>
      </w:r>
    </w:p>
    <w:p w:rsidR="00000000" w:rsidDel="00000000" w:rsidP="00000000" w:rsidRDefault="00000000" w:rsidRPr="00000000" w14:paraId="0000003D">
      <w:pPr>
        <w:spacing w:after="12" w:line="276" w:lineRule="auto"/>
        <w:ind w:left="720" w:hanging="720"/>
        <w:jc w:val="both"/>
        <w:rPr/>
      </w:pPr>
      <w:r w:rsidDel="00000000" w:rsidR="00000000" w:rsidRPr="00000000">
        <w:rPr>
          <w:rtl w:val="0"/>
        </w:rPr>
        <w:t xml:space="preserve">Kazak, H., Kumar, S., Gündüz, M. A., Akcan, A. T., &amp; Bilgiç, H. H. (2025). Metaheuristic-optimized ANFIS and ANN models for stock price forecasting: Evidence from the Borsa Istanbul 100 index. Discover Artificial Intelligence, 5, 272. https://doi.org/10.1007/s44163-025-00395-6</w:t>
      </w:r>
    </w:p>
    <w:p w:rsidR="00000000" w:rsidDel="00000000" w:rsidP="00000000" w:rsidRDefault="00000000" w:rsidRPr="00000000" w14:paraId="0000003E">
      <w:pPr>
        <w:spacing w:after="12" w:line="276" w:lineRule="auto"/>
        <w:ind w:left="720" w:hanging="720"/>
        <w:jc w:val="both"/>
        <w:rPr/>
      </w:pPr>
      <w:r w:rsidDel="00000000" w:rsidR="00000000" w:rsidRPr="00000000">
        <w:rPr>
          <w:rtl w:val="0"/>
        </w:rPr>
        <w:t xml:space="preserve">Kilimci, H., Kilimci, Z. H., &amp; Yıldırım, M. (2021). Deep Learning-based Decision Integration Strategy for the Price Prediction of Istanbul Stock Exchange (BIST100). 2021 13th International Conference on Electrical and Electronics Engineering (ELECO), 411–414. IEEE. https://doi.org/10.23919/ELECO54474.2021.9677890</w:t>
      </w:r>
    </w:p>
    <w:p w:rsidR="00000000" w:rsidDel="00000000" w:rsidP="00000000" w:rsidRDefault="00000000" w:rsidRPr="00000000" w14:paraId="0000003F">
      <w:pPr>
        <w:spacing w:after="12" w:line="276" w:lineRule="auto"/>
        <w:ind w:left="720" w:hanging="720"/>
        <w:jc w:val="both"/>
        <w:rPr/>
      </w:pPr>
      <w:r w:rsidDel="00000000" w:rsidR="00000000" w:rsidRPr="00000000">
        <w:rPr>
          <w:rtl w:val="0"/>
        </w:rPr>
        <w:t xml:space="preserve">Koç, Y. (2021). Makine öğrenmesi ile çok terimli hisse senedi yönlü tahmini; BIST100 örneği [Yüksek lisans tezi, Kadir Has Üniversitesi]. ProQuest Dissertations &amp; Theses Global. https://tez.yok.gov.tr</w:t>
      </w:r>
    </w:p>
    <w:p w:rsidR="00000000" w:rsidDel="00000000" w:rsidP="00000000" w:rsidRDefault="00000000" w:rsidRPr="00000000" w14:paraId="00000040">
      <w:pPr>
        <w:spacing w:after="12" w:line="276" w:lineRule="auto"/>
        <w:ind w:left="720" w:hanging="720"/>
        <w:jc w:val="both"/>
        <w:rPr/>
      </w:pPr>
      <w:r w:rsidDel="00000000" w:rsidR="00000000" w:rsidRPr="00000000">
        <w:rPr>
          <w:rtl w:val="0"/>
        </w:rPr>
        <w:t xml:space="preserve">Kosunalp, S., &amp; Korkmaz, A. (2025). Comparative analysis of GARCH-family and LSTM-based models for volatility forecasting: Evidence from the Borsa İstanbul (BIST 100) index. 2025 6th International Conference on Communications, Information, Electronic and Energy Systems (CIEES), Ruse, Bulgaria. https://doi.org/10.1109/CIEES66347.2025.11300132</w:t>
      </w:r>
    </w:p>
    <w:p w:rsidR="00000000" w:rsidDel="00000000" w:rsidP="00000000" w:rsidRDefault="00000000" w:rsidRPr="00000000" w14:paraId="00000041">
      <w:pPr>
        <w:spacing w:after="12" w:line="276" w:lineRule="auto"/>
        <w:ind w:left="720" w:hanging="720"/>
        <w:jc w:val="both"/>
        <w:rPr/>
      </w:pPr>
      <w:r w:rsidDel="00000000" w:rsidR="00000000" w:rsidRPr="00000000">
        <w:rPr>
          <w:rtl w:val="0"/>
        </w:rPr>
        <w:t xml:space="preserve">Lu, G., Ou, Y., Wang, Z., Qu, Y., Xia, Y., Tang, D., Kotenko, I., &amp; Li, W. (2025). A Survey of Deep Learning for Time Series Forecasting: Theories, Datasets, and State-of-the-Art Techniques. Computers, Materials &amp; Continua, 85(2), 2403-2441. https://doi.org/10.32604/cmc.2025.068024</w:t>
      </w:r>
    </w:p>
    <w:p w:rsidR="00000000" w:rsidDel="00000000" w:rsidP="00000000" w:rsidRDefault="00000000" w:rsidRPr="00000000" w14:paraId="00000042">
      <w:pPr>
        <w:spacing w:after="12" w:line="276" w:lineRule="auto"/>
        <w:ind w:left="720" w:hanging="720"/>
        <w:jc w:val="both"/>
        <w:rPr/>
      </w:pPr>
      <w:r w:rsidDel="00000000" w:rsidR="00000000" w:rsidRPr="00000000">
        <w:rPr>
          <w:rtl w:val="0"/>
        </w:rPr>
        <w:t xml:space="preserve">Othan, D., &amp; Kilimci, Z. H. (2021). Stock Market Prediction with New Generation Deep Contextualized Word Representations and Deep Learning Models using User Sentiments. 2021 International Conference on INnovations in Intelligent SysTems and Applications (INISTA). IEEE. https://doi.org/10.1109/INISTA52262.2021.9548419</w:t>
      </w:r>
    </w:p>
    <w:p w:rsidR="00000000" w:rsidDel="00000000" w:rsidP="00000000" w:rsidRDefault="00000000" w:rsidRPr="00000000" w14:paraId="00000043">
      <w:pPr>
        <w:spacing w:after="12" w:line="276" w:lineRule="auto"/>
        <w:ind w:left="720" w:hanging="720"/>
        <w:jc w:val="both"/>
        <w:rPr/>
      </w:pPr>
      <w:r w:rsidDel="00000000" w:rsidR="00000000" w:rsidRPr="00000000">
        <w:rPr>
          <w:rtl w:val="0"/>
        </w:rPr>
        <w:t xml:space="preserve">Othan, D., Kilimci, Z. H., &amp; Uysal, M. (2019). Financial Sentiment Analysis for Predicting Direction of Stocks using Bidirectional Encoder Representations from Transformers (BERT) and Deep Learning Models. 17th ISTANBUL-TURKEY International Conference on Innovative &amp; Intelligent Technologies (ICIIT-19), 30–34. https://doi.org/10.17758/URUAE8.UL12191013</w:t>
      </w:r>
    </w:p>
    <w:p w:rsidR="00000000" w:rsidDel="00000000" w:rsidP="00000000" w:rsidRDefault="00000000" w:rsidRPr="00000000" w14:paraId="00000044">
      <w:pPr>
        <w:spacing w:after="12" w:line="276" w:lineRule="auto"/>
        <w:ind w:left="720" w:hanging="720"/>
        <w:jc w:val="both"/>
        <w:rPr/>
      </w:pPr>
      <w:r w:rsidDel="00000000" w:rsidR="00000000" w:rsidRPr="00000000">
        <w:rPr>
          <w:rtl w:val="0"/>
        </w:rPr>
        <w:t xml:space="preserve">Ozdes, C., &amp; Koru, G. K. (2026). FinAI: AI-driven web platform for stock price forecasting using ensemble machine learning models. 2026 5th International Informatics and Software Engineering Conference (IISEC), 194–197. https://doi.org/10.1109/IISEC69317.2026.11418514</w:t>
      </w:r>
    </w:p>
    <w:p w:rsidR="00000000" w:rsidDel="00000000" w:rsidP="00000000" w:rsidRDefault="00000000" w:rsidRPr="00000000" w14:paraId="00000045">
      <w:pPr>
        <w:spacing w:after="12" w:line="276" w:lineRule="auto"/>
        <w:ind w:left="720" w:hanging="720"/>
        <w:jc w:val="both"/>
        <w:rPr/>
      </w:pPr>
      <w:r w:rsidDel="00000000" w:rsidR="00000000" w:rsidRPr="00000000">
        <w:rPr>
          <w:rtl w:val="0"/>
        </w:rPr>
        <w:t xml:space="preserve">Sarıkoç, M., &amp; Çelik, M. (2022). Boyut İndirgeme Teknikleri ve LSTM Derin Öğrenme Ağı İle BIST100 Endeksi Fiyat Tahmini. Avrupa Bilim ve Teknoloji Dergisi, (34), 519–524. https://doi.org/10.31590/ejosat.1083255</w:t>
      </w:r>
    </w:p>
    <w:p w:rsidR="00000000" w:rsidDel="00000000" w:rsidP="00000000" w:rsidRDefault="00000000" w:rsidRPr="00000000" w14:paraId="00000046">
      <w:pPr>
        <w:spacing w:after="12" w:line="276" w:lineRule="auto"/>
        <w:ind w:left="720" w:hanging="720"/>
        <w:jc w:val="both"/>
        <w:rPr/>
      </w:pPr>
      <w:r w:rsidDel="00000000" w:rsidR="00000000" w:rsidRPr="00000000">
        <w:rPr>
          <w:rtl w:val="0"/>
        </w:rPr>
        <w:t xml:space="preserve">Sönmez, L., &amp; Coşkun Arslan, M. (2024). LSTM modeli ile volatilite temelli borsa tahmini. Uluslararası Muhasebe ve Finans Araştırmaları Dergisi, 6(2), 48–61. https://dergipark.org.tr/tr/pub/ijafr/article/1570555</w:t>
      </w:r>
    </w:p>
    <w:p w:rsidR="00000000" w:rsidDel="00000000" w:rsidP="00000000" w:rsidRDefault="00000000" w:rsidRPr="00000000" w14:paraId="00000047">
      <w:pPr>
        <w:spacing w:after="12" w:line="276" w:lineRule="auto"/>
        <w:ind w:left="720" w:hanging="720"/>
        <w:jc w:val="both"/>
        <w:rPr/>
      </w:pPr>
      <w:r w:rsidDel="00000000" w:rsidR="00000000" w:rsidRPr="00000000">
        <w:rPr>
          <w:rtl w:val="0"/>
        </w:rPr>
        <w:t xml:space="preserve">Varürer, İ., Özaydın, Ö., &amp; Çemrek, F. (2025). BIST100 Endeksi Fiyatının LSTM, CNN-LSTM ve BILSTM Modelleri ile Tahmin Edilmesi. Ekonomi ve Yönetim Araştırmaları Dergisi, 14(2), 1–24. https://dergipark.org.tr/tr/pub/eyad/article/1853163</w:t>
      </w:r>
    </w:p>
    <w:sectPr>
      <w:footerReference r:id="rId9" w:type="default"/>
      <w:pgSz w:h="16838" w:w="11906" w:orient="portrait"/>
      <w:pgMar w:bottom="1700" w:top="170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da KOKOÇ" w:id="0" w:date="2026-07-01T11:09:35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sizin çalışmanızın amacı literatür analizi değil.  özet kısmını tüm çalışmanız bitince en son yazalım. bu kısmı silebilirsiniz.</w:t>
      </w:r>
    </w:p>
  </w:comment>
  <w:comment w:author="Melda KOKOÇ" w:id="1" w:date="2026-07-01T11:23:12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 kaynağı, kullanılacak değişkenler, Eksik veri işlemleri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Normalizasyon/Standardizasyon, feature selection, Train-Test ayrımı vb. süreçleri burada detaylandırabiliriz.</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9" w15:done="0"/>
  <w15:commentEx w15:paraId="000000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888888" w:space="1" w:sz="4" w:val="single"/>
      </w:pBdr>
      <w:jc w:val="center"/>
      <w:rPr/>
    </w:pP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 w:before="36" w:lineRule="auto"/>
    </w:pPr>
    <w:rPr>
      <w:b w:val="1"/>
      <w:bCs w:val="1"/>
      <w:smallCaps w:val="1"/>
      <w:color w:val="000000"/>
      <w:sz w:val="26"/>
      <w:szCs w:val="2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 w:before="28" w:lineRule="auto"/>
    </w:pPr>
    <w:rPr>
      <w:b w:val="1"/>
      <w:bCs w:val="1"/>
      <w:color w:val="000000"/>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eralyyRITMFwVkmND+f+5vyaA==">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