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val="0"/>
          <w:sz w:val="30"/>
        </w:rPr>
        <w:t>Highlights</w:t>
      </w:r>
    </w:p>
    <w:p>
      <w:pPr>
        <w:spacing w:line="440" w:lineRule="exact"/>
        <w:jc w:val="both"/>
      </w:pPr>
      <w:r>
        <w:rPr>
          <w:rFonts w:ascii="Times New Roman" w:hAnsi="Times New Roman" w:eastAsia="宋体"/>
          <w:b w:val="0"/>
          <w:sz w:val="24"/>
        </w:rPr>
        <w:t>- 基于上市公司年报全文，利用关键词文本分析与大语言模型语义评分构建双测度体系，从广度和深度两个维度刻画企业数据要素利用程度。</w:t>
      </w:r>
    </w:p>
    <w:p>
      <w:pPr>
        <w:spacing w:line="440" w:lineRule="exact"/>
        <w:jc w:val="both"/>
      </w:pPr>
      <w:r>
        <w:rPr>
          <w:rFonts w:ascii="Times New Roman" w:hAnsi="Times New Roman" w:eastAsia="宋体"/>
          <w:b w:val="0"/>
          <w:sz w:val="24"/>
        </w:rPr>
        <w:t>- 数据要素利用显著降低股价延迟，关键词频率与语义测度方向一致且均高度显著，双测度交叉验证增强了结论可信度。</w:t>
      </w:r>
    </w:p>
    <w:p>
      <w:pPr>
        <w:spacing w:line="440" w:lineRule="exact"/>
        <w:jc w:val="both"/>
      </w:pPr>
      <w:r>
        <w:rPr>
          <w:rFonts w:ascii="Times New Roman" w:hAnsi="Times New Roman" w:eastAsia="宋体"/>
          <w:b w:val="0"/>
          <w:sz w:val="24"/>
        </w:rPr>
        <w:t>- 数据要素利用通过吸引分析师关注和改善市场流动性加速信息向价格的传导。</w:t>
      </w:r>
    </w:p>
    <w:p>
      <w:pPr>
        <w:spacing w:line="440" w:lineRule="exact"/>
        <w:jc w:val="both"/>
      </w:pPr>
      <w:r>
        <w:rPr>
          <w:rFonts w:ascii="Times New Roman" w:hAnsi="Times New Roman" w:eastAsia="宋体"/>
          <w:b w:val="0"/>
          <w:sz w:val="24"/>
        </w:rPr>
        <w:t>- 定价效应在分析师覆盖密集、国有企业和股东分散度较高的企业中更强，三个维度均通过费舍尔组合检验。</w:t>
      </w:r>
    </w:p>
    <w:p/>
    <w:p>
      <w:pPr>
        <w:spacing w:before="120" w:after="120"/>
        <w:jc w:val="center"/>
      </w:pPr>
      <w:r>
        <w:rPr>
          <w:rFonts w:ascii="Times New Roman" w:hAnsi="Times New Roman" w:eastAsia="黑体"/>
          <w:b w:val="0"/>
          <w:sz w:val="30"/>
        </w:rPr>
        <w:t>数据要素利用与资本市场定价效率</w:t>
      </w:r>
    </w:p>
    <w:p>
      <w:pPr>
        <w:spacing w:before="0" w:after="120"/>
        <w:jc w:val="center"/>
      </w:pPr>
      <w:r>
        <w:rPr>
          <w:rFonts w:ascii="Times New Roman" w:hAnsi="Times New Roman" w:eastAsia="黑体"/>
          <w:b w:val="0"/>
          <w:sz w:val="28"/>
        </w:rPr>
        <w:t>——基于年报文本分析与大语言模型评分的证据</w:t>
      </w:r>
    </w:p>
    <w:p>
      <w:pPr>
        <w:jc w:val="center"/>
      </w:pPr>
      <w:r>
        <w:rPr>
          <w:rFonts w:ascii="Times New Roman" w:hAnsi="Times New Roman" w:eastAsia="黑体"/>
          <w:b w:val="0"/>
          <w:sz w:val="24"/>
        </w:rPr>
        <w:t>摘要</w:t>
      </w:r>
    </w:p>
    <w:p>
      <w:pPr>
        <w:spacing w:line="440" w:lineRule="exact"/>
        <w:ind w:firstLine="480"/>
        <w:jc w:val="both"/>
      </w:pPr>
      <w:r>
        <w:rPr>
          <w:rFonts w:ascii="Times New Roman" w:hAnsi="Times New Roman" w:eastAsia="宋体"/>
          <w:b w:val="0"/>
          <w:sz w:val="24"/>
        </w:rPr>
        <w:t>数据要素利用是推动数字经济与实体经济深度融合的重要落脚点。本文基于2011至2024年沪深A股上市公司年报全文，利用关键词文本分析与大语言模型语义评分构建双测度体系，考察数据要素利用对资本市场定价效率的影响。结果显示，数据要素利用能够显著降低股价延迟，信息供给效应占据主导。机制检验表明，数据要素利用可以通过吸引分析师关注和改善市场流动性来加速信息向价格的传导。而且，这一效应在分析师覆盖密集、国有企业和股东分散度较高的企业中更为显著。结论有助于理解数据要素的资本市场价值，为完善数据资产会计准则和加强信息中介功能建设提供经验启示。</w:t>
      </w:r>
    </w:p>
    <w:p>
      <w:r>
        <w:rPr>
          <w:rFonts w:ascii="Times New Roman" w:hAnsi="Times New Roman" w:eastAsia="黑体"/>
          <w:b w:val="0"/>
          <w:sz w:val="24"/>
        </w:rPr>
        <w:t>关键词：</w:t>
      </w:r>
      <w:r>
        <w:rPr>
          <w:rFonts w:ascii="Times New Roman" w:hAnsi="Times New Roman" w:eastAsia="宋体"/>
          <w:b w:val="0"/>
          <w:sz w:val="24"/>
        </w:rPr>
        <w:t>数据要素利用 资本定价效率 股价延迟 大语言模型 信息供给效应</w:t>
      </w:r>
    </w:p>
    <w:p/>
    <w:p>
      <w:pPr>
        <w:spacing w:before="240" w:after="120"/>
      </w:pPr>
      <w:r>
        <w:rPr>
          <w:rFonts w:ascii="Times New Roman" w:hAnsi="Times New Roman" w:eastAsia="黑体"/>
          <w:b w:val="0"/>
          <w:sz w:val="28"/>
        </w:rPr>
        <w:t>一、引言</w:t>
      </w:r>
    </w:p>
    <w:p>
      <w:pPr>
        <w:spacing w:line="440" w:lineRule="exact"/>
        <w:ind w:firstLine="480"/>
        <w:jc w:val="both"/>
      </w:pPr>
      <w:r>
        <w:rPr>
          <w:rFonts w:ascii="Times New Roman" w:hAnsi="Times New Roman" w:eastAsia="宋体"/>
          <w:b w:val="0"/>
          <w:sz w:val="24"/>
        </w:rPr>
        <w:t>数据要素在企业价值创造中的作用持续上升，但会计计量体系仍然滞后（洪永淼和史九领，2024）。2022年“数据二十条”和2024年《企业数据资源相关会计处理暂行规定》在制度层面迈出了重要一步，然而现实困难依然突出：历史成本模式无法反映数据资源的动态价值特征，商业模式差异又使同一数据资源在不同场景下价值迥异（黄世忠等，2023；Mohan等，2026）。这一计量缺口意味着投资者难以仅凭财务报表完整评估企业价值，资本市场对相关企业的定价效率因此受到影响。</w:t>
      </w:r>
    </w:p>
    <w:p>
      <w:pPr>
        <w:spacing w:line="440" w:lineRule="exact"/>
        <w:ind w:firstLine="480"/>
        <w:jc w:val="both"/>
      </w:pPr>
      <w:r>
        <w:rPr>
          <w:rFonts w:ascii="Times New Roman" w:hAnsi="Times New Roman" w:eastAsia="宋体"/>
          <w:b w:val="0"/>
          <w:sz w:val="24"/>
        </w:rPr>
        <w:t>企业在年报中披露的数据要素利用信息可能通过两条相反的路径影响定价效率。从信息供给的角度看，数据利用的实质性描述降低了投资者面临的信息不对称，有助于加速价格发现（Diamond和Verrecchia，1991）。但从信息模糊的角度看，数据驱动商业模式的内在复杂性和估值标准的缺失可能加剧不确定性，反而阻碍价格发现（Zhang，2006）。净效果取决于哪种力量占主导，需要经验数据加以识别。中国A股市场的年报经过审计、受信息披露监管约束，数据要素政策框架也在逐步完善，这些条件可能有利于信息供给效应的发挥，但仍需实证检验。</w:t>
      </w:r>
    </w:p>
    <w:p>
      <w:pPr>
        <w:spacing w:line="440" w:lineRule="exact"/>
        <w:ind w:firstLine="480"/>
        <w:jc w:val="both"/>
      </w:pPr>
      <w:r>
        <w:rPr>
          <w:rFonts w:ascii="Times New Roman" w:hAnsi="Times New Roman" w:eastAsia="宋体"/>
          <w:b w:val="0"/>
          <w:sz w:val="24"/>
        </w:rPr>
        <w:t>两条研究脉络与此密切相关。第一条脉络关注数据要素对企业行为的影响。朱康和唐勇（2025）发现数据要素利用降低了金融资产配置并促进实体投资，李姝等（2025）提供了数据资产缓解融资约束的互补证据，Shao等（2024）从经济政策不确定性视角报告了类似发现。这些研究揭示了数据利用在企业决策层面的实质效应，但研究视角局限于企业行为层面，未延伸至资本市场的定价反应。</w:t>
      </w:r>
    </w:p>
    <w:p>
      <w:pPr>
        <w:spacing w:line="440" w:lineRule="exact"/>
        <w:ind w:firstLine="480"/>
        <w:jc w:val="both"/>
      </w:pPr>
      <w:r>
        <w:rPr>
          <w:rFonts w:ascii="Times New Roman" w:hAnsi="Times New Roman" w:eastAsia="宋体"/>
          <w:b w:val="0"/>
          <w:sz w:val="24"/>
        </w:rPr>
        <w:t>第二条脉络直接考察信息环境与定价效率的关系。会计信息质量的改善能够降低股价延迟（Callen等，2013），非财务信息的前瞻性有助于提升定价效率（Zhang和Wang，2024），另类数据对财务预测的改善在较长时间跨度上更为明显（Dessaint等，2024）。在中国市场，行业信息披露指引（Gao等，2024）和主流财经媒体关注（Yin和Hu，2024）均被发现能改善股价信息含量。与数据要素更直接相关的研究中，数字化转型降低股价延迟的初步证据已被报告（Feng等，2024），数据资产信息披露降低股价同步性和股价延迟的结论也在特定样本中得到支持（Sun和Du，2024；Chen，2024；Huang等，2026；Wei等，2025；李世刚等，2025）。</w:t>
      </w:r>
    </w:p>
    <w:p>
      <w:pPr>
        <w:spacing w:line="440" w:lineRule="exact"/>
        <w:ind w:firstLine="480"/>
        <w:jc w:val="both"/>
      </w:pPr>
      <w:r>
        <w:rPr>
          <w:rFonts w:ascii="Times New Roman" w:hAnsi="Times New Roman" w:eastAsia="宋体"/>
          <w:b w:val="0"/>
          <w:sz w:val="24"/>
        </w:rPr>
        <w:t>然而，“数字化转型”“数据资产披露”与“数据要素利用”是相关但不等同的概念。数字化转型侧重技术采纳，数据资产披露侧重会计确认，数据要素利用关注的是企业对数据资源的实际应用。从企业数据利用到资本市场定价反应的完整路径尚未被系统构建，已有研究在测度口径和因果识别策略上也各有局限。</w:t>
      </w:r>
    </w:p>
    <w:p>
      <w:pPr>
        <w:spacing w:line="440" w:lineRule="exact"/>
        <w:ind w:firstLine="480"/>
        <w:jc w:val="both"/>
      </w:pPr>
      <w:r>
        <w:rPr>
          <w:rFonts w:ascii="Times New Roman" w:hAnsi="Times New Roman" w:eastAsia="宋体"/>
          <w:b w:val="0"/>
          <w:sz w:val="24"/>
        </w:rPr>
        <w:t>在信息传导机制层面，分析师是连接企业披露与市场定价的核心中介。分析师覆盖与价格发现效率之间的因果关系在多个市场均得到确认（Hong等，2000；Yu，2008）。对于数据要素这种估值复杂性高、专业解读门槛高的信息类型，分析师的中介功能可能尤为重要。此外，信息不对称的降低还可能通过微观结构渠道促进价格发现：做市商模型表明，公开信息增加会压缩买卖价差、改善流动性（Kyle，1985；Glosten和Milgrom，1985），但已有研究对此缺乏系统检验。</w:t>
      </w:r>
    </w:p>
    <w:p>
      <w:pPr>
        <w:spacing w:line="440" w:lineRule="exact"/>
        <w:ind w:firstLine="480"/>
        <w:jc w:val="both"/>
      </w:pPr>
      <w:r>
        <w:rPr>
          <w:rFonts w:ascii="Times New Roman" w:hAnsi="Times New Roman" w:eastAsia="宋体"/>
          <w:b w:val="0"/>
          <w:sz w:val="24"/>
        </w:rPr>
        <w:t>本文旨在构建这一完整路径。与朱康和唐勇（2025）聚焦企业决策行为和李世刚等（2025）以入表口径度量数据资产化不同，本文直接考察年报中数据要素实际应用的实质性描述如何影响股价的信息吸收速度，并系统检验信息向价格传导的具体渠道。</w:t>
      </w:r>
    </w:p>
    <w:p>
      <w:pPr>
        <w:spacing w:line="440" w:lineRule="exact"/>
        <w:ind w:firstLine="480"/>
        <w:jc w:val="both"/>
      </w:pPr>
      <w:r>
        <w:rPr>
          <w:rFonts w:ascii="Times New Roman" w:hAnsi="Times New Roman" w:eastAsia="宋体"/>
          <w:b w:val="0"/>
          <w:sz w:val="24"/>
        </w:rPr>
        <w:t>本文以2011至2024年沪深A股上市公司为样本，基于年报全文考察数据要素利用对股价延迟的影响。度量上采用两种互补的策略：关键词频率指标扫描年报中与数据收集、分析、应用和价值变现相关的表述，捕捉利用的广度；但关键词频率无法区分实质利用与概念提及，为此引入大语言模型对每处关键词的上下文进行语义评分，构建反映利用深度的第二套指标。年报经过审计，管理层对经营行为的描述受到一定约束，使其相较于自愿性渠道更适合作为度量基础。研究发现，两套测度下数据要素利用均显著降低了股价延迟，信息供给效应占据主导。在传导路径上，数据利用信息主要通过吸引分析师关注和改善市场流动性加速价格发现。定价效应在分析师覆盖密集、国有企业和股东分散度较高的企业中更强。</w:t>
      </w:r>
    </w:p>
    <w:p>
      <w:pPr>
        <w:spacing w:line="440" w:lineRule="exact"/>
        <w:ind w:firstLine="480"/>
        <w:jc w:val="both"/>
      </w:pPr>
      <w:r>
        <w:rPr>
          <w:rFonts w:ascii="Times New Roman" w:hAnsi="Times New Roman" w:eastAsia="宋体"/>
          <w:b w:val="0"/>
          <w:sz w:val="24"/>
        </w:rPr>
        <w:t>本文的贡献体现在以下方面。第一，构建了关键词频率与大语言模型语义评分的双测度体系。现有研究多依赖入表口径或单一关键词统计，前者受限于会计准则的适用时间，后者无法区分实质利用与概念提及。双测度体系同时覆盖利用的广度和深度，并在2011至2024年的较长时间跨度上可比。第二，将数据要素研究从企业行为后果推进到资本市场的信息效率后果，并检验了分析师中介和市场微观结构两类传导渠道，为理解信息如何从年报传导至股价提供了具体路径。第三，利用行业技术扩散和地理基础设施供给两个识别来源构建工具变量，结合双重机器学习估计，为因果推断提供了多重证据。</w:t>
      </w:r>
    </w:p>
    <w:p>
      <w:pPr>
        <w:spacing w:line="440" w:lineRule="exact"/>
        <w:ind w:firstLine="480"/>
        <w:jc w:val="both"/>
      </w:pPr>
      <w:r>
        <w:rPr>
          <w:rFonts w:ascii="Times New Roman" w:hAnsi="Times New Roman" w:eastAsia="宋体"/>
          <w:b w:val="0"/>
          <w:sz w:val="24"/>
        </w:rPr>
        <w:t>本文余下部分安排如下。第二部分建立理论框架并导出研究假说。第三部分介绍研究设计。第四部分报告基准回归、内生性检验与稳健性检验。第五部分检验传导机制。第六部分进行异质性分析。第七部分总结全文并讨论政策启示。</w:t>
      </w:r>
    </w:p>
    <w:p>
      <w:pPr>
        <w:spacing w:before="240" w:after="120"/>
      </w:pPr>
      <w:r>
        <w:rPr>
          <w:rFonts w:ascii="Times New Roman" w:hAnsi="Times New Roman" w:eastAsia="黑体"/>
          <w:b w:val="0"/>
          <w:sz w:val="28"/>
        </w:rPr>
        <w:t>二、理论分析与研究假说</w:t>
      </w:r>
    </w:p>
    <w:p>
      <w:pPr>
        <w:spacing w:before="120" w:after="60"/>
      </w:pPr>
      <w:r>
        <w:rPr>
          <w:rFonts w:ascii="Times New Roman" w:hAnsi="Times New Roman" w:eastAsia="黑体"/>
          <w:b w:val="0"/>
          <w:sz w:val="24"/>
        </w:rPr>
        <w:t>（一）数据要素利用与资本市场定价效率</w:t>
      </w:r>
    </w:p>
    <w:p>
      <w:pPr>
        <w:spacing w:line="440" w:lineRule="exact"/>
        <w:ind w:firstLine="480"/>
        <w:jc w:val="both"/>
      </w:pPr>
      <w:r>
        <w:rPr>
          <w:rFonts w:ascii="Times New Roman" w:hAnsi="Times New Roman" w:eastAsia="宋体"/>
          <w:b w:val="0"/>
          <w:sz w:val="24"/>
        </w:rPr>
        <w:t>在剩余收益估值框架下，企业经济价值以账面净资产为锚（Ohlson，1995）。数据资产的大规模表外存在动摇了这一锚点：大量数据资源因不满足可辨认性或可靠计量条件而停留在报表之外，现行成本法又无法反映数据资源随应用场景扩展而非线性增值的特征（黄世忠等，2023），账面价值因此系统性低估了企业的真实经济价值。无形资产的定价偏差在近年日趋突出，中国A股市场的偏差尤为明显（Chen, J.等，2024；Dong和Doukas，2025；Bongaerts等，2025）。2024年施行的入表新规虽将数据资源纳入资产负债表，但适应期内投资者解读这类信息的难度并未立即下降。</w:t>
      </w:r>
    </w:p>
    <w:p>
      <w:pPr>
        <w:spacing w:line="440" w:lineRule="exact"/>
        <w:ind w:firstLine="480"/>
        <w:jc w:val="both"/>
      </w:pPr>
      <w:r>
        <w:rPr>
          <w:rFonts w:ascii="Times New Roman" w:hAnsi="Times New Roman" w:eastAsia="宋体"/>
          <w:b w:val="0"/>
          <w:sz w:val="24"/>
        </w:rPr>
        <w:t>这一计量缺口使市场参与者难以仅凭财务报表评估企业真实价值。企业在年度报告中披露的数据要素利用信息因此成为弥补计量缺口的增量信号，但这类信号对定价效率的影响方向并不确定。</w:t>
      </w:r>
    </w:p>
    <w:p>
      <w:pPr>
        <w:spacing w:line="440" w:lineRule="exact"/>
        <w:ind w:firstLine="480"/>
        <w:jc w:val="both"/>
      </w:pPr>
      <w:r>
        <w:rPr>
          <w:rFonts w:ascii="Times New Roman" w:hAnsi="Times New Roman" w:eastAsia="宋体"/>
          <w:b w:val="0"/>
          <w:sz w:val="24"/>
        </w:rPr>
        <w:t>信息供给效应强调信息不对称的改善作用。可信的公开信息披露压缩了知情与非知情交易者之间的信息差异，加速价格发现过程，这一机制既有理论上的严格论证（Grossman和Stiglitz，1980；Diamond和Verrecchia，1991），也有中国市场行业信息披露指引改善股价信息含量的独立实证支持（Gao等，2024）。信息模糊效应则指向相反方向，即信息不确定性越高，投资者越难以准确定价，价格发现因此越迟缓（Zhang，2006），数据驱动商业模式的内在复杂性、会计准则的估值空白以及数据丰裕条件下信息处理能力的制约（Dugast和Foucault，2025）都可能加剧这种不确定性。两种效应的行为假设不同，前者认为价格发现的约束在于信息供给不足，后者认为瓶颈在于投资者理解和处理信息的能力，净结果取决于哪种力量占主导。</w:t>
      </w:r>
    </w:p>
    <w:p>
      <w:pPr>
        <w:spacing w:line="440" w:lineRule="exact"/>
        <w:ind w:firstLine="480"/>
        <w:jc w:val="both"/>
      </w:pPr>
      <w:r>
        <w:rPr>
          <w:rFonts w:ascii="Times New Roman" w:hAnsi="Times New Roman" w:eastAsia="宋体"/>
          <w:b w:val="0"/>
          <w:sz w:val="24"/>
        </w:rPr>
        <w:t>在中国A股市场，若干制度条件可能有利于信息供给效应的发挥。年报是经过审计的法定文件，数据要素利用描述受到会计准则和审计程序的约束，其可验证性高于自愿性渠道。2022年“数据二十条”和2024年入表新规逐步降低了理解和评估数据资产信息的门槛，制度框架的渐进完善使信息模糊效应的制约有所减弱。这些条件是否足以使信息供给效应占据优势，仍需经验数据来回答。若信息供给效应占据主导地位，应观察到企业数据要素利用与股价延迟呈显著负向关联。据此提出：</w:t>
      </w:r>
    </w:p>
    <w:p>
      <w:pPr>
        <w:spacing w:line="440" w:lineRule="exact"/>
        <w:ind w:firstLine="480"/>
        <w:jc w:val="both"/>
      </w:pPr>
      <w:r>
        <w:rPr>
          <w:rFonts w:ascii="Times New Roman" w:hAnsi="Times New Roman" w:eastAsia="宋体"/>
          <w:b w:val="0"/>
          <w:sz w:val="24"/>
        </w:rPr>
        <w:t>H1：企业数据要素利用降低了资本市场的股价延迟，即提升了定价效率。</w:t>
      </w:r>
    </w:p>
    <w:p>
      <w:pPr>
        <w:spacing w:before="120" w:after="60"/>
      </w:pPr>
      <w:r>
        <w:rPr>
          <w:rFonts w:ascii="Times New Roman" w:hAnsi="Times New Roman" w:eastAsia="黑体"/>
          <w:b w:val="0"/>
          <w:sz w:val="24"/>
        </w:rPr>
        <w:t>（二）定价效率的传导机制</w:t>
      </w:r>
    </w:p>
    <w:p>
      <w:pPr>
        <w:spacing w:line="440" w:lineRule="exact"/>
        <w:ind w:firstLine="480"/>
        <w:jc w:val="both"/>
      </w:pPr>
      <w:r>
        <w:rPr>
          <w:rFonts w:ascii="Times New Roman" w:hAnsi="Times New Roman" w:eastAsia="宋体"/>
          <w:b w:val="0"/>
          <w:sz w:val="24"/>
        </w:rPr>
        <w:t>上述假说关注的是总效应，但信息从企业年报向股票价格的具体传导路径尚待厘清。数据要素利用可能通过影响信息中介活动和市场微观结构两条路径改善定价效率。</w:t>
      </w:r>
    </w:p>
    <w:p>
      <w:pPr>
        <w:spacing w:line="440" w:lineRule="exact"/>
        <w:ind w:firstLine="480"/>
        <w:jc w:val="both"/>
      </w:pPr>
      <w:r>
        <w:rPr>
          <w:rFonts w:ascii="Times New Roman" w:hAnsi="Times New Roman" w:eastAsia="宋体"/>
          <w:b w:val="0"/>
          <w:sz w:val="24"/>
        </w:rPr>
        <w:t>第一条是信息中介渠道。分析师连接企业信息披露与市场定价。当分析师覆盖不足时，企业的私有信息难以被市场及时捕捉，信息扩散缓慢。反之，分析师数量的增加通过提高股票价格的信息含量而加速价格发现过程。分析师覆盖密度与价格发现效率之间的因果关系在不同市场均得到确认，美国市场的断点识别设计（Hong等，2000）和中国市场的独立检验（Yu，2008）在识别策略上各有侧重，但均表明分析师覆盖密度越高，信息向价格的转换效率越高。</w:t>
      </w:r>
    </w:p>
    <w:p>
      <w:pPr>
        <w:spacing w:line="440" w:lineRule="exact"/>
        <w:ind w:firstLine="480"/>
        <w:jc w:val="both"/>
      </w:pPr>
      <w:r>
        <w:rPr>
          <w:rFonts w:ascii="Times New Roman" w:hAnsi="Times New Roman" w:eastAsia="宋体"/>
          <w:b w:val="0"/>
          <w:sz w:val="24"/>
        </w:rPr>
        <w:t>数据要素利用程度较高的企业在年报中提供了更丰富的数字化战略与数据应用信息。这类信息技术含量高、与企业竞争力的关联性强，分析师可以据此更新盈利预测和投资评级，从而加速相关信息向股价的融合。据此提出：</w:t>
      </w:r>
    </w:p>
    <w:p>
      <w:pPr>
        <w:spacing w:line="440" w:lineRule="exact"/>
        <w:ind w:firstLine="480"/>
        <w:jc w:val="both"/>
      </w:pPr>
      <w:r>
        <w:rPr>
          <w:rFonts w:ascii="Times New Roman" w:hAnsi="Times New Roman" w:eastAsia="宋体"/>
          <w:b w:val="0"/>
          <w:sz w:val="24"/>
        </w:rPr>
        <w:t>H2a：企业数据要素利用通过提升分析师覆盖发挥信息中介作用。</w:t>
      </w:r>
    </w:p>
    <w:p>
      <w:pPr>
        <w:spacing w:line="440" w:lineRule="exact"/>
        <w:ind w:firstLine="480"/>
        <w:jc w:val="both"/>
      </w:pPr>
      <w:r>
        <w:rPr>
          <w:rFonts w:ascii="Times New Roman" w:hAnsi="Times New Roman" w:eastAsia="宋体"/>
          <w:b w:val="0"/>
          <w:sz w:val="24"/>
        </w:rPr>
        <w:t>第二条是市场微观结构渠道。在做市商模型中，知情交易者利用信息优势获利，做市商为补偿逆向选择损失而扩大报价价差，市场流动性因此下降（Kyle，1985；Glosten和Milgrom，1985）。数据要素利用的实质性披露增加了公开信息的供给，压缩了知情与非知情交易者之间的信息差异，逆向选择风险因此降低，流动性得到改善。信息差异的收窄还可能使投资者对基本面的估值更加趋同，收益率波动随之下降。不同维度的改善幅度不必相同，也可能取决于披露信息的实质程度。据此提出：</w:t>
      </w:r>
    </w:p>
    <w:p>
      <w:pPr>
        <w:spacing w:line="440" w:lineRule="exact"/>
        <w:ind w:firstLine="480"/>
        <w:jc w:val="both"/>
      </w:pPr>
      <w:r>
        <w:rPr>
          <w:rFonts w:ascii="Times New Roman" w:hAnsi="Times New Roman" w:eastAsia="宋体"/>
          <w:b w:val="0"/>
          <w:sz w:val="24"/>
        </w:rPr>
        <w:t>H2b：企业数据要素利用通过改善市场微观结构提升定价效率。</w:t>
      </w:r>
    </w:p>
    <w:p>
      <w:pPr>
        <w:spacing w:line="440" w:lineRule="exact"/>
        <w:ind w:firstLine="480"/>
        <w:jc w:val="both"/>
      </w:pPr>
      <w:r>
        <w:rPr>
          <w:rFonts w:ascii="Times New Roman" w:hAnsi="Times New Roman" w:eastAsia="宋体"/>
          <w:b w:val="0"/>
          <w:sz w:val="24"/>
        </w:rPr>
        <w:t>机构投资者持股行为也可能是潜在渠道，但方向不确定：数据利用信号可能吸引机构投资者，估值复杂性也可能抑制其持股意愿，实证部分将作为探索性分析报告。</w:t>
      </w:r>
    </w:p>
    <w:p>
      <w:pPr>
        <w:spacing w:before="120" w:after="60"/>
      </w:pPr>
      <w:r>
        <w:rPr>
          <w:rFonts w:ascii="Times New Roman" w:hAnsi="Times New Roman" w:eastAsia="黑体"/>
          <w:b w:val="0"/>
          <w:sz w:val="24"/>
        </w:rPr>
        <w:t>（三）效应的异质性</w:t>
      </w:r>
    </w:p>
    <w:p>
      <w:pPr>
        <w:spacing w:line="440" w:lineRule="exact"/>
        <w:ind w:firstLine="480"/>
        <w:jc w:val="both"/>
      </w:pPr>
      <w:r>
        <w:rPr>
          <w:rFonts w:ascii="Times New Roman" w:hAnsi="Times New Roman" w:eastAsia="宋体"/>
          <w:b w:val="0"/>
          <w:sz w:val="24"/>
        </w:rPr>
        <w:t>总效应和传导机制之外，企业特征差异可能调节定价效应的强弱。</w:t>
      </w:r>
    </w:p>
    <w:p>
      <w:pPr>
        <w:spacing w:line="440" w:lineRule="exact"/>
        <w:ind w:firstLine="480"/>
        <w:jc w:val="both"/>
      </w:pPr>
      <w:r>
        <w:rPr>
          <w:rFonts w:ascii="Times New Roman" w:hAnsi="Times New Roman" w:eastAsia="宋体"/>
          <w:b w:val="0"/>
          <w:sz w:val="24"/>
        </w:rPr>
        <w:t>如果信息中介是定价效率改善的主要渠道（H2a），那么分析师覆盖密度直接决定了增量信息能否被及时处理。分析师覆盖与价格发现效率之间的因果关系在多个市场均得到确认（Hong等，2000；Yu，2008）。当分析师跟踪密集时，年报中数据要素利用产生的增量信息能够被更快地捕捉和转化为投资建议，定价效率的改善更为显著；覆盖不足的企业即使提供了高质量的信息，市场也缺乏有效的处理机制。</w:t>
      </w:r>
    </w:p>
    <w:p>
      <w:pPr>
        <w:spacing w:line="440" w:lineRule="exact"/>
        <w:ind w:firstLine="480"/>
        <w:jc w:val="both"/>
      </w:pPr>
      <w:r>
        <w:rPr>
          <w:rFonts w:ascii="Times New Roman" w:hAnsi="Times New Roman" w:eastAsia="宋体"/>
          <w:b w:val="0"/>
          <w:sz w:val="24"/>
        </w:rPr>
        <w:t>产权性质影响了信息不对称的基线水平。国有企业因多层级委托代理结构，内部信息传递链条更长，信息不对称程度高于同规模非国有企业（辛清泉等，2007）。信息不对称程度越高，增量信息的边际定价价值越大（Lambert等，2007），数据要素利用信息在国有企业中可能产生更强的定价效率改善。</w:t>
      </w:r>
    </w:p>
    <w:p>
      <w:pPr>
        <w:spacing w:line="440" w:lineRule="exact"/>
        <w:ind w:firstLine="480"/>
        <w:jc w:val="both"/>
      </w:pPr>
      <w:r>
        <w:rPr>
          <w:rFonts w:ascii="Times New Roman" w:hAnsi="Times New Roman" w:eastAsia="宋体"/>
          <w:b w:val="0"/>
          <w:sz w:val="24"/>
        </w:rPr>
        <w:t>股东结构的差异决定了哪类投资者从增量信息中获益更多。股东人数较多的企业，中小投资者占比相对更高，这些投资者私有信息获取能力有限，更依赖公开信息渠道。信息不对称的降低对信息劣势更大的参与者更为有利（Diamond和Verrecchia，1991），数据要素利用信息在股东分散度较高的企业中可能产生更强的定价效率改善。上述调节效应将在实证部分逐一检验。</w:t>
      </w:r>
    </w:p>
    <w:p>
      <w:pPr>
        <w:spacing w:before="240" w:after="120"/>
      </w:pPr>
      <w:r>
        <w:rPr>
          <w:rFonts w:ascii="Times New Roman" w:hAnsi="Times New Roman" w:eastAsia="黑体"/>
          <w:b w:val="0"/>
          <w:sz w:val="28"/>
        </w:rPr>
        <w:t>三、研究设计</w:t>
      </w:r>
    </w:p>
    <w:p>
      <w:pPr>
        <w:spacing w:before="120" w:after="60"/>
      </w:pPr>
      <w:r>
        <w:rPr>
          <w:rFonts w:ascii="Times New Roman" w:hAnsi="Times New Roman" w:eastAsia="黑体"/>
          <w:b w:val="0"/>
          <w:sz w:val="24"/>
        </w:rPr>
        <w:t>（一）样本选择与数据来源</w:t>
      </w:r>
    </w:p>
    <w:p>
      <w:pPr>
        <w:spacing w:line="440" w:lineRule="exact"/>
        <w:ind w:firstLine="480"/>
        <w:jc w:val="both"/>
      </w:pPr>
      <w:r>
        <w:rPr>
          <w:rFonts w:ascii="Times New Roman" w:hAnsi="Times New Roman" w:eastAsia="宋体"/>
          <w:b w:val="0"/>
          <w:sz w:val="24"/>
        </w:rPr>
        <w:t>本文以2011至2024年沪深A股上市公司为样本。数据包括两个层面，年报全文用于提取数据要素利用指标，CSMAR数据库的财务、治理和市场数据用于构造因变量和控制变量。样本筛选依据中国证监会行业分类标准剔除J类金融保险业企业，剔除ST/*ST企业，剔除上市时间在观测年份内不足12个月的企业-年份观测。对连续变量采取1%和99%分位数的Winsorize缩尾处理。</w:t>
      </w:r>
    </w:p>
    <w:p>
      <w:pPr>
        <w:spacing w:line="440" w:lineRule="exact"/>
        <w:ind w:firstLine="480"/>
        <w:jc w:val="both"/>
      </w:pPr>
      <w:r>
        <w:rPr>
          <w:rFonts w:ascii="Times New Roman" w:hAnsi="Times New Roman" w:eastAsia="宋体"/>
          <w:b w:val="0"/>
          <w:sz w:val="24"/>
        </w:rPr>
        <w:t>变量的时间匹配遵循按报告期对齐的原则（Feng等，2024；Wei等，2025）：t年年报覆盖企业t年经营活动，</w:t>
      </w:r>
      <w:r>
        <w:rPr>
          <w:rFonts w:ascii="Times New Roman" w:hAnsi="Times New Roman" w:eastAsia="宋体"/>
          <w:b w:val="0"/>
          <w:i/>
          <w:sz w:val="24"/>
        </w:rPr>
        <w:t>PriceDelay</w:t>
      </w:r>
      <w:r>
        <w:rPr>
          <w:rFonts w:ascii="Times New Roman" w:hAnsi="Times New Roman" w:eastAsia="宋体"/>
          <w:b w:val="0"/>
          <w:sz w:val="24"/>
        </w:rPr>
        <w:t>基于t年日收益率计算，二者同属一个会计年度。</w:t>
      </w:r>
      <w:r>
        <w:rPr>
          <w:rFonts w:ascii="Times New Roman" w:hAnsi="Times New Roman" w:eastAsia="宋体"/>
          <w:b w:val="0"/>
          <w:i/>
          <w:sz w:val="24"/>
        </w:rPr>
        <w:t>DU</w:t>
      </w:r>
      <w:r>
        <w:rPr>
          <w:rFonts w:ascii="Times New Roman" w:hAnsi="Times New Roman" w:eastAsia="宋体"/>
          <w:b w:val="0"/>
          <w:sz w:val="24"/>
        </w:rPr>
        <w:t>度量的是企业在t年内的实际经营行为而非年报发布事件本身，市场参与者在t年内已可通过中期报告和分析师调研等渠道逐步观察到企业的数据利用状况。内生性检验中进一步以t-1期</w:t>
      </w:r>
      <w:r>
        <w:rPr>
          <w:rFonts w:ascii="Times New Roman" w:hAnsi="Times New Roman" w:eastAsia="宋体"/>
          <w:b w:val="0"/>
          <w:i/>
          <w:sz w:val="24"/>
        </w:rPr>
        <w:t>DU</w:t>
      </w:r>
      <w:r>
        <w:rPr>
          <w:rFonts w:ascii="Times New Roman" w:hAnsi="Times New Roman" w:eastAsia="宋体"/>
          <w:b w:val="0"/>
          <w:sz w:val="24"/>
        </w:rPr>
        <w:t>进行滞后回归，结论不变。年报文本提取的时间范围为2010至2024年，额外的2010年数据用于该滞后检验。</w:t>
      </w:r>
    </w:p>
    <w:p>
      <w:pPr>
        <w:spacing w:line="440" w:lineRule="exact"/>
        <w:ind w:firstLine="480"/>
        <w:jc w:val="both"/>
      </w:pPr>
      <w:r>
        <w:rPr>
          <w:rFonts w:ascii="Times New Roman" w:hAnsi="Times New Roman" w:eastAsia="宋体"/>
          <w:b w:val="0"/>
          <w:sz w:val="24"/>
        </w:rPr>
        <w:t>经过上述筛选，最终获得43,735个企业-年份观测，涵盖约4,950家独立企业。OLS基准回归和工具变量估计均基于该样本，扣除固定效应单例后进入回归的观测约43,700。DML估计因使用27个控制变量和交叉拟合，样本约35,700，在相应章节单独说明。</w:t>
      </w:r>
    </w:p>
    <w:p>
      <w:pPr>
        <w:spacing w:line="440" w:lineRule="exact"/>
        <w:ind w:firstLine="480"/>
        <w:jc w:val="both"/>
      </w:pPr>
      <w:r>
        <w:rPr>
          <w:rFonts w:ascii="Times New Roman" w:hAnsi="Times New Roman" w:eastAsia="宋体"/>
          <w:b w:val="0"/>
          <w:sz w:val="24"/>
        </w:rPr>
        <w:t>年报全文来源于上市公司向证监会提交的法定年报TXT格式文件。因变量</w:t>
      </w:r>
      <w:r>
        <w:rPr>
          <w:rFonts w:ascii="Times New Roman" w:hAnsi="Times New Roman" w:eastAsia="宋体"/>
          <w:b w:val="0"/>
          <w:i/>
          <w:sz w:val="24"/>
        </w:rPr>
        <w:t>PriceDelay</w:t>
      </w:r>
      <w:r>
        <w:rPr>
          <w:rFonts w:ascii="Times New Roman" w:hAnsi="Times New Roman" w:eastAsia="宋体"/>
          <w:b w:val="0"/>
          <w:sz w:val="24"/>
        </w:rPr>
        <w:t>基于CSMAR数据库的股票日收益率数据构造，控制变量和机制变量同样来自CSMAR。</w:t>
      </w:r>
    </w:p>
    <w:p>
      <w:pPr>
        <w:spacing w:before="120" w:after="60"/>
      </w:pPr>
      <w:r>
        <w:rPr>
          <w:rFonts w:ascii="Times New Roman" w:hAnsi="Times New Roman" w:eastAsia="黑体"/>
          <w:b w:val="0"/>
          <w:sz w:val="24"/>
        </w:rPr>
        <w:t>（二）数据要素利用的测度</w:t>
      </w:r>
    </w:p>
    <w:p>
      <w:pPr>
        <w:spacing w:line="440" w:lineRule="exact"/>
        <w:ind w:firstLine="480"/>
        <w:jc w:val="both"/>
      </w:pPr>
      <w:r>
        <w:rPr>
          <w:rFonts w:ascii="Times New Roman" w:hAnsi="Times New Roman" w:eastAsia="宋体"/>
          <w:b w:val="0"/>
          <w:sz w:val="24"/>
        </w:rPr>
        <w:t>数据资产及其相关活动长期处于会计体系之外，传统财务指标无法直接观察（Coyle和Manley，2024），文本分析是目前获取相关信息的主要方式。本文沿数据价值链的不同环节构建了五维度关键词体系，共计73个关键词（见下表）。</w:t>
      </w:r>
    </w:p>
    <w:p>
      <w:pPr>
        <w:spacing w:before="120" w:after="60" w:line="440" w:lineRule="exact"/>
        <w:jc w:val="center"/>
      </w:pPr>
      <w:r>
        <w:rPr>
          <w:rFonts w:ascii="Times New Roman" w:hAnsi="Times New Roman" w:eastAsia="宋体"/>
          <w:b w:val="0"/>
          <w:sz w:val="21"/>
        </w:rPr>
        <w:t>表1 数据要素利用关键词体系</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关键词数</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示例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数据存量 </w:t>
            </w: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大数据、数据库、数据中心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数据开发能力 </w:t>
            </w: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数据挖掘、机器学习、数字化转型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数据驱动应用 </w:t>
            </w: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精准营销、智能推荐、风控模型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数据价值变现 </w:t>
            </w: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数据资产、数据交易、数据入表</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 xml:space="preserve">数据治理 </w:t>
            </w: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数据安全、数据隐私、数据合规</w:t>
            </w:r>
          </w:p>
        </w:tc>
      </w:tr>
    </w:tbl>
    <w:p>
      <w:pPr>
        <w:spacing w:line="440" w:lineRule="exact"/>
        <w:ind w:firstLine="480"/>
        <w:jc w:val="both"/>
      </w:pPr>
      <w:r>
        <w:rPr>
          <w:rFonts w:ascii="Times New Roman" w:hAnsi="Times New Roman" w:eastAsia="宋体"/>
          <w:b w:val="0"/>
          <w:sz w:val="24"/>
        </w:rPr>
        <w:t>这一分类方案借鉴了CNRDS数字化转型指标的理论框架，同时针对朱康（2025）采用的两维度体系进行了细化，新增数据开发能力、数据价值变现和数据治理三个维度，覆盖数据要素利用的主要环节。完整关键词清单见附录。</w:t>
      </w:r>
    </w:p>
    <w:p>
      <w:pPr>
        <w:spacing w:line="440" w:lineRule="exact"/>
        <w:ind w:firstLine="480"/>
        <w:jc w:val="both"/>
      </w:pPr>
      <w:r>
        <w:rPr>
          <w:rFonts w:ascii="Times New Roman" w:hAnsi="Times New Roman" w:eastAsia="宋体"/>
          <w:b w:val="0"/>
          <w:sz w:val="24"/>
        </w:rPr>
        <w:t>关键词频率的计算方法为：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k</m:t>
            </m:r>
            <m:r>
              <w:rPr>
                <w:rFonts w:ascii="Cambria Math" w:hAnsi="Cambria Math" w:eastAsia="宋体"/>
                <w:sz w:val="21"/>
              </w:rPr>
              <m:t xml:space="preserve">w</m:t>
            </m:r>
          </m:sub>
        </m:sSub>
        <m:r>
          <m:rPr>
            <m:sty m:val="p"/>
          </m:rPr>
          <w:rPr>
            <w:rFonts w:ascii="Cambria Math" w:hAnsi="Cambria Math" w:eastAsia="宋体"/>
            <w:sz w:val="21"/>
          </w:rPr>
          <m:t xml:space="preserve">=</m:t>
        </m:r>
        <m:f>
          <m:num>
            <m:r>
              <m:rPr>
                <m:sty m:val="p"/>
              </m:rPr>
              <w:rPr>
                <w:rFonts w:ascii="Cambria Math" w:hAnsi="Cambria Math" w:eastAsia="宋体"/>
                <w:sz w:val="21"/>
              </w:rPr>
              <m:t xml:space="preserve">关键词总出现次数</m:t>
            </m:r>
          </m:num>
          <m:den>
            <m:r>
              <m:rPr>
                <m:sty m:val="p"/>
              </m:rPr>
              <w:rPr>
                <w:rFonts w:ascii="Cambria Math" w:hAnsi="Cambria Math" w:eastAsia="宋体"/>
                <w:sz w:val="21"/>
              </w:rPr>
              <m:t xml:space="preserve">年报全文总字数</m:t>
            </m:r>
          </m:den>
        </m:f>
        <m:r>
          <m:rPr>
            <m:sty m:val="p"/>
          </m:rPr>
          <w:rPr>
            <w:rFonts w:ascii="Cambria Math" w:hAnsi="Cambria Math" w:eastAsia="宋体"/>
            <w:sz w:val="21"/>
          </w:rPr>
          <m:t xml:space="preserve">×</m:t>
        </m:r>
        <m:r>
          <m:rPr>
            <m:sty m:val="p"/>
          </m:rPr>
          <w:rPr>
            <w:rFonts w:ascii="Cambria Math" w:hAnsi="Cambria Math" w:eastAsia="宋体"/>
            <w:sz w:val="21"/>
          </w:rPr>
          <m:t xml:space="preserve">10000</m:t>
        </m:r>
      </m:oMath>
      <w:r>
        <w:rPr>
          <w:rFonts w:ascii="Times New Roman" w:hAnsi="Times New Roman" w:eastAsia="宋体"/>
          <w:b w:val="0"/>
          <w:sz w:val="22"/>
        </w:rPr>
        <w:tab/>
      </w:r>
      <w:r>
        <w:rPr>
          <w:rFonts w:ascii="Times New Roman" w:hAnsi="Times New Roman" w:eastAsia="宋体"/>
          <w:b w:val="0"/>
          <w:sz w:val="22"/>
        </w:rPr>
        <w:t>(1)</w:t>
      </w:r>
    </w:p>
    <w:p>
      <w:pPr>
        <w:spacing w:line="440" w:lineRule="exact"/>
        <w:ind w:firstLine="480"/>
        <w:jc w:val="both"/>
      </w:pPr>
      <w:r>
        <w:rPr>
          <w:rFonts w:ascii="Times New Roman" w:hAnsi="Times New Roman" w:eastAsia="宋体"/>
          <w:b w:val="0"/>
          <w:sz w:val="24"/>
        </w:rPr>
        <w:t>即每万字中数据相关关键词的出现次数。文本处理采用多编码支持策略和长词优先匹配策略，以准确读取多种编码格式并避免短词误匹配。</w:t>
      </w:r>
    </w:p>
    <w:p>
      <w:pPr>
        <w:spacing w:line="440" w:lineRule="exact"/>
        <w:ind w:firstLine="480"/>
        <w:jc w:val="both"/>
      </w:pPr>
      <w:r>
        <w:rPr>
          <w:rFonts w:ascii="Times New Roman" w:hAnsi="Times New Roman" w:eastAsia="宋体"/>
          <w:b w:val="0"/>
          <w:sz w:val="24"/>
        </w:rPr>
        <w:t>关键词频率统计存在测量噪声：企业可能在年报中笼统地提及“大数据”“数字化”而并无实质利用，也可能在不同语境下使用相同关键词但利用深度迥异。为缓解这一问题，本文引入大语言模型语义评分作为第二套测度。</w:t>
      </w:r>
    </w:p>
    <w:p>
      <w:pPr>
        <w:spacing w:line="440" w:lineRule="exact"/>
        <w:ind w:firstLine="480"/>
        <w:jc w:val="both"/>
      </w:pPr>
      <w:r>
        <w:rPr>
          <w:rFonts w:ascii="Times New Roman" w:hAnsi="Times New Roman" w:eastAsia="宋体"/>
          <w:b w:val="0"/>
          <w:sz w:val="24"/>
        </w:rPr>
        <w:t>具体步骤如下：首先基于73个关键词定位年报中所有命中位置及其前后100字的上下文窗口；然后使用大语言模型对每个上下文进行0-3分的语义评分，判断该处关键词是否反映了实质性的数据要素利用（0=无实质内容，3=深度利用）；最后取企业-年份层面各上下文评分的众数作为该企业当年的LLM评分</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，以抑制少数噪声上下文的拉动。评分使用Claude Haiku 4.5模型，温度参数设为0以确保输出确定性。</w:t>
      </w:r>
    </w:p>
    <w:p>
      <w:pPr>
        <w:spacing w:line="440" w:lineRule="exact"/>
        <w:ind w:firstLine="480"/>
        <w:jc w:val="both"/>
      </w:pPr>
      <w:r>
        <w:rPr>
          <w:rFonts w:ascii="Times New Roman" w:hAnsi="Times New Roman" w:eastAsia="宋体"/>
          <w:b w:val="0"/>
          <w:sz w:val="24"/>
        </w:rPr>
        <w:t>在此基础上构造两个衍生指标。LLM二值化指标</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在</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&gt;=2时取1否则取0。LLM语义增强指标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 xml:space="preserve"> = ln(1 + </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 × (</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 xml:space="preserve"> / 3)，将关键词总出现次数取对数后与归一化的语义质量相乘，同时捕捉利用的广度与深度。由于</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未做篇幅标准化，可能部分反映年报长度而非利用深度，本文始终将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与</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并行报告，以已做篇幅标准化的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作为主指标。</w:t>
      </w:r>
    </w:p>
    <w:p>
      <w:pPr>
        <w:spacing w:line="440" w:lineRule="exact"/>
        <w:ind w:firstLine="480"/>
        <w:jc w:val="both"/>
      </w:pPr>
      <w:r>
        <w:rPr>
          <w:rFonts w:ascii="Times New Roman" w:hAnsi="Times New Roman" w:eastAsia="宋体"/>
          <w:b w:val="0"/>
          <w:sz w:val="24"/>
        </w:rPr>
        <w:t>稳健性检验还使用两个备选指标：</w:t>
      </w:r>
      <w:r>
        <w:rPr>
          <w:rFonts w:ascii="Times New Roman" w:hAnsi="Times New Roman" w:eastAsia="宋体"/>
          <w:b w:val="0"/>
          <w:i/>
          <w:sz w:val="24"/>
        </w:rPr>
        <w:t>DU</w:t>
      </w:r>
      <w:r>
        <w:rPr>
          <w:rFonts w:ascii="Times New Roman" w:hAnsi="Times New Roman" w:eastAsia="宋体"/>
          <w:b w:val="0"/>
          <w:i/>
          <w:sz w:val="24"/>
          <w:vertAlign w:val="subscript"/>
        </w:rPr>
        <w:t>kw_ln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)，即对频率进行对数变换以处理右偏分布；</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)，其中</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为基于规则判断的实质利用次数。</w:t>
      </w:r>
    </w:p>
    <w:p>
      <w:pPr>
        <w:spacing w:line="440" w:lineRule="exact"/>
        <w:ind w:firstLine="480"/>
        <w:jc w:val="both"/>
      </w:pPr>
      <w:r>
        <w:rPr>
          <w:rFonts w:ascii="Times New Roman" w:hAnsi="Times New Roman" w:eastAsia="宋体"/>
          <w:b w:val="0"/>
          <w:sz w:val="24"/>
        </w:rPr>
        <w:t>指标有效性的验证如下。时间趋势上，</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在2011-2024年间均呈上升趋势，在政策时点加速明显。行业分布上，信息技术产业和科学研究与技术服务业的指标均值远高于制造业和采矿业，符合产业间数据依赖程度的差异。两套测度的Pearson相关系数为0.678，一致性较强但并不重叠：</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侧重利用的广度，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侧重利用的深度。</w:t>
      </w:r>
    </w:p>
    <w:p>
      <w:pPr>
        <w:spacing w:before="120" w:after="60"/>
      </w:pPr>
      <w:r>
        <w:rPr>
          <w:rFonts w:ascii="Times New Roman" w:hAnsi="Times New Roman" w:eastAsia="黑体"/>
          <w:b w:val="0"/>
          <w:sz w:val="24"/>
        </w:rPr>
        <w:t>（三）变量定义</w:t>
      </w:r>
    </w:p>
    <w:p>
      <w:pPr>
        <w:spacing w:line="440" w:lineRule="exact"/>
        <w:ind w:firstLine="480"/>
        <w:jc w:val="both"/>
      </w:pPr>
      <w:r>
        <w:rPr>
          <w:rFonts w:ascii="Times New Roman" w:hAnsi="Times New Roman" w:eastAsia="宋体"/>
          <w:b w:val="0"/>
          <w:sz w:val="24"/>
        </w:rPr>
        <w:t>因变量为股价延迟</w:t>
      </w:r>
      <w:r>
        <w:rPr>
          <w:rFonts w:ascii="Times New Roman" w:hAnsi="Times New Roman" w:eastAsia="宋体"/>
          <w:b w:val="0"/>
          <w:i/>
          <w:sz w:val="24"/>
        </w:rPr>
        <w:t>PriceDelay</w:t>
      </w:r>
      <w:r>
        <w:rPr>
          <w:rFonts w:ascii="Times New Roman" w:hAnsi="Times New Roman" w:eastAsia="宋体"/>
          <w:b w:val="0"/>
          <w:sz w:val="24"/>
        </w:rPr>
        <w:t>，采用Hou和Moskowitz（2005）的方法构造。对企业i在年份t的日收益率序列，要求至少120个交易日，分别估计受限模型和无限制模型：</w:t>
      </w:r>
    </w:p>
    <w:p>
      <w:pPr>
        <w:spacing w:line="440" w:lineRule="exact"/>
        <w:ind w:firstLine="480"/>
        <w:jc w:val="both"/>
      </w:pPr>
      <w:r>
        <w:rPr>
          <w:rFonts w:ascii="Times New Roman" w:hAnsi="Times New Roman" w:eastAsia="宋体"/>
          <w:b w:val="0"/>
          <w:sz w:val="24"/>
        </w:rPr>
        <w:t>受限模型：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(2)</w:t>
      </w:r>
    </w:p>
    <w:p>
      <w:pPr>
        <w:spacing w:line="440" w:lineRule="exact"/>
        <w:ind w:firstLine="480"/>
        <w:jc w:val="both"/>
      </w:pPr>
      <w:r>
        <w:rPr>
          <w:rFonts w:ascii="Times New Roman" w:hAnsi="Times New Roman" w:eastAsia="宋体"/>
          <w:b w:val="0"/>
          <w:sz w:val="24"/>
        </w:rPr>
        <w:t>无限制模型：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nary>
          <m:naryPr>
            <m:chr m:val="∑"/>
          </m:naryPr>
          <m:sub>
            <m:r>
              <w:rPr>
                <w:rFonts w:ascii="Cambria Math" w:hAnsi="Cambria Math" w:eastAsia="宋体"/>
                <w:sz w:val="21"/>
              </w:rPr>
              <m:t xml:space="preserve">k</m:t>
            </m:r>
            <m:r>
              <m:rPr>
                <m:sty m:val="p"/>
              </m:rPr>
              <w:rPr>
                <w:rFonts w:ascii="Cambria Math" w:hAnsi="Cambria Math" w:eastAsia="宋体"/>
                <w:sz w:val="21"/>
              </w:rPr>
              <m:t xml:space="preserve">=</m:t>
            </m:r>
            <m:r>
              <m:rPr>
                <m:sty m:val="p"/>
              </m:rPr>
              <w:rPr>
                <w:rFonts w:ascii="Cambria Math" w:hAnsi="Cambria Math" w:eastAsia="宋体"/>
                <w:sz w:val="21"/>
              </w:rPr>
              <m:t xml:space="preserve">1</m:t>
            </m:r>
          </m:sub>
          <m:sup>
            <m:r>
              <m:rPr>
                <m:sty m:val="p"/>
              </m:rPr>
              <w:rPr>
                <w:rFonts w:ascii="Cambria Math" w:hAnsi="Cambria Math" w:eastAsia="宋体"/>
                <w:sz w:val="21"/>
              </w:rPr>
              <m:t xml:space="preserve">5</m:t>
            </m:r>
          </m:sup>
          <m:e/>
        </m:nary>
        <m:sSub>
          <m:e>
            <m:r>
              <w:rPr>
                <w:rFonts w:ascii="Cambria Math" w:hAnsi="Cambria Math" w:eastAsia="宋体"/>
                <w:sz w:val="21"/>
              </w:rPr>
              <m:t xml:space="preserve">β</m:t>
            </m:r>
          </m:e>
          <m:sub>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r>
              <m:rPr>
                <m:sty m:val="p"/>
              </m:rPr>
              <w:rPr>
                <w:rFonts w:ascii="Cambria Math" w:hAnsi="Cambria Math" w:eastAsia="宋体"/>
                <w:sz w:val="21"/>
              </w:rPr>
              <m:t xml:space="preserve">-</m:t>
            </m:r>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(3)</w:t>
      </w:r>
    </w:p>
    <w:p>
      <w:pPr>
        <w:spacing w:line="440" w:lineRule="exact"/>
        <w:ind w:firstLine="480"/>
        <w:jc w:val="both"/>
      </w:pPr>
      <w:r>
        <w:rPr>
          <w:rFonts w:ascii="Times New Roman" w:hAnsi="Times New Roman" w:eastAsia="宋体"/>
          <w:b w:val="0"/>
          <w:sz w:val="24"/>
        </w:rPr>
        <w:t>股价延迟定义为：</w:t>
      </w:r>
    </w:p>
    <w:p>
      <w:pPr>
        <w:spacing w:before="120" w:after="120"/>
        <w:jc w:val="left"/>
        <w:tabs>
          <w:tab w:val="center" w:pos="4253"/>
          <w:tab w:val="right" w:pos="8505"/>
        </w:tabs>
      </w:pPr>
      <w:r>
        <w:rPr>
          <w:rFonts w:ascii="Times New Roman" w:hAnsi="Times New Roman" w:eastAsia="宋体"/>
          <w:b w:val="0"/>
          <w:sz w:val="22"/>
        </w:rPr>
        <w:tab/>
      </w:r>
      <m:oMath>
        <m:r>
          <m:rPr>
            <m:sty m:val="p"/>
          </m:rPr>
          <w:rPr>
            <w:rFonts w:ascii="Cambria Math" w:hAnsi="Cambria Math" w:eastAsia="宋体"/>
            <w:sz w:val="21"/>
          </w:rPr>
          <m:t xml:space="preserve">PriceDelay</m:t>
        </m:r>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r>
          <m:rPr>
            <m:sty m:val="p"/>
          </m:rPr>
          <w:rPr>
            <w:rFonts w:ascii="Cambria Math" w:hAnsi="Cambria Math" w:eastAsia="宋体"/>
            <w:sz w:val="21"/>
          </w:rPr>
          <m:t xml:space="preserve">=</m:t>
        </m:r>
        <m:r>
          <m:rPr>
            <m:sty m:val="p"/>
          </m:rPr>
          <w:rPr>
            <w:rFonts w:ascii="Cambria Math" w:hAnsi="Cambria Math" w:eastAsia="宋体"/>
            <w:sz w:val="21"/>
          </w:rPr>
          <m:t xml:space="preserve">1</m:t>
        </m:r>
        <m:r>
          <m:rPr>
            <m:sty m:val="p"/>
          </m:rPr>
          <w:rPr>
            <w:rFonts w:ascii="Cambria Math" w:hAnsi="Cambria Math" w:eastAsia="宋体"/>
            <w:sz w:val="21"/>
          </w:rPr>
          <m:t xml:space="preserve">-</m:t>
        </m:r>
        <m:f>
          <m:num>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restricted</m:t>
                    </m:r>
                  </m:sub>
                </m:sSub>
              </m:sup>
            </m:sSup>
          </m:num>
          <m:den>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unrestricted</m:t>
                    </m:r>
                  </m:sub>
                </m:sSub>
              </m:sup>
            </m:sSup>
          </m:den>
        </m:f>
      </m:oMath>
      <w:r>
        <w:rPr>
          <w:rFonts w:ascii="Times New Roman" w:hAnsi="Times New Roman" w:eastAsia="宋体"/>
          <w:b w:val="0"/>
          <w:sz w:val="22"/>
        </w:rPr>
        <w:tab/>
      </w:r>
      <w:r>
        <w:rPr>
          <w:rFonts w:ascii="Times New Roman" w:hAnsi="Times New Roman" w:eastAsia="宋体"/>
          <w:b w:val="0"/>
          <w:sz w:val="22"/>
        </w:rPr>
        <w:t>(4)</w:t>
      </w:r>
    </w:p>
    <w:p>
      <w:pPr>
        <w:spacing w:line="440" w:lineRule="exact"/>
        <w:ind w:firstLine="480"/>
        <w:jc w:val="both"/>
      </w:pPr>
      <w:r>
        <w:rPr>
          <w:rFonts w:ascii="Times New Roman" w:hAnsi="Times New Roman" w:eastAsia="宋体"/>
          <w:b w:val="0"/>
          <w:sz w:val="24"/>
        </w:rPr>
        <w:t>取值范围为[0,1]，值越大表示股价对市场信息的反应越滞后，定价效率越低。若H1成立，</w:t>
      </w:r>
      <w:r>
        <w:rPr>
          <w:rFonts w:ascii="Times New Roman" w:hAnsi="Times New Roman" w:eastAsia="宋体"/>
          <w:b w:val="0"/>
          <w:i/>
          <w:sz w:val="24"/>
        </w:rPr>
        <w:t>DU</w:t>
      </w:r>
      <w:r>
        <w:rPr>
          <w:rFonts w:ascii="Times New Roman" w:hAnsi="Times New Roman" w:eastAsia="宋体"/>
          <w:b w:val="0"/>
          <w:sz w:val="24"/>
        </w:rPr>
        <w:t>应与</w:t>
      </w:r>
      <w:r>
        <w:rPr>
          <w:rFonts w:ascii="Times New Roman" w:hAnsi="Times New Roman" w:eastAsia="宋体"/>
          <w:b w:val="0"/>
          <w:i/>
          <w:sz w:val="24"/>
        </w:rPr>
        <w:t>PriceDelay</w:t>
      </w:r>
      <w:r>
        <w:rPr>
          <w:rFonts w:ascii="Times New Roman" w:hAnsi="Times New Roman" w:eastAsia="宋体"/>
          <w:b w:val="0"/>
          <w:sz w:val="24"/>
        </w:rPr>
        <w:t>呈负向关联。</w:t>
      </w:r>
    </w:p>
    <w:p>
      <w:pPr>
        <w:spacing w:line="440" w:lineRule="exact"/>
        <w:ind w:firstLine="480"/>
        <w:jc w:val="both"/>
      </w:pPr>
      <w:r>
        <w:rPr>
          <w:rFonts w:ascii="Times New Roman" w:hAnsi="Times New Roman" w:eastAsia="宋体"/>
          <w:b w:val="0"/>
          <w:sz w:val="24"/>
        </w:rPr>
        <w:t>作为备选因变量，本文同时采用股价同步性</w:t>
      </w:r>
      <w:r>
        <w:rPr>
          <w:rFonts w:ascii="Times New Roman" w:hAnsi="Times New Roman" w:eastAsia="宋体"/>
          <w:b w:val="0"/>
          <w:i/>
          <w:sz w:val="24"/>
        </w:rPr>
        <w:t>SYNCH</w:t>
      </w:r>
      <w:r>
        <w:rPr>
          <w:rFonts w:ascii="Times New Roman" w:hAnsi="Times New Roman" w:eastAsia="宋体"/>
          <w:b w:val="0"/>
          <w:sz w:val="24"/>
        </w:rPr>
        <w:t xml:space="preserve"> = ln(</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/(1-</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))，其中</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来自个股收益率对市场收益率和行业收益率的回归。</w:t>
      </w:r>
      <w:r>
        <w:rPr>
          <w:rFonts w:ascii="Times New Roman" w:hAnsi="Times New Roman" w:eastAsia="宋体"/>
          <w:b w:val="0"/>
          <w:i/>
          <w:sz w:val="24"/>
        </w:rPr>
        <w:t>PriceDelay</w:t>
      </w:r>
      <w:r>
        <w:rPr>
          <w:rFonts w:ascii="Times New Roman" w:hAnsi="Times New Roman" w:eastAsia="宋体"/>
          <w:b w:val="0"/>
          <w:sz w:val="24"/>
        </w:rPr>
        <w:t>衡量价格对市场信息的吸收速度，</w:t>
      </w:r>
      <w:r>
        <w:rPr>
          <w:rFonts w:ascii="Times New Roman" w:hAnsi="Times New Roman" w:eastAsia="宋体"/>
          <w:b w:val="0"/>
          <w:i/>
          <w:sz w:val="24"/>
        </w:rPr>
        <w:t>SYNCH</w:t>
      </w:r>
      <w:r>
        <w:rPr>
          <w:rFonts w:ascii="Times New Roman" w:hAnsi="Times New Roman" w:eastAsia="宋体"/>
          <w:b w:val="0"/>
          <w:sz w:val="24"/>
        </w:rPr>
        <w:t>反映系统性因素在收益率中的解释力，二者从不同维度刻画信息效率。若数据要素利用改善了信息环境，预期</w:t>
      </w:r>
      <w:r>
        <w:rPr>
          <w:rFonts w:ascii="Times New Roman" w:hAnsi="Times New Roman" w:eastAsia="宋体"/>
          <w:b w:val="0"/>
          <w:i/>
          <w:sz w:val="24"/>
        </w:rPr>
        <w:t>DU</w:t>
      </w:r>
      <w:r>
        <w:rPr>
          <w:rFonts w:ascii="Times New Roman" w:hAnsi="Times New Roman" w:eastAsia="宋体"/>
          <w:b w:val="0"/>
          <w:sz w:val="24"/>
        </w:rPr>
        <w:t>与</w:t>
      </w:r>
      <w:r>
        <w:rPr>
          <w:rFonts w:ascii="Times New Roman" w:hAnsi="Times New Roman" w:eastAsia="宋体"/>
          <w:b w:val="0"/>
          <w:i/>
          <w:sz w:val="24"/>
        </w:rPr>
        <w:t>PriceDelay</w:t>
      </w:r>
      <w:r>
        <w:rPr>
          <w:rFonts w:ascii="Times New Roman" w:hAnsi="Times New Roman" w:eastAsia="宋体"/>
          <w:b w:val="0"/>
          <w:sz w:val="24"/>
        </w:rPr>
        <w:t>负相关、与</w:t>
      </w:r>
      <w:r>
        <w:rPr>
          <w:rFonts w:ascii="Times New Roman" w:hAnsi="Times New Roman" w:eastAsia="宋体"/>
          <w:b w:val="0"/>
          <w:i/>
          <w:sz w:val="24"/>
        </w:rPr>
        <w:t>SYNCH</w:t>
      </w:r>
      <w:r>
        <w:rPr>
          <w:rFonts w:ascii="Times New Roman" w:hAnsi="Times New Roman" w:eastAsia="宋体"/>
          <w:b w:val="0"/>
          <w:sz w:val="24"/>
        </w:rPr>
        <w:t>正相关。</w:t>
      </w:r>
    </w:p>
    <w:p>
      <w:pPr>
        <w:spacing w:line="440" w:lineRule="exact"/>
        <w:ind w:firstLine="480"/>
        <w:jc w:val="both"/>
      </w:pPr>
      <w:r>
        <w:rPr>
          <w:rFonts w:ascii="Times New Roman" w:hAnsi="Times New Roman" w:eastAsia="宋体"/>
          <w:b w:val="0"/>
          <w:sz w:val="24"/>
        </w:rPr>
        <w:t>自变量为数据要素利用，主指标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的定义和构造方法已在上一节详述。</w:t>
      </w:r>
    </w:p>
    <w:p>
      <w:pPr>
        <w:spacing w:line="440" w:lineRule="exact"/>
        <w:ind w:firstLine="480"/>
        <w:jc w:val="both"/>
      </w:pPr>
      <w:r>
        <w:rPr>
          <w:rFonts w:ascii="Times New Roman" w:hAnsi="Times New Roman" w:eastAsia="宋体"/>
          <w:b w:val="0"/>
          <w:sz w:val="24"/>
        </w:rPr>
        <w:t>控制变量共11个，包括企业规模、财务状况和治理特征：</w:t>
      </w:r>
    </w:p>
    <w:p>
      <w:pPr>
        <w:spacing w:before="120" w:after="60" w:line="440" w:lineRule="exact"/>
        <w:jc w:val="center"/>
      </w:pPr>
      <w:r>
        <w:rPr>
          <w:rFonts w:ascii="Times New Roman" w:hAnsi="Times New Roman" w:eastAsia="宋体"/>
          <w:b w:val="0"/>
          <w:sz w:val="21"/>
        </w:rPr>
        <w:t>表2 控制变量定义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总市值的自然对数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总负债/总资产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净利润/总资产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(股权市值+负债账面值)/总资产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ln(当年-上市年份+1)</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营收增长率</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独立董事人数/董事会总人数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董事长兼任CEO取1，否则为0</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第一大股东持股比例</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国有企业取1，否则为0</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经营活动现金流/总资产</w:t>
            </w:r>
          </w:p>
        </w:tc>
      </w:tr>
    </w:tbl>
    <w:p>
      <w:pPr>
        <w:spacing w:line="440" w:lineRule="exact"/>
        <w:ind w:firstLine="480"/>
        <w:jc w:val="both"/>
      </w:pPr>
      <w:r>
        <w:rPr>
          <w:rFonts w:ascii="Times New Roman" w:hAnsi="Times New Roman" w:eastAsia="宋体"/>
          <w:b w:val="0"/>
          <w:sz w:val="24"/>
        </w:rPr>
        <w:t>控制变量参照股价延迟研究的通行做法选取。分析师覆盖、机构持股、流动性、波动率和换手率等变量未纳入控制，因为它们可能是数据要素利用影响定价效率的传导渠道，纳入将导致“坏控制”问题（Angrist and Pischke, 2009），低估处理效应。这些变量在机制分析中作为渠道变量单独检验。</w:t>
      </w:r>
    </w:p>
    <w:p>
      <w:pPr>
        <w:spacing w:line="440" w:lineRule="exact"/>
        <w:ind w:firstLine="480"/>
        <w:jc w:val="both"/>
      </w:pPr>
      <w:r>
        <w:rPr>
          <w:rFonts w:ascii="Times New Roman" w:hAnsi="Times New Roman" w:eastAsia="宋体"/>
          <w:b w:val="0"/>
          <w:sz w:val="24"/>
        </w:rPr>
        <w:t>标准误在行业×年份层面聚类，以校正同行业企业在同一年份受共同技术扩散冲击导致的截面相关。稳健性检验中报告了企业和年份双向聚类的结果，结论不变。</w:t>
      </w:r>
    </w:p>
    <w:p>
      <w:pPr>
        <w:spacing w:before="120" w:after="60"/>
      </w:pPr>
      <w:r>
        <w:rPr>
          <w:rFonts w:ascii="Times New Roman" w:hAnsi="Times New Roman" w:eastAsia="黑体"/>
          <w:b w:val="0"/>
          <w:sz w:val="24"/>
        </w:rPr>
        <w:t>（四）模型设定</w:t>
      </w:r>
    </w:p>
    <w:p>
      <w:pPr>
        <w:spacing w:line="440" w:lineRule="exact"/>
        <w:ind w:firstLine="480"/>
        <w:jc w:val="both"/>
      </w:pPr>
      <w:r>
        <w:rPr>
          <w:rFonts w:ascii="Times New Roman" w:hAnsi="Times New Roman" w:eastAsia="宋体"/>
          <w:b w:val="0"/>
          <w:sz w:val="24"/>
        </w:rPr>
        <w:t>为检验数据要素利用对资本市场定价效率的影响，构建如下基准回归模型：</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P</m:t>
        </m:r>
        <m:r>
          <w:rPr>
            <w:rFonts w:ascii="Cambria Math" w:hAnsi="Cambria Math" w:eastAsia="宋体"/>
            <w:sz w:val="21"/>
          </w:rPr>
          <m:t xml:space="preserve">r</m:t>
        </m:r>
        <m:r>
          <w:rPr>
            <w:rFonts w:ascii="Cambria Math" w:hAnsi="Cambria Math" w:eastAsia="宋体"/>
            <w:sz w:val="21"/>
          </w:rPr>
          <m:t xml:space="preserve">i</m:t>
        </m:r>
        <m:r>
          <w:rPr>
            <w:rFonts w:ascii="Cambria Math" w:hAnsi="Cambria Math" w:eastAsia="宋体"/>
            <w:sz w:val="21"/>
          </w:rPr>
          <m:t xml:space="preserve">c</m:t>
        </m:r>
        <m:r>
          <w:rPr>
            <w:rFonts w:ascii="Cambria Math" w:hAnsi="Cambria Math" w:eastAsia="宋体"/>
            <w:sz w:val="21"/>
          </w:rPr>
          <m:t xml:space="preserve">e</m:t>
        </m:r>
        <m:r>
          <w:rPr>
            <w:rFonts w:ascii="Cambria Math" w:hAnsi="Cambria Math" w:eastAsia="宋体"/>
            <w:sz w:val="21"/>
          </w:rPr>
          <m:t xml:space="preserve">D</m:t>
        </m:r>
        <m:r>
          <w:rPr>
            <w:rFonts w:ascii="Cambria Math" w:hAnsi="Cambria Math" w:eastAsia="宋体"/>
            <w:sz w:val="21"/>
          </w:rPr>
          <m:t xml:space="preserve">e</m:t>
        </m:r>
        <m:r>
          <w:rPr>
            <w:rFonts w:ascii="Cambria Math" w:hAnsi="Cambria Math" w:eastAsia="宋体"/>
            <w:sz w:val="21"/>
          </w:rPr>
          <m:t xml:space="preserve">l</m:t>
        </m:r>
        <m:r>
          <w:rPr>
            <w:rFonts w:ascii="Cambria Math" w:hAnsi="Cambria Math" w:eastAsia="宋体"/>
            <w:sz w:val="21"/>
          </w:rPr>
          <m:t xml:space="preserve">a</m:t>
        </m:r>
        <m:sSub>
          <m:e>
            <m:r>
              <w:rPr>
                <w:rFonts w:ascii="Cambria Math" w:hAnsi="Cambria Math" w:eastAsia="宋体"/>
                <w:sz w:val="21"/>
              </w:rPr>
              <m:t xml:space="preserve">y</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(5)</w:t>
      </w:r>
    </w:p>
    <w:p>
      <w:pPr>
        <w:spacing w:line="440" w:lineRule="exact"/>
        <w:ind w:firstLine="480"/>
        <w:jc w:val="both"/>
      </w:pPr>
      <w:r>
        <w:rPr>
          <w:rFonts w:ascii="Times New Roman" w:hAnsi="Times New Roman" w:eastAsia="宋体"/>
          <w:b w:val="0"/>
          <w:sz w:val="24"/>
        </w:rPr>
        <w:t>其中，</w:t>
      </w:r>
      <w:r>
        <w:rPr>
          <w:rFonts w:ascii="Times New Roman" w:hAnsi="Times New Roman" w:eastAsia="宋体"/>
          <w:b w:val="0"/>
          <w:i/>
          <w:sz w:val="24"/>
        </w:rPr>
        <w:t>PriceDelay</w:t>
      </w:r>
      <w:r>
        <w:rPr>
          <w:rFonts w:ascii="Times New Roman" w:hAnsi="Times New Roman" w:eastAsia="宋体"/>
          <w:b w:val="0"/>
          <w:sz w:val="24"/>
        </w:rPr>
        <w:t>为企业i在第t年的股价延迟；</w:t>
      </w:r>
      <w:r>
        <w:rPr>
          <w:rFonts w:ascii="Times New Roman" w:hAnsi="Times New Roman" w:eastAsia="宋体"/>
          <w:b w:val="0"/>
          <w:i/>
          <w:sz w:val="24"/>
        </w:rPr>
        <w:t>DU</w:t>
      </w:r>
      <w:r>
        <w:rPr>
          <w:rFonts w:ascii="Times New Roman" w:hAnsi="Times New Roman" w:eastAsia="宋体"/>
          <w:b w:val="0"/>
          <w:sz w:val="24"/>
        </w:rPr>
        <w:t>为数据要素利用指标，分别以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进入回归；Control为11个控制变量向量；</w:t>
      </w:r>
      <w:r>
        <w:rPr>
          <w:rFonts w:ascii="Times New Roman" w:hAnsi="Times New Roman" w:eastAsia="宋体"/>
          <w:b w:val="0"/>
          <w:i/>
          <w:sz w:val="24"/>
        </w:rPr>
        <w:t>μ</w:t>
      </w:r>
      <w:r>
        <w:rPr>
          <w:rFonts w:ascii="Times New Roman" w:hAnsi="Times New Roman" w:eastAsia="宋体"/>
          <w:b w:val="0"/>
          <w:i/>
          <w:sz w:val="24"/>
          <w:vertAlign w:val="subscript"/>
        </w:rPr>
        <w:t>i</w:t>
      </w:r>
      <w:r>
        <w:rPr>
          <w:rFonts w:ascii="Times New Roman" w:hAnsi="Times New Roman" w:eastAsia="宋体"/>
          <w:b w:val="0"/>
          <w:sz w:val="24"/>
        </w:rPr>
        <w:t>和</w:t>
      </w:r>
      <w:r>
        <w:rPr>
          <w:rFonts w:ascii="Times New Roman" w:hAnsi="Times New Roman" w:eastAsia="宋体"/>
          <w:b w:val="0"/>
          <w:i/>
          <w:sz w:val="24"/>
        </w:rPr>
        <w:t>λ</w:t>
      </w:r>
      <w:r>
        <w:rPr>
          <w:rFonts w:ascii="Times New Roman" w:hAnsi="Times New Roman" w:eastAsia="宋体"/>
          <w:b w:val="0"/>
          <w:i/>
          <w:sz w:val="24"/>
          <w:vertAlign w:val="subscript"/>
        </w:rPr>
        <w:t>t</w:t>
      </w:r>
      <w:r>
        <w:rPr>
          <w:rFonts w:ascii="Times New Roman" w:hAnsi="Times New Roman" w:eastAsia="宋体"/>
          <w:b w:val="0"/>
          <w:sz w:val="24"/>
        </w:rPr>
        <w:t>分别为企业固定效应和年份固定效应；</w:t>
      </w:r>
      <w:r>
        <w:rPr>
          <w:rFonts w:ascii="Times New Roman" w:hAnsi="Times New Roman" w:eastAsia="宋体"/>
          <w:b w:val="0"/>
          <w:i/>
          <w:sz w:val="24"/>
        </w:rPr>
        <w:t>ε</w:t>
      </w:r>
      <w:r>
        <w:rPr>
          <w:rFonts w:ascii="Times New Roman" w:hAnsi="Times New Roman" w:eastAsia="宋体"/>
          <w:b w:val="0"/>
          <w:i/>
          <w:sz w:val="24"/>
          <w:vertAlign w:val="subscript"/>
        </w:rPr>
        <w:t>i,t</w:t>
      </w:r>
      <w:r>
        <w:rPr>
          <w:rFonts w:ascii="Times New Roman" w:hAnsi="Times New Roman" w:eastAsia="宋体"/>
          <w:b w:val="0"/>
          <w:sz w:val="24"/>
        </w:rPr>
        <w:t>为随机扰动项。标准误在行业×年份层面聚类。若H1成立，</w:t>
      </w:r>
      <w:r>
        <w:rPr>
          <w:rFonts w:ascii="Times New Roman" w:hAnsi="Times New Roman" w:eastAsia="宋体"/>
          <w:b w:val="0"/>
          <w:i/>
          <w:sz w:val="24"/>
        </w:rPr>
        <w:t>α</w:t>
      </w:r>
      <w:r>
        <w:rPr>
          <w:rFonts w:ascii="Times New Roman" w:hAnsi="Times New Roman" w:eastAsia="宋体"/>
          <w:b w:val="0"/>
          <w:i/>
          <w:sz w:val="24"/>
          <w:vertAlign w:val="subscript"/>
        </w:rPr>
        <w:t>1</w:t>
      </w:r>
      <w:r>
        <w:rPr>
          <w:rFonts w:ascii="Times New Roman" w:hAnsi="Times New Roman" w:eastAsia="宋体"/>
          <w:b w:val="0"/>
          <w:sz w:val="24"/>
        </w:rPr>
        <w:t>应显著为负。</w:t>
      </w:r>
    </w:p>
    <w:p>
      <w:pPr>
        <w:spacing w:line="440" w:lineRule="exact"/>
        <w:ind w:firstLine="480"/>
        <w:jc w:val="both"/>
      </w:pPr>
      <w:r>
        <w:rPr>
          <w:rFonts w:ascii="Times New Roman" w:hAnsi="Times New Roman" w:eastAsia="宋体"/>
          <w:b w:val="0"/>
          <w:sz w:val="24"/>
        </w:rPr>
        <w:t>内生性方面，本文采用两个工具变量：IV1为同行业跨省企业</w:t>
      </w:r>
      <w:r>
        <w:rPr>
          <w:rFonts w:ascii="Times New Roman" w:hAnsi="Times New Roman" w:eastAsia="宋体"/>
          <w:b w:val="0"/>
          <w:i/>
          <w:sz w:val="24"/>
        </w:rPr>
        <w:t>DU</w:t>
      </w:r>
      <w:r>
        <w:rPr>
          <w:rFonts w:ascii="Times New Roman" w:hAnsi="Times New Roman" w:eastAsia="宋体"/>
          <w:b w:val="0"/>
          <w:sz w:val="24"/>
        </w:rPr>
        <w:t>的留一均值，利用行业层面技术扩散的外生变异；IV2为省级大数据发展总指数（2016年截面）与年份趋势的交互项，利用地理维度基础设施供给的外生变异。排除限制的论证和诊断检验在第四节报告。Oster界检验、Heckman两阶段法和安慰剂检验作为辅助识别策略。</w:t>
      </w:r>
    </w:p>
    <w:p>
      <w:pPr>
        <w:spacing w:line="440" w:lineRule="exact"/>
        <w:ind w:firstLine="480"/>
        <w:jc w:val="both"/>
      </w:pPr>
      <w:r>
        <w:rPr>
          <w:rFonts w:ascii="Times New Roman" w:hAnsi="Times New Roman" w:eastAsia="宋体"/>
          <w:b w:val="0"/>
          <w:sz w:val="24"/>
        </w:rPr>
        <w:t>传导机制的检验模型为：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C</m:t>
        </m:r>
        <m:r>
          <w:rPr>
            <w:rFonts w:ascii="Cambria Math" w:hAnsi="Cambria Math" w:eastAsia="宋体"/>
            <w:sz w:val="21"/>
          </w:rPr>
          <m:t xml:space="preserve">h</m:t>
        </m:r>
        <m:r>
          <w:rPr>
            <w:rFonts w:ascii="Cambria Math" w:hAnsi="Cambria Math" w:eastAsia="宋体"/>
            <w:sz w:val="21"/>
          </w:rPr>
          <m:t xml:space="preserve">a</m:t>
        </m:r>
        <m:r>
          <w:rPr>
            <w:rFonts w:ascii="Cambria Math" w:hAnsi="Cambria Math" w:eastAsia="宋体"/>
            <w:sz w:val="21"/>
          </w:rPr>
          <m:t xml:space="preserve">n</m:t>
        </m:r>
        <m:r>
          <w:rPr>
            <w:rFonts w:ascii="Cambria Math" w:hAnsi="Cambria Math" w:eastAsia="宋体"/>
            <w:sz w:val="21"/>
          </w:rPr>
          <m:t xml:space="preserve">n</m:t>
        </m:r>
        <m:r>
          <w:rPr>
            <w:rFonts w:ascii="Cambria Math" w:hAnsi="Cambria Math" w:eastAsia="宋体"/>
            <w:sz w:val="21"/>
          </w:rPr>
          <m:t xml:space="preserve">e</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(6)</w:t>
      </w:r>
    </w:p>
    <w:p>
      <w:pPr>
        <w:spacing w:line="440" w:lineRule="exact"/>
        <w:ind w:firstLine="480"/>
        <w:jc w:val="both"/>
      </w:pPr>
      <w:r>
        <w:rPr>
          <w:rFonts w:ascii="Times New Roman" w:hAnsi="Times New Roman" w:eastAsia="宋体"/>
          <w:b w:val="0"/>
          <w:sz w:val="24"/>
        </w:rPr>
        <w:t>其中Channel为渠道变量，定义如下：</w:t>
      </w:r>
    </w:p>
    <w:p>
      <w:pPr>
        <w:spacing w:before="120" w:after="60" w:line="440" w:lineRule="exact"/>
        <w:jc w:val="center"/>
      </w:pPr>
      <w:r>
        <w:rPr>
          <w:rFonts w:ascii="Times New Roman" w:hAnsi="Times New Roman" w:eastAsia="宋体"/>
          <w:b w:val="0"/>
          <w:sz w:val="21"/>
        </w:rPr>
        <w:t>表3 渠道变量定义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渠道变量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Analyst</w:t>
            </w:r>
            <w:r>
              <w:rPr>
                <w:rFonts w:ascii="Times New Roman" w:hAnsi="Times New Roman" w:eastAsia="宋体"/>
                <w:b w:val="0"/>
                <w:sz w:val="20"/>
              </w:rPr>
              <w:t xml:space="preserve"> 分析师覆盖</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跟踪该企业的分析师人数，取自然对数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Amihud</w:t>
            </w:r>
            <w:r>
              <w:rPr>
                <w:rFonts w:ascii="Times New Roman" w:hAnsi="Times New Roman" w:eastAsia="宋体"/>
                <w:b w:val="0"/>
                <w:sz w:val="20"/>
              </w:rPr>
              <w:t xml:space="preserve"> 非流动性</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日绝对收益率除以成交金额的年度均值，值越大流动性越差</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RetVol</w:t>
            </w:r>
            <w:r>
              <w:rPr>
                <w:rFonts w:ascii="Times New Roman" w:hAnsi="Times New Roman" w:eastAsia="宋体"/>
                <w:b w:val="0"/>
                <w:sz w:val="20"/>
              </w:rPr>
              <w:t xml:space="preserve"> 收益率波动</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日收益率的年度标准差</w:t>
            </w:r>
          </w:p>
        </w:tc>
      </w:tr>
    </w:tbl>
    <w:p>
      <w:pPr>
        <w:spacing w:line="440" w:lineRule="exact"/>
        <w:ind w:firstLine="480"/>
        <w:jc w:val="both"/>
      </w:pPr>
      <w:r>
        <w:rPr>
          <w:rFonts w:ascii="Times New Roman" w:hAnsi="Times New Roman" w:eastAsia="宋体"/>
          <w:b w:val="0"/>
          <w:sz w:val="24"/>
        </w:rPr>
        <w:t>遵循江艇（2022）的建议，采用路径系数的直接呈现来识别传导渠道的存在性，同时使用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两套测度进行交叉验证。双测度下方向一致且均显著的渠道视为稳健渠道，仅在一套测度下显著的渠道一并报告但对其解释保持审慎。渠道变量均经1%/99%缩尾处理。</w:t>
      </w:r>
    </w:p>
    <w:p>
      <w:pPr>
        <w:spacing w:line="440" w:lineRule="exact"/>
        <w:ind w:firstLine="480"/>
        <w:jc w:val="both"/>
      </w:pPr>
      <w:r>
        <w:rPr>
          <w:rFonts w:ascii="Times New Roman" w:hAnsi="Times New Roman" w:eastAsia="宋体"/>
          <w:b w:val="0"/>
          <w:sz w:val="24"/>
        </w:rPr>
        <w:t>异质性分析方面，分别按分析师覆盖中位数、产权性质和股东人数中位数对模型(1)进行分组回归，采用费舍尔组合检验（1000次抽样）检验组间系数差异的统计显著性。</w:t>
      </w:r>
    </w:p>
    <w:p>
      <w:pPr>
        <w:spacing w:before="240" w:after="120"/>
      </w:pPr>
      <w:r>
        <w:rPr>
          <w:rFonts w:ascii="Times New Roman" w:hAnsi="Times New Roman" w:eastAsia="黑体"/>
          <w:b w:val="0"/>
          <w:sz w:val="28"/>
        </w:rPr>
        <w:t>四、实证检验</w:t>
      </w:r>
    </w:p>
    <w:p>
      <w:pPr>
        <w:spacing w:before="120" w:after="60"/>
      </w:pPr>
      <w:r>
        <w:rPr>
          <w:rFonts w:ascii="Times New Roman" w:hAnsi="Times New Roman" w:eastAsia="黑体"/>
          <w:b w:val="0"/>
          <w:sz w:val="24"/>
        </w:rPr>
        <w:t>（一）描述性统计</w:t>
      </w:r>
    </w:p>
    <w:p>
      <w:pPr>
        <w:spacing w:line="440" w:lineRule="exact"/>
        <w:ind w:firstLine="480"/>
        <w:jc w:val="both"/>
      </w:pPr>
      <w:r>
        <w:rPr>
          <w:rFonts w:ascii="Times New Roman" w:hAnsi="Times New Roman" w:eastAsia="宋体"/>
          <w:b w:val="0"/>
          <w:sz w:val="24"/>
        </w:rPr>
        <w:t>表4报告了主要变量的描述性统计结果（见表4）。样本包含43,735个企业-年份观测。股价延迟均值为0.112，中位数为0.068，多数企业的信息融入效率较高。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均值为1.219，标准差为1.861，企业间差异较大。</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均值为1.321，标准差为1.119。其余控制变量的分布均在合理范围内。</w:t>
      </w:r>
    </w:p>
    <w:p>
      <w:pPr>
        <w:spacing w:before="120" w:after="60" w:line="440" w:lineRule="exact"/>
        <w:jc w:val="center"/>
      </w:pPr>
      <w:r>
        <w:rPr>
          <w:rFonts w:ascii="Times New Roman" w:hAnsi="Times New Roman" w:eastAsia="宋体"/>
          <w:b w:val="0"/>
          <w:sz w:val="21"/>
        </w:rPr>
        <w:t>表4 变量的描述性统计</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N</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均值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标准差</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最小值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中位数</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最大值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PriceDelay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0.123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SYNCH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-0.449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1.229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1.861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11.064</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1.086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6.799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22.597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0.971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20.948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25.608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0.425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0.916</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-0.280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0.191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1.590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8.451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0.733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0.693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2.303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3.219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-0.591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2.157</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0.378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0.457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33.420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14.822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8.126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74.000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0.470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-0.161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0.239</w:t>
            </w:r>
          </w:p>
        </w:tc>
      </w:tr>
    </w:tbl>
    <w:p>
      <w:pPr>
        <w:spacing w:line="440" w:lineRule="exact"/>
        <w:ind w:firstLine="480"/>
        <w:jc w:val="both"/>
      </w:pPr>
      <w:r>
        <w:rPr>
          <w:rFonts w:ascii="Times New Roman" w:hAnsi="Times New Roman" w:eastAsia="宋体"/>
          <w:b w:val="0"/>
          <w:sz w:val="24"/>
        </w:rPr>
        <w:t>LLM语义评分中，得分2及以上（实质利用）的企业-年份观测占46.8%，得分3（深度利用）仅占5.4%。</w:t>
      </w:r>
    </w:p>
    <w:p>
      <w:pPr>
        <w:spacing w:before="120" w:after="60"/>
      </w:pPr>
      <w:r>
        <w:rPr>
          <w:rFonts w:ascii="Times New Roman" w:hAnsi="Times New Roman" w:eastAsia="黑体"/>
          <w:b w:val="0"/>
          <w:sz w:val="24"/>
        </w:rPr>
        <w:t>（二）基准回归结果</w:t>
      </w:r>
    </w:p>
    <w:p>
      <w:pPr>
        <w:spacing w:line="440" w:lineRule="exact"/>
        <w:ind w:firstLine="480"/>
        <w:jc w:val="both"/>
      </w:pPr>
      <w:r>
        <w:rPr>
          <w:rFonts w:ascii="Times New Roman" w:hAnsi="Times New Roman" w:eastAsia="宋体"/>
          <w:b w:val="0"/>
          <w:sz w:val="24"/>
        </w:rPr>
        <w:t>表5报告了数据要素利用对股价延迟的OLS基准回归结果（见表5）。模型(1)(2)使用传统关键词指标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，模型(3)(4)使用LLM语义增强指标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，模型(5)使用LLM二值化指标。所有模型均控制企业和年份固定效应，聚类标准误设在行业×年份层面。</w:t>
      </w:r>
    </w:p>
    <w:p>
      <w:pPr>
        <w:spacing w:before="120" w:after="60" w:line="440" w:lineRule="exact"/>
        <w:jc w:val="center"/>
      </w:pPr>
      <w:r>
        <w:rPr>
          <w:rFonts w:ascii="Times New Roman" w:hAnsi="Times New Roman" w:eastAsia="宋体"/>
          <w:b w:val="0"/>
          <w:sz w:val="21"/>
        </w:rPr>
        <w:t>表5 基准回归检验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-0.0634***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0.0129***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-0.0142</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r>
    </w:tbl>
    <w:p>
      <w:pPr>
        <w:spacing w:line="440" w:lineRule="exact"/>
        <w:jc w:val="both"/>
      </w:pPr>
      <w:r>
        <w:rPr>
          <w:rFonts w:ascii="Times New Roman" w:hAnsi="Times New Roman" w:eastAsia="宋体"/>
          <w:b w:val="0"/>
          <w:sz w:val="20"/>
        </w:rPr>
        <w:t>注：所有模型控制企业+年份固定效应，使用Stata reghdfe估计。括号内为行业×年份聚类标准误。*p&lt;0.1, **p&lt;0.05, ***p&lt;0.01，下同。</w:t>
      </w:r>
    </w:p>
    <w:p>
      <w:pPr>
        <w:spacing w:line="440" w:lineRule="exact"/>
        <w:ind w:firstLine="480"/>
        <w:jc w:val="both"/>
      </w:pPr>
      <w:r>
        <w:rPr>
          <w:rFonts w:ascii="Times New Roman" w:hAnsi="Times New Roman" w:eastAsia="宋体"/>
          <w:b w:val="0"/>
          <w:sz w:val="24"/>
        </w:rPr>
        <w:t>以加入全部控制变量的模型(2)为基准，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每增加一个标准差1.861，股价延迟预期下降约7.7%。模型(4)中</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的系数为-0.0036，经济意义同样显著。加入控制变量后两个指标的系数调整幅度接近。模型(5)中LLM二值化指标的系数为-0.0033（t=-2.61），表明即便将数据利用简化为二分类变量，其对股价延迟的改善效应仍然显著。</w:t>
      </w:r>
    </w:p>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为因变量，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系数为+0.0189（t=3.88），</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系数为+0.0176（t=3.98），均显著为正，作为补充证据与</w:t>
      </w:r>
      <w:r>
        <w:rPr>
          <w:rFonts w:ascii="Times New Roman" w:hAnsi="Times New Roman" w:eastAsia="宋体"/>
          <w:b w:val="0"/>
          <w:i/>
          <w:sz w:val="24"/>
        </w:rPr>
        <w:t>PriceDelay</w:t>
      </w:r>
      <w:r>
        <w:rPr>
          <w:rFonts w:ascii="Times New Roman" w:hAnsi="Times New Roman" w:eastAsia="宋体"/>
          <w:b w:val="0"/>
          <w:sz w:val="24"/>
        </w:rPr>
        <w:t>的结论方向一致。</w:t>
      </w:r>
    </w:p>
    <w:p>
      <w:pPr>
        <w:spacing w:line="440" w:lineRule="exact"/>
        <w:ind w:firstLine="480"/>
        <w:jc w:val="both"/>
      </w:pPr>
      <w:r>
        <w:rPr>
          <w:rFonts w:ascii="Times New Roman" w:hAnsi="Times New Roman" w:eastAsia="宋体"/>
          <w:b w:val="0"/>
          <w:sz w:val="24"/>
        </w:rPr>
        <w:t>两套测度在</w:t>
      </w:r>
      <w:r>
        <w:rPr>
          <w:rFonts w:ascii="Times New Roman" w:hAnsi="Times New Roman" w:eastAsia="宋体"/>
          <w:b w:val="0"/>
          <w:i/>
          <w:sz w:val="24"/>
        </w:rPr>
        <w:t>PriceDelay</w:t>
      </w:r>
      <w:r>
        <w:rPr>
          <w:rFonts w:ascii="Times New Roman" w:hAnsi="Times New Roman" w:eastAsia="宋体"/>
          <w:b w:val="0"/>
          <w:sz w:val="24"/>
        </w:rPr>
        <w:t>上均显著为负，H1得到支持。</w:t>
      </w:r>
    </w:p>
    <w:p>
      <w:pPr>
        <w:spacing w:before="120" w:after="60"/>
      </w:pPr>
      <w:r>
        <w:rPr>
          <w:rFonts w:ascii="Times New Roman" w:hAnsi="Times New Roman" w:eastAsia="黑体"/>
          <w:b w:val="0"/>
          <w:sz w:val="24"/>
        </w:rPr>
        <w:t>（三）双重机器学习估计</w:t>
      </w:r>
    </w:p>
    <w:p>
      <w:pPr>
        <w:spacing w:line="440" w:lineRule="exact"/>
        <w:ind w:firstLine="480"/>
        <w:jc w:val="both"/>
      </w:pPr>
      <w:r>
        <w:rPr>
          <w:rFonts w:ascii="Times New Roman" w:hAnsi="Times New Roman" w:eastAsia="宋体"/>
          <w:b w:val="0"/>
          <w:sz w:val="24"/>
        </w:rPr>
        <w:t>为放松线性函数形式假定，采用Chernozhukov等（2018）的双重机器学习（DML）框架重新估计处理效应，以LightGBM为第一阶段学习器，Mundlak（1978）均值替代法处理企业固定效应，控制变量扩展至27个。</w:t>
      </w:r>
    </w:p>
    <w:p>
      <w:pPr>
        <w:spacing w:line="440" w:lineRule="exact"/>
        <w:ind w:firstLine="480"/>
        <w:jc w:val="both"/>
      </w:pPr>
      <w:r>
        <w:rPr>
          <w:rFonts w:ascii="Times New Roman" w:hAnsi="Times New Roman" w:eastAsia="宋体"/>
          <w:b w:val="0"/>
          <w:sz w:val="24"/>
        </w:rPr>
        <w:t>表6报告了DML估计结果（见表6）。</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的系数为-0.0029（t=-6.50），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的系数为-0.0042（t=-6.35），均在1%水平上显著为负，方向与OLS一致。以</w:t>
      </w:r>
      <w:r>
        <w:rPr>
          <w:rFonts w:ascii="Times New Roman" w:hAnsi="Times New Roman" w:eastAsia="宋体"/>
          <w:b w:val="0"/>
          <w:i/>
          <w:sz w:val="24"/>
        </w:rPr>
        <w:t>SYNCH</w:t>
      </w:r>
      <w:r>
        <w:rPr>
          <w:rFonts w:ascii="Times New Roman" w:hAnsi="Times New Roman" w:eastAsia="宋体"/>
          <w:b w:val="0"/>
          <w:sz w:val="24"/>
        </w:rPr>
        <w:t>为因变量，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系数为+0.0277（t=9.65），同样与OLS方向一致。</w:t>
      </w:r>
    </w:p>
    <w:p>
      <w:pPr>
        <w:spacing w:before="120" w:after="60" w:line="440" w:lineRule="exact"/>
        <w:jc w:val="center"/>
      </w:pPr>
      <w:r>
        <w:rPr>
          <w:rFonts w:ascii="Times New Roman" w:hAnsi="Times New Roman" w:eastAsia="宋体"/>
          <w:b w:val="0"/>
          <w:sz w:val="21"/>
        </w:rPr>
        <w:t>表6 DML-PLR回归结果</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PriceDelay</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SYNCH</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处理变量D</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sub_ln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[7.98]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(0.0075)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控制变量+CRE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35,666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35,614</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jc w:val="both"/>
      </w:pPr>
      <w:r>
        <w:rPr>
          <w:rFonts w:ascii="Times New Roman" w:hAnsi="Times New Roman" w:eastAsia="宋体"/>
          <w:b w:val="0"/>
          <w:sz w:val="20"/>
        </w:rPr>
        <w:t>注：DML采用部分线性模型（PLR），LightGBM为第一阶段学习器，5折交叉拟合，Mundlak均值替代企业固定效应，27个控制变量。括号内为标准误，方括号内为t统计量。</w:t>
      </w:r>
    </w:p>
    <w:p>
      <w:pPr>
        <w:spacing w:line="440" w:lineRule="exact"/>
        <w:ind w:firstLine="480"/>
        <w:jc w:val="both"/>
      </w:pPr>
      <w:r>
        <w:rPr>
          <w:rFonts w:ascii="Times New Roman" w:hAnsi="Times New Roman" w:eastAsia="宋体"/>
          <w:b w:val="0"/>
          <w:sz w:val="24"/>
        </w:rPr>
        <w:t>DML样本约35,700（27控制变量要求更完整的数据），与OLS样本有所差异，但两种方法结论一致。</w:t>
      </w:r>
    </w:p>
    <w:p>
      <w:pPr>
        <w:spacing w:before="120" w:after="60"/>
      </w:pPr>
      <w:r>
        <w:rPr>
          <w:rFonts w:ascii="Times New Roman" w:hAnsi="Times New Roman" w:eastAsia="黑体"/>
          <w:b w:val="0"/>
          <w:sz w:val="24"/>
        </w:rPr>
        <w:t>（四）内生性检验</w:t>
      </w:r>
    </w:p>
    <w:p>
      <w:pPr>
        <w:spacing w:line="440" w:lineRule="exact"/>
        <w:ind w:firstLine="480"/>
        <w:jc w:val="both"/>
      </w:pPr>
      <w:r>
        <w:rPr>
          <w:rFonts w:ascii="Times New Roman" w:hAnsi="Times New Roman" w:eastAsia="宋体"/>
          <w:b w:val="0"/>
          <w:sz w:val="24"/>
        </w:rPr>
        <w:t>基准回归中的内生性风险主要来自两个方面。其一，信息环境好的企业可能同时呈现高数据利用和低股价延迟，构成遗漏变量偏差。其二，市场定价效率较高的企业可能更有动力披露数据利用信息，形成反向因果。下面分别采用工具变量法、Oster界检验、Heckman两阶段法和安慰剂检验加以处理。</w:t>
      </w:r>
    </w:p>
    <w:p>
      <w:r>
        <w:rPr>
          <w:rFonts w:ascii="Times New Roman" w:hAnsi="Times New Roman" w:eastAsia="黑体"/>
          <w:b w:val="0"/>
          <w:sz w:val="24"/>
        </w:rPr>
        <w:t>1. 工具变量估计</w:t>
      </w:r>
    </w:p>
    <w:p>
      <w:pPr>
        <w:spacing w:line="440" w:lineRule="exact"/>
        <w:ind w:firstLine="480"/>
        <w:jc w:val="both"/>
      </w:pPr>
      <w:r>
        <w:rPr>
          <w:rFonts w:ascii="Times New Roman" w:hAnsi="Times New Roman" w:eastAsia="宋体"/>
          <w:b w:val="0"/>
          <w:sz w:val="24"/>
        </w:rPr>
        <w:t>本文选取两个识别来源正交的工具变量。IV1为同行业跨省企业数据要素利用的留一均值，即对企业所在行业中排除本省份后其他省份全部企业的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取均值。该工具变量的逻辑在于，行业层面的数据技术扩散浪潮会同步推高同行企业的数据要素利用水平（Leary和Roberts，2014），但跨省份的同行企业利用程度不会直接影响本企业的股价延迟。排除本省份企业后，地方信息环境的局部溢出效应也得到控制。IV2为省级大数据发展总指数（2016年截面）与年份趋势的交互项。该工具变量的识别逻辑基于数字基础设施的供给推动（Goldsmith-Pinkham等，2020）：2016年省级数字化水平越高的地区，企业获取和利用数据资源的边际成本越低，且这种优势随时间持续放大。由于省级数字化指数的截面格局主要由历史和地理因素决定，控制企业固定效应和年份固定效应后，不太可能与个股定价效率存在直接关联。</w:t>
      </w:r>
    </w:p>
    <w:p>
      <w:pPr>
        <w:spacing w:line="440" w:lineRule="exact"/>
        <w:ind w:firstLine="480"/>
        <w:jc w:val="both"/>
      </w:pPr>
      <w:r>
        <w:rPr>
          <w:rFonts w:ascii="Times New Roman" w:hAnsi="Times New Roman" w:eastAsia="宋体"/>
          <w:b w:val="0"/>
          <w:sz w:val="24"/>
        </w:rPr>
        <w:t>表7报告了内生性检验结果（见表7）。IV1的F统计量达到251.3，IV2为72.7，均远超Stock和Yogo（2005）的弱工具变量临界值。IV1下</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系数为-0.0143（t=-3.05），IV2下为-0.0352（t=-3.08），均在1%水平上显著为负。IV系数绝对值大于OLS，可能源于关键词频率的测量误差导致OLS向零衰减。两个工具变量的识别来源不同，但方向一致。</w:t>
      </w:r>
    </w:p>
    <w:p>
      <w:pPr>
        <w:spacing w:before="120" w:after="60" w:line="440" w:lineRule="exact"/>
        <w:jc w:val="center"/>
      </w:pPr>
      <w:r>
        <w:rPr>
          <w:rFonts w:ascii="Times New Roman" w:hAnsi="Times New Roman" w:eastAsia="宋体"/>
          <w:b w:val="0"/>
          <w:sz w:val="21"/>
        </w:rPr>
        <w:t>表7 内生性检验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模型</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OLS基准</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IV1:跨省peer</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IV2:数字化×year</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滞后OLS</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滞后IV</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-0.0163***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First-stage F</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251.3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177.8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43,612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37,278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37,198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val="0"/>
                <w:sz w:val="20"/>
              </w:rPr>
              <w:t>辅助检验</w:t>
            </w: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Oster δ*(1.3</w:t>
            </w:r>
            <w:r>
              <w:rPr>
                <w:rFonts w:ascii="Times New Roman" w:hAnsi="Times New Roman" w:eastAsia="宋体"/>
                <w:b w:val="0"/>
                <w:i/>
                <w:sz w:val="20"/>
              </w:rPr>
              <w:t>R</w:t>
            </w:r>
            <w:r>
              <w:rPr>
                <w:rFonts w:ascii="Times New Roman" w:hAnsi="Times New Roman" w:eastAsia="宋体"/>
                <w:b w:val="0"/>
                <w:i/>
                <w:sz w:val="20"/>
                <w:vertAlign w:val="superscript"/>
              </w:rPr>
              <w:t>2</w:t>
            </w:r>
            <w:r>
              <w:rPr>
                <w:rFonts w:ascii="Times New Roman" w:hAnsi="Times New Roman" w:eastAsia="宋体"/>
                <w:b w:val="0"/>
                <w:sz w:val="20"/>
              </w:rPr>
              <w:t>)</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Oster δ*(保守)</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Heckman: </w:t>
            </w: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t=-4.39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Heckman: </w:t>
            </w:r>
            <w:r>
              <w:rPr>
                <w:rFonts w:ascii="Times New Roman" w:hAnsi="Times New Roman" w:eastAsia="宋体"/>
                <w:b w:val="0"/>
                <w:i/>
                <w:sz w:val="20"/>
              </w:rPr>
              <w:t>IMR</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-0.123***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t=-6.23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安慰剂: 当期</w:t>
            </w:r>
            <w:r>
              <w:rPr>
                <w:rFonts w:ascii="Times New Roman" w:hAnsi="Times New Roman" w:eastAsia="宋体"/>
                <w:b w:val="0"/>
                <w:i/>
                <w:sz w:val="20"/>
              </w:rPr>
              <w:t>DU</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t=-4.64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安慰剂: 前置</w:t>
            </w:r>
            <w:r>
              <w:rPr>
                <w:rFonts w:ascii="Times New Roman" w:hAnsi="Times New Roman" w:eastAsia="宋体"/>
                <w:b w:val="0"/>
                <w:i/>
                <w:sz w:val="20"/>
              </w:rPr>
              <w:t>DU</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t=0.11</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Durbin-Wu-Hausman检验在三个IV规格下均拒绝了外生性假设（p值分别为0.015、0.005和0.006），证实内生性存在。简化型回归中，IV1和IV2对</w:t>
      </w:r>
      <w:r>
        <w:rPr>
          <w:rFonts w:ascii="Times New Roman" w:hAnsi="Times New Roman" w:eastAsia="宋体"/>
          <w:b w:val="0"/>
          <w:i/>
          <w:sz w:val="24"/>
        </w:rPr>
        <w:t>PriceDelay</w:t>
      </w:r>
      <w:r>
        <w:rPr>
          <w:rFonts w:ascii="Times New Roman" w:hAnsi="Times New Roman" w:eastAsia="宋体"/>
          <w:b w:val="0"/>
          <w:sz w:val="24"/>
        </w:rPr>
        <w:t>的系数分别在t=-3.05和t=-3.08的水平上显著，验证了工具变量对因变量的传导路径有效。</w:t>
      </w:r>
    </w:p>
    <w:p>
      <w:pPr>
        <w:spacing w:line="440" w:lineRule="exact"/>
        <w:ind w:firstLine="480"/>
        <w:jc w:val="both"/>
      </w:pPr>
      <w:r>
        <w:rPr>
          <w:rFonts w:ascii="Times New Roman" w:hAnsi="Times New Roman" w:eastAsia="宋体"/>
          <w:b w:val="0"/>
          <w:sz w:val="24"/>
        </w:rPr>
        <w:t>进一步以滞后一期的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作为处理变量，OLS系数为-0.0039（t=-3.90），方向和显著性与同期一致。使用滞后跨省peer作为IV，系数为-0.0163（t=-3.10），一阶段F=177.8，排除了同期反向因果的担忧。</w:t>
      </w:r>
    </w:p>
    <w:p>
      <w:r>
        <w:rPr>
          <w:rFonts w:ascii="Times New Roman" w:hAnsi="Times New Roman" w:eastAsia="黑体"/>
          <w:b w:val="0"/>
          <w:sz w:val="24"/>
        </w:rPr>
        <w:t>2. Oster界检验</w:t>
      </w:r>
    </w:p>
    <w:p>
      <w:pPr>
        <w:spacing w:line="440" w:lineRule="exact"/>
        <w:ind w:firstLine="480"/>
        <w:jc w:val="both"/>
      </w:pPr>
      <w:r>
        <w:rPr>
          <w:rFonts w:ascii="Times New Roman" w:hAnsi="Times New Roman" w:eastAsia="宋体"/>
          <w:b w:val="0"/>
          <w:sz w:val="24"/>
        </w:rPr>
        <w:t>采用Oster（2019）提出的δ界检验方法评估遗漏变量的潜在影响。以</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=1.3</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为基准，δ*=96.3；以更保守的</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=2</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_short为基准，δ*=7.5。两个δ*均远超临界值1，意味着若要使</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的系数降为零，遗漏变量对因变量的解释能力需要达到已纳入控制变量的96倍（或保守估计下的7.5倍），这在经验上不太可能。</w:t>
      </w:r>
    </w:p>
    <w:p>
      <w:r>
        <w:rPr>
          <w:rFonts w:ascii="Times New Roman" w:hAnsi="Times New Roman" w:eastAsia="黑体"/>
          <w:b w:val="0"/>
          <w:sz w:val="24"/>
        </w:rPr>
        <w:t>3. Heckman两阶段法（补充分析）</w:t>
      </w:r>
    </w:p>
    <w:p>
      <w:pPr>
        <w:spacing w:line="440" w:lineRule="exact"/>
        <w:ind w:firstLine="480"/>
        <w:jc w:val="both"/>
      </w:pP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的分布存在大量零值：约23%的企业-年份观测中年报未出现任何数据相关关键词。约23%的观测中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0，零值集中可能引入估计偏差。采用Heckman两阶段法检验这一问题。第一阶段以Probit模型估计企业年报中出现数据要素相关表述的概率，排他性限制条件为同行业跨省peer均值和省级数字化指数趋势，二者影响出现概率但不直接决定股价延迟。第二阶段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&gt;0的子样本中加入逆米尔斯比</w:t>
      </w:r>
      <w:r>
        <w:rPr>
          <w:rFonts w:ascii="Times New Roman" w:hAnsi="Times New Roman" w:eastAsia="宋体"/>
          <w:b w:val="0"/>
          <w:i/>
          <w:sz w:val="24"/>
        </w:rPr>
        <w:t>IMR</w:t>
      </w:r>
      <w:r>
        <w:rPr>
          <w:rFonts w:ascii="Times New Roman" w:hAnsi="Times New Roman" w:eastAsia="宋体"/>
          <w:b w:val="0"/>
          <w:sz w:val="24"/>
        </w:rPr>
        <w:t>控制选择偏差。结果显示，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的系数为-0.0040（t=-4.39），与基准回归几乎一致；</w:t>
      </w:r>
      <w:r>
        <w:rPr>
          <w:rFonts w:ascii="Times New Roman" w:hAnsi="Times New Roman" w:eastAsia="宋体"/>
          <w:b w:val="0"/>
          <w:i/>
          <w:sz w:val="24"/>
        </w:rPr>
        <w:t>IMR</w:t>
      </w:r>
      <w:r>
        <w:rPr>
          <w:rFonts w:ascii="Times New Roman" w:hAnsi="Times New Roman" w:eastAsia="宋体"/>
          <w:b w:val="0"/>
          <w:sz w:val="24"/>
        </w:rPr>
        <w:t>的系数为-0.123（t=-6.23），在1%水平上显著，表明样本选择偏差确实存在，但控制后核心结论不受影响。</w:t>
      </w:r>
    </w:p>
    <w:p>
      <w:r>
        <w:rPr>
          <w:rFonts w:ascii="Times New Roman" w:hAnsi="Times New Roman" w:eastAsia="黑体"/>
          <w:b w:val="0"/>
          <w:sz w:val="24"/>
        </w:rPr>
        <w:t>4. 安慰剂检验</w:t>
      </w:r>
    </w:p>
    <w:p>
      <w:pPr>
        <w:spacing w:line="440" w:lineRule="exact"/>
        <w:ind w:firstLine="480"/>
        <w:jc w:val="both"/>
      </w:pPr>
      <w:r>
        <w:rPr>
          <w:rFonts w:ascii="Times New Roman" w:hAnsi="Times New Roman" w:eastAsia="宋体"/>
          <w:b w:val="0"/>
          <w:sz w:val="24"/>
        </w:rPr>
        <w:t>如果数据要素利用对股价延迟的影响确实是因果关系而非伪回归，那么t+1期的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不应影响t期的</w:t>
      </w:r>
      <w:r>
        <w:rPr>
          <w:rFonts w:ascii="Times New Roman" w:hAnsi="Times New Roman" w:eastAsia="宋体"/>
          <w:b w:val="0"/>
          <w:i/>
          <w:sz w:val="24"/>
        </w:rPr>
        <w:t>PriceDelay</w:t>
      </w:r>
      <w:r>
        <w:rPr>
          <w:rFonts w:ascii="Times New Roman" w:hAnsi="Times New Roman" w:eastAsia="宋体"/>
          <w:b w:val="0"/>
          <w:sz w:val="24"/>
        </w:rPr>
        <w:t>。将</w:t>
      </w:r>
      <w:r>
        <w:rPr>
          <w:rFonts w:ascii="Times New Roman" w:hAnsi="Times New Roman" w:eastAsia="宋体"/>
          <w:b w:val="0"/>
          <w:i/>
          <w:sz w:val="24"/>
        </w:rPr>
        <w:t>DU</w:t>
      </w:r>
      <w:r>
        <w:rPr>
          <w:rFonts w:ascii="Times New Roman" w:hAnsi="Times New Roman" w:eastAsia="宋体"/>
          <w:b w:val="0"/>
          <w:i/>
          <w:sz w:val="24"/>
          <w:vertAlign w:val="subscript"/>
        </w:rPr>
        <w:t>i,t</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i,t+1</w:t>
      </w:r>
      <w:r>
        <w:rPr>
          <w:rFonts w:ascii="Times New Roman" w:hAnsi="Times New Roman" w:eastAsia="宋体"/>
          <w:b w:val="0"/>
          <w:sz w:val="24"/>
        </w:rPr>
        <w:t>同时纳入回归，当期系数为-0.0050（t=-4.64），在1%水平上显著；t+1期系数为0.0001（t=0.11），完全不显著。未来期</w:t>
      </w:r>
      <w:r>
        <w:rPr>
          <w:rFonts w:ascii="Times New Roman" w:hAnsi="Times New Roman" w:eastAsia="宋体"/>
          <w:b w:val="0"/>
          <w:i/>
          <w:sz w:val="24"/>
        </w:rPr>
        <w:t>DU</w:t>
      </w:r>
      <w:r>
        <w:rPr>
          <w:rFonts w:ascii="Times New Roman" w:hAnsi="Times New Roman" w:eastAsia="宋体"/>
          <w:b w:val="0"/>
          <w:sz w:val="24"/>
        </w:rPr>
        <w:t>对当期定价效率没有解释力，与反向因果的预测不符。</w:t>
      </w:r>
    </w:p>
    <w:p>
      <w:pPr>
        <w:spacing w:before="120" w:after="60"/>
      </w:pPr>
      <w:r>
        <w:rPr>
          <w:rFonts w:ascii="Times New Roman" w:hAnsi="Times New Roman" w:eastAsia="黑体"/>
          <w:b w:val="0"/>
          <w:sz w:val="24"/>
        </w:rPr>
        <w:t>（五）稳健性检验</w:t>
      </w:r>
    </w:p>
    <w:p>
      <w:pPr>
        <w:spacing w:line="440" w:lineRule="exact"/>
        <w:ind w:firstLine="480"/>
        <w:jc w:val="both"/>
      </w:pPr>
      <w:r>
        <w:rPr>
          <w:rFonts w:ascii="Times New Roman" w:hAnsi="Times New Roman" w:eastAsia="宋体"/>
          <w:b w:val="0"/>
          <w:sz w:val="24"/>
        </w:rPr>
        <w:t>表8报告了多维度的稳健性检验结果（见表8）。</w:t>
      </w:r>
    </w:p>
    <w:p>
      <w:pPr>
        <w:spacing w:line="440" w:lineRule="exact"/>
        <w:ind w:firstLine="480"/>
        <w:jc w:val="both"/>
      </w:pPr>
      <w:r>
        <w:rPr>
          <w:rFonts w:ascii="Times New Roman" w:hAnsi="Times New Roman" w:eastAsia="宋体"/>
          <w:b w:val="0"/>
          <w:sz w:val="24"/>
        </w:rPr>
        <w:t>（1）替换固定效应。将企业+年份双向固定效应替换为行业×年份联合固定效应，以吸收同一行业在特定年份面临的共同冲击，</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系数为-0.0029（t=-4.91），结论不变。</w:t>
      </w:r>
    </w:p>
    <w:p>
      <w:pPr>
        <w:spacing w:line="440" w:lineRule="exact"/>
        <w:ind w:firstLine="480"/>
        <w:jc w:val="both"/>
      </w:pPr>
      <w:r>
        <w:rPr>
          <w:rFonts w:ascii="Times New Roman" w:hAnsi="Times New Roman" w:eastAsia="宋体"/>
          <w:b w:val="0"/>
          <w:sz w:val="24"/>
        </w:rPr>
        <w:t>（2）调整样本范围。剔除末期年份（2024年）后系数为-0.0052（t=-5.43），排除了样本末端效应的干扰。剔除证监会行业分类中的信息技术业后系数为-0.0046（t=-5.29），排除了结论由数据密集型行业驱动的可能。</w:t>
      </w:r>
    </w:p>
    <w:p>
      <w:pPr>
        <w:spacing w:line="440" w:lineRule="exact"/>
        <w:ind w:firstLine="480"/>
        <w:jc w:val="both"/>
      </w:pPr>
      <w:r>
        <w:rPr>
          <w:rFonts w:ascii="Times New Roman" w:hAnsi="Times New Roman" w:eastAsia="宋体"/>
          <w:b w:val="0"/>
          <w:sz w:val="24"/>
        </w:rPr>
        <w:t>（3）滞后控制变量。以t-1期控制变量替代同期变量，缓解控制变量与处理变量的同期内生性，系数为-0.0040（t=-4.38）。</w:t>
      </w:r>
    </w:p>
    <w:p>
      <w:pPr>
        <w:spacing w:line="440" w:lineRule="exact"/>
        <w:ind w:firstLine="480"/>
        <w:jc w:val="both"/>
      </w:pPr>
      <w:r>
        <w:rPr>
          <w:rFonts w:ascii="Times New Roman" w:hAnsi="Times New Roman" w:eastAsia="宋体"/>
          <w:b w:val="0"/>
          <w:sz w:val="24"/>
        </w:rPr>
        <w:t>（4）倾向得分匹配（Rosenbaum和Rubin，1983）。以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高于行业-年份中位数为处理组，Logit模型估计倾向得分，采用最近邻1:1匹配（卡尺0.05）。图1展示了匹配前后处理组与对照组的倾向得分核密度分布，匹配后两组分布趋于一致，协变量平衡良好。匹配样本上系数为-0.0039（t=-4.61），与基准估计方向和大小一致。</w:t>
      </w:r>
    </w:p>
    <w:p>
      <w:pPr>
        <w:spacing w:before="120" w:after="60" w:line="440" w:lineRule="exact"/>
        <w:jc w:val="center"/>
      </w:pPr>
      <w:r>
        <w:rPr>
          <w:rFonts w:ascii="Times New Roman" w:hAnsi="Times New Roman" w:eastAsia="宋体"/>
          <w:b w:val="0"/>
          <w:sz w:val="21"/>
        </w:rPr>
        <w:t>图1 匹配前后核密度曲线</w:t>
      </w:r>
    </w:p>
    <w:p>
      <w:pPr>
        <w:spacing w:before="60" w:after="60"/>
        <w:jc w:val="center"/>
      </w:pPr>
      <w:r>
        <w:drawing>
          <wp:inline xmlns:a="http://schemas.openxmlformats.org/drawingml/2006/main" xmlns:pic="http://schemas.openxmlformats.org/drawingml/2006/picture">
            <wp:extent cx="5040000" cy="2087272"/>
            <wp:docPr id="1" name="Picture 1"/>
            <wp:cNvGraphicFramePr>
              <a:graphicFrameLocks noChangeAspect="1"/>
            </wp:cNvGraphicFramePr>
            <a:graphic>
              <a:graphicData uri="http://schemas.openxmlformats.org/drawingml/2006/picture">
                <pic:pic>
                  <pic:nvPicPr>
                    <pic:cNvPr id="0" name="psm_density.png"/>
                    <pic:cNvPicPr/>
                  </pic:nvPicPr>
                  <pic:blipFill>
                    <a:blip r:embed="rId9"/>
                    <a:stretch>
                      <a:fillRect/>
                    </a:stretch>
                  </pic:blipFill>
                  <pic:spPr>
                    <a:xfrm>
                      <a:off x="0" y="0"/>
                      <a:ext cx="5040000" cy="2087272"/>
                    </a:xfrm>
                    <a:prstGeom prst="rect"/>
                  </pic:spPr>
                </pic:pic>
              </a:graphicData>
            </a:graphic>
          </wp:inline>
        </w:drawing>
      </w:r>
    </w:p>
    <w:p>
      <w:pPr>
        <w:spacing w:line="440" w:lineRule="exact"/>
        <w:ind w:firstLine="480"/>
        <w:jc w:val="both"/>
      </w:pPr>
      <w:r>
        <w:rPr>
          <w:rFonts w:ascii="Times New Roman" w:hAnsi="Times New Roman" w:eastAsia="宋体"/>
          <w:b w:val="0"/>
          <w:sz w:val="24"/>
        </w:rPr>
        <w:t>（5）双向聚类标准误（Cameron等，2011）。将聚类层级从行业×年份扩展至企业和年份双向聚类，以应对企业层面和时间层面的双重相关性，系数为-0.0046（t=-3.81），标准误增大但结论不变。</w:t>
      </w:r>
    </w:p>
    <w:p>
      <w:pPr>
        <w:spacing w:line="440" w:lineRule="exact"/>
        <w:ind w:firstLine="480"/>
        <w:jc w:val="both"/>
      </w:pPr>
      <w:r>
        <w:rPr>
          <w:rFonts w:ascii="Times New Roman" w:hAnsi="Times New Roman" w:eastAsia="宋体"/>
          <w:b w:val="0"/>
          <w:sz w:val="24"/>
        </w:rPr>
        <w:t>（6）替换自变量。以实质利用指标</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替代</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，系数为-0.0042（t=-5.49），表明结论不依赖于特定的变量构造方式。</w:t>
      </w:r>
    </w:p>
    <w:p>
      <w:pPr>
        <w:spacing w:before="120" w:after="60" w:line="440" w:lineRule="exact"/>
        <w:jc w:val="center"/>
      </w:pPr>
      <w:r>
        <w:rPr>
          <w:rFonts w:ascii="Times New Roman" w:hAnsi="Times New Roman" w:eastAsia="宋体"/>
          <w:b w:val="0"/>
          <w:sz w:val="21"/>
        </w:rPr>
        <w:t>表8 稳健性检验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63"/>
        <w:gridCol w:w="1063"/>
        <w:gridCol w:w="1063"/>
        <w:gridCol w:w="1063"/>
        <w:gridCol w:w="1063"/>
        <w:gridCol w:w="1063"/>
        <w:gridCol w:w="1063"/>
        <w:gridCol w:w="1063"/>
      </w:tblGrid>
      <w:tr>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(1)替换</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(4)滞后</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(5)倾向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(6)双向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(7)替换</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固定效应</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末期年份</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IT行业</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得分匹配</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聚类SE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自变量</w:t>
            </w:r>
          </w:p>
        </w:tc>
      </w:tr>
      <w:tr>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w:t>
            </w:r>
            <w:r>
              <w:rPr>
                <w:rFonts w:ascii="Times New Roman" w:hAnsi="Times New Roman" w:eastAsia="宋体"/>
                <w:b w:val="0"/>
                <w:i/>
                <w:sz w:val="20"/>
              </w:rPr>
              <w:t>DU</w:t>
            </w:r>
            <w:r>
              <w:rPr>
                <w:rFonts w:ascii="Times New Roman" w:hAnsi="Times New Roman" w:eastAsia="宋体"/>
                <w:b w:val="0"/>
                <w:i/>
                <w:sz w:val="20"/>
                <w:vertAlign w:val="subscript"/>
              </w:rPr>
              <w:t>sub_ln</w:t>
            </w:r>
            <w:r>
              <w:rPr>
                <w:rFonts w:ascii="Times New Roman" w:hAnsi="Times New Roman" w:eastAsia="宋体"/>
                <w:b w:val="0"/>
                <w:sz w:val="20"/>
              </w:rPr>
              <w:t>)</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Ind×Year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r>
      <w:tr>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43,656</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38,812</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40,613</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35,929</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bl>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替代</w:t>
      </w:r>
      <w:r>
        <w:rPr>
          <w:rFonts w:ascii="Times New Roman" w:hAnsi="Times New Roman" w:eastAsia="宋体"/>
          <w:b w:val="0"/>
          <w:i/>
          <w:sz w:val="24"/>
        </w:rPr>
        <w:t>PriceDelay</w:t>
      </w:r>
      <w:r>
        <w:rPr>
          <w:rFonts w:ascii="Times New Roman" w:hAnsi="Times New Roman" w:eastAsia="宋体"/>
          <w:b w:val="0"/>
          <w:sz w:val="24"/>
        </w:rPr>
        <w:t>，</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的OLS系数为+0.0189（t=3.88），与基准回归中</w:t>
      </w:r>
      <w:r>
        <w:rPr>
          <w:rFonts w:ascii="Times New Roman" w:hAnsi="Times New Roman" w:eastAsia="宋体"/>
          <w:b w:val="0"/>
          <w:i/>
          <w:sz w:val="24"/>
        </w:rPr>
        <w:t>SYNCH</w:t>
      </w:r>
      <w:r>
        <w:rPr>
          <w:rFonts w:ascii="Times New Roman" w:hAnsi="Times New Roman" w:eastAsia="宋体"/>
          <w:b w:val="0"/>
          <w:sz w:val="24"/>
        </w:rPr>
        <w:t>规格的结果一致。</w:t>
      </w:r>
    </w:p>
    <w:p>
      <w:pPr>
        <w:spacing w:line="440" w:lineRule="exact"/>
        <w:ind w:firstLine="480"/>
        <w:jc w:val="both"/>
      </w:pPr>
      <w:r>
        <w:rPr>
          <w:rFonts w:ascii="Times New Roman" w:hAnsi="Times New Roman" w:eastAsia="宋体"/>
          <w:b w:val="0"/>
          <w:sz w:val="24"/>
        </w:rPr>
        <w:t>上述检验均支持基准结论的稳健性。需要说明的是，内生性检验均以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为处理变量，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的因果含义依托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的识别结果来理解。</w:t>
      </w:r>
    </w:p>
    <w:p>
      <w:pPr>
        <w:spacing w:before="240" w:after="120"/>
      </w:pPr>
      <w:r>
        <w:rPr>
          <w:rFonts w:ascii="Times New Roman" w:hAnsi="Times New Roman" w:eastAsia="黑体"/>
          <w:b w:val="0"/>
          <w:sz w:val="28"/>
        </w:rPr>
        <w:t>五、传导机制检验</w:t>
      </w:r>
    </w:p>
    <w:p>
      <w:pPr>
        <w:spacing w:line="440" w:lineRule="exact"/>
        <w:ind w:firstLine="480"/>
        <w:jc w:val="both"/>
      </w:pPr>
      <w:r>
        <w:rPr>
          <w:rFonts w:ascii="Times New Roman" w:hAnsi="Times New Roman" w:eastAsia="宋体"/>
          <w:b w:val="0"/>
          <w:sz w:val="24"/>
        </w:rPr>
        <w:t>借鉴江艇（2022）的建议，以渠道变量为因变量、</w:t>
      </w:r>
      <w:r>
        <w:rPr>
          <w:rFonts w:ascii="Times New Roman" w:hAnsi="Times New Roman" w:eastAsia="宋体"/>
          <w:b w:val="0"/>
          <w:i/>
          <w:sz w:val="24"/>
        </w:rPr>
        <w:t>DU</w:t>
      </w:r>
      <w:r>
        <w:rPr>
          <w:rFonts w:ascii="Times New Roman" w:hAnsi="Times New Roman" w:eastAsia="宋体"/>
          <w:b w:val="0"/>
          <w:sz w:val="24"/>
        </w:rPr>
        <w:t>及控制变量为自变量进行回归，检验信息从年报向股价传导的具体路径。渠道变量均经1%/99%缩尾处理。</w:t>
      </w:r>
    </w:p>
    <w:p>
      <w:r>
        <w:rPr>
          <w:rFonts w:ascii="Times New Roman" w:hAnsi="Times New Roman" w:eastAsia="黑体"/>
          <w:b w:val="0"/>
          <w:sz w:val="24"/>
        </w:rPr>
        <w:t>1. 分析师覆盖渠道</w:t>
      </w:r>
    </w:p>
    <w:p>
      <w:pPr>
        <w:spacing w:line="440" w:lineRule="exact"/>
        <w:ind w:firstLine="480"/>
        <w:jc w:val="both"/>
      </w:pPr>
      <w:r>
        <w:rPr>
          <w:rFonts w:ascii="Times New Roman" w:hAnsi="Times New Roman" w:eastAsia="宋体"/>
          <w:b w:val="0"/>
          <w:sz w:val="24"/>
        </w:rPr>
        <w:t>分析师是连接企业信息披露与市场定价的核心中介。分析师覆盖密度越高，信息向价格的转换效率越高（Hong等，2000），数据资产信息披露通过吸引分析师关注而改善定价效率的路径已在中国市场得到验证（李世刚等，2025）。数据要素利用涉及技术架构和商业模式创新，普通投资者难以直接评估其经济含义，分析师的专业解读在此类信息的传导中尤为重要（Feng等，2024；Guo和Duan，2024）。</w:t>
      </w:r>
    </w:p>
    <w:p>
      <w:pPr>
        <w:spacing w:line="440" w:lineRule="exact"/>
        <w:ind w:firstLine="480"/>
        <w:jc w:val="both"/>
      </w:pPr>
      <w:r>
        <w:rPr>
          <w:rFonts w:ascii="Times New Roman" w:hAnsi="Times New Roman" w:eastAsia="宋体"/>
          <w:b w:val="0"/>
          <w:sz w:val="24"/>
        </w:rPr>
        <w:t>表9第(1)(2)列结果显示，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对分析师覆盖的系数为+0.0272（t=3.30），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的系数为+0.0635（t=9.42），均在1%水平上显著。数据要素利用程度越高，跟踪该企业的分析师越多，信息中介渠道成立。</w:t>
      </w:r>
    </w:p>
    <w:p>
      <w:r>
        <w:rPr>
          <w:rFonts w:ascii="Times New Roman" w:hAnsi="Times New Roman" w:eastAsia="黑体"/>
          <w:b w:val="0"/>
          <w:sz w:val="24"/>
        </w:rPr>
        <w:t>2. 流动性渠道</w:t>
      </w:r>
    </w:p>
    <w:p>
      <w:pPr>
        <w:spacing w:line="440" w:lineRule="exact"/>
        <w:ind w:firstLine="480"/>
        <w:jc w:val="both"/>
      </w:pPr>
      <w:r>
        <w:rPr>
          <w:rFonts w:ascii="Times New Roman" w:hAnsi="Times New Roman" w:eastAsia="宋体"/>
          <w:b w:val="0"/>
          <w:sz w:val="24"/>
        </w:rPr>
        <w:t>在做市商模型中，知情交易者利用信息优势获利，做市商为补偿逆向选择损失而扩大买卖价差，市场流动性因此下降（Kyle，1985；Glosten和Milgrom，1985）。公开信息披露压缩了知情与非知情交易者之间的信息差异，逆向选择风险降低，流动性得到改善（Diamond和Verrecchia，1991）。数据资产相关信息的披露对市场流动性的改善效应已在近期实证中得到支持（Wei等，2025）。</w:t>
      </w:r>
    </w:p>
    <w:p>
      <w:pPr>
        <w:spacing w:line="440" w:lineRule="exact"/>
        <w:ind w:firstLine="480"/>
        <w:jc w:val="both"/>
      </w:pPr>
      <w:r>
        <w:rPr>
          <w:rFonts w:ascii="Times New Roman" w:hAnsi="Times New Roman" w:eastAsia="宋体"/>
          <w:b w:val="0"/>
          <w:sz w:val="24"/>
        </w:rPr>
        <w:t>表9第(3)(4)列结果显示，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w:t>
      </w:r>
      <w:r>
        <w:rPr>
          <w:rFonts w:ascii="Times New Roman" w:hAnsi="Times New Roman" w:eastAsia="宋体"/>
          <w:b w:val="0"/>
          <w:i/>
          <w:sz w:val="24"/>
        </w:rPr>
        <w:t>Amihud</w:t>
      </w:r>
      <w:r>
        <w:rPr>
          <w:rFonts w:ascii="Times New Roman" w:hAnsi="Times New Roman" w:eastAsia="宋体"/>
          <w:b w:val="0"/>
          <w:sz w:val="24"/>
        </w:rPr>
        <w:t>非流动性指标的系数为-0.0011（t=-3.64），</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的系数为-0.0006（t=-2.72），均显著为负。数据要素利用降低了市场的非流动性水平，流动性渠道成立。</w:t>
      </w:r>
    </w:p>
    <w:p>
      <w:r>
        <w:rPr>
          <w:rFonts w:ascii="Times New Roman" w:hAnsi="Times New Roman" w:eastAsia="黑体"/>
          <w:b w:val="0"/>
          <w:sz w:val="24"/>
        </w:rPr>
        <w:t>3. 波动率渠道</w:t>
      </w:r>
    </w:p>
    <w:p>
      <w:pPr>
        <w:spacing w:line="440" w:lineRule="exact"/>
        <w:ind w:firstLine="480"/>
        <w:jc w:val="both"/>
      </w:pPr>
      <w:r>
        <w:rPr>
          <w:rFonts w:ascii="Times New Roman" w:hAnsi="Times New Roman" w:eastAsia="宋体"/>
          <w:b w:val="0"/>
          <w:sz w:val="24"/>
        </w:rPr>
        <w:t>估值不确定性越高，投资者对基本面的认知分歧越大，股票收益的波动幅度也越大（Zhang，2006）。非财务信息的前瞻性内容有助于降低这种不确定性（Zhang和Wang，2024），数据要素利用的实质性信息能够提高估值精确度，收敛投资者分歧。</w:t>
      </w:r>
    </w:p>
    <w:p>
      <w:pPr>
        <w:spacing w:line="440" w:lineRule="exact"/>
        <w:ind w:firstLine="480"/>
        <w:jc w:val="both"/>
      </w:pPr>
      <w:r>
        <w:rPr>
          <w:rFonts w:ascii="Times New Roman" w:hAnsi="Times New Roman" w:eastAsia="宋体"/>
          <w:b w:val="0"/>
          <w:sz w:val="24"/>
        </w:rPr>
        <w:t>表9第(5)(6)列结果显示，</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对收益率波动的系数为-0.0002（t=-5.14），在1%水平上显著；</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的系数接近零且不显著（t=-0.10）。波动率的收敛需要实质性的信息内容，关键词频率本身不足以改变估值分歧，该渠道仅在语义测度下成立（见表9）。</w:t>
      </w:r>
    </w:p>
    <w:p>
      <w:pPr>
        <w:spacing w:before="120" w:after="60" w:line="440" w:lineRule="exact"/>
        <w:jc w:val="center"/>
      </w:pPr>
      <w:r>
        <w:rPr>
          <w:rFonts w:ascii="Times New Roman" w:hAnsi="Times New Roman" w:eastAsia="宋体"/>
          <w:b w:val="0"/>
          <w:sz w:val="21"/>
        </w:rPr>
        <w:t>表9 传导机制检验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w:t>
            </w: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Analyst</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Analyst</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Amihud</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Amihud</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RetVol</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RetVol</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+0.0272***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(0.0082)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bl>
    <w:p>
      <w:pPr>
        <w:spacing w:line="440" w:lineRule="exact"/>
        <w:jc w:val="both"/>
      </w:pPr>
      <w:r>
        <w:rPr>
          <w:rFonts w:ascii="Times New Roman" w:hAnsi="Times New Roman" w:eastAsia="宋体"/>
          <w:b w:val="0"/>
          <w:sz w:val="20"/>
        </w:rPr>
        <w:t>注：因变量分别为</w:t>
      </w:r>
      <w:r>
        <w:rPr>
          <w:rFonts w:ascii="Times New Roman" w:hAnsi="Times New Roman" w:eastAsia="宋体"/>
          <w:b w:val="0"/>
          <w:i/>
          <w:sz w:val="20"/>
        </w:rPr>
        <w:t>Analyst</w:t>
      </w:r>
      <w:r>
        <w:rPr>
          <w:rFonts w:ascii="Times New Roman" w:hAnsi="Times New Roman" w:eastAsia="宋体"/>
          <w:b w:val="0"/>
          <w:sz w:val="20"/>
        </w:rPr>
        <w:t>(ln(1+分析师人数))、</w:t>
      </w:r>
      <w:r>
        <w:rPr>
          <w:rFonts w:ascii="Times New Roman" w:hAnsi="Times New Roman" w:eastAsia="宋体"/>
          <w:b w:val="0"/>
          <w:i/>
          <w:sz w:val="20"/>
        </w:rPr>
        <w:t>Amihud</w:t>
      </w:r>
      <w:r>
        <w:rPr>
          <w:rFonts w:ascii="Times New Roman" w:hAnsi="Times New Roman" w:eastAsia="宋体"/>
          <w:b w:val="0"/>
          <w:sz w:val="20"/>
        </w:rPr>
        <w:t>(非流动性指标)和</w:t>
      </w:r>
      <w:r>
        <w:rPr>
          <w:rFonts w:ascii="Times New Roman" w:hAnsi="Times New Roman" w:eastAsia="宋体"/>
          <w:b w:val="0"/>
          <w:i/>
          <w:sz w:val="20"/>
        </w:rPr>
        <w:t>RetVol</w:t>
      </w:r>
      <w:r>
        <w:rPr>
          <w:rFonts w:ascii="Times New Roman" w:hAnsi="Times New Roman" w:eastAsia="宋体"/>
          <w:b w:val="0"/>
          <w:sz w:val="20"/>
        </w:rPr>
        <w:t>(日收益率年度标准差)。渠道变量经1%/99%缩尾处理。分析师覆盖和流动性在双测度下均显著，为稳健渠道。</w:t>
      </w:r>
    </w:p>
    <w:p>
      <w:pPr>
        <w:spacing w:line="440" w:lineRule="exact"/>
        <w:ind w:firstLine="480"/>
        <w:jc w:val="both"/>
      </w:pPr>
      <w:r>
        <w:rPr>
          <w:rFonts w:ascii="Times New Roman" w:hAnsi="Times New Roman" w:eastAsia="宋体"/>
          <w:b w:val="0"/>
          <w:sz w:val="24"/>
        </w:rPr>
        <w:t>分析师覆盖和流动性在双测度下均显著，是两条稳健的传导渠道，H2a和H2b得到支持。波动率渠道仅在语义测度下显著，微观结构层面的改善对信息内容质量有更高要求。</w:t>
      </w:r>
    </w:p>
    <w:p>
      <w:pPr>
        <w:spacing w:before="240" w:after="120"/>
      </w:pPr>
      <w:r>
        <w:rPr>
          <w:rFonts w:ascii="Times New Roman" w:hAnsi="Times New Roman" w:eastAsia="黑体"/>
          <w:b w:val="0"/>
          <w:sz w:val="28"/>
        </w:rPr>
        <w:t>六、异质性分析</w:t>
      </w:r>
    </w:p>
    <w:p>
      <w:pPr>
        <w:spacing w:line="440" w:lineRule="exact"/>
        <w:ind w:firstLine="480"/>
        <w:jc w:val="both"/>
      </w:pPr>
      <w:r>
        <w:rPr>
          <w:rFonts w:ascii="Times New Roman" w:hAnsi="Times New Roman" w:eastAsia="宋体"/>
          <w:b w:val="0"/>
          <w:sz w:val="24"/>
        </w:rPr>
        <w:t>分别按分析师覆盖中位数、产权性质和股东人数中位数对基准模型进行分组回归，采用费舍尔组合检验（1000次抽样）检验组间系数差异。</w:t>
      </w:r>
    </w:p>
    <w:p>
      <w:pPr>
        <w:spacing w:before="120" w:after="60"/>
      </w:pPr>
      <w:r>
        <w:rPr>
          <w:rFonts w:ascii="Times New Roman" w:hAnsi="Times New Roman" w:eastAsia="黑体"/>
          <w:b w:val="0"/>
          <w:sz w:val="24"/>
        </w:rPr>
        <w:t>（一）考虑分析师覆盖差异</w:t>
      </w:r>
    </w:p>
    <w:p>
      <w:pPr>
        <w:spacing w:line="440" w:lineRule="exact"/>
        <w:ind w:firstLine="480"/>
        <w:jc w:val="both"/>
      </w:pPr>
      <w:r>
        <w:rPr>
          <w:rFonts w:ascii="Times New Roman" w:hAnsi="Times New Roman" w:eastAsia="宋体"/>
          <w:b w:val="0"/>
          <w:sz w:val="24"/>
        </w:rPr>
        <w:t>如果信息中介是定价效率改善的主要渠道，分析师覆盖密度直接决定了增量信息能否被及时处理与传播。分析师跟踪密集时，年报中的数据利用描述更容易被捕捉并转化为投资建议（李世刚等，2025；Feng等，2024）；覆盖不足时，即使企业提供了高质量信息，市场也缺乏有效的处理机制。</w:t>
      </w:r>
    </w:p>
    <w:p>
      <w:pPr>
        <w:spacing w:line="440" w:lineRule="exact"/>
        <w:ind w:firstLine="480"/>
        <w:jc w:val="both"/>
      </w:pPr>
      <w:r>
        <w:rPr>
          <w:rFonts w:ascii="Times New Roman" w:hAnsi="Times New Roman" w:eastAsia="宋体"/>
          <w:b w:val="0"/>
          <w:sz w:val="24"/>
        </w:rPr>
        <w:t>表10第(1)至(4)列结果显示，高覆盖组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-0.0062（t=-5.53），低覆盖组为-0.0033（t=-3.17），效应约为高覆盖组的一半。费舍尔检验P值为0.018，组间差异在5%水平上显著。这一结果与机制检验中分析师渠道的发现相互印证：数据利用信息通过分析师关注改善定价效率，分析师覆盖密集的企业中这种改善更为显著。</w:t>
      </w:r>
    </w:p>
    <w:p>
      <w:pPr>
        <w:spacing w:before="120" w:after="60"/>
      </w:pPr>
      <w:r>
        <w:rPr>
          <w:rFonts w:ascii="Times New Roman" w:hAnsi="Times New Roman" w:eastAsia="黑体"/>
          <w:b w:val="0"/>
          <w:sz w:val="24"/>
        </w:rPr>
        <w:t>（二）考虑产权性质差异</w:t>
      </w:r>
    </w:p>
    <w:p>
      <w:pPr>
        <w:spacing w:line="440" w:lineRule="exact"/>
        <w:ind w:firstLine="480"/>
        <w:jc w:val="both"/>
      </w:pPr>
      <w:r>
        <w:rPr>
          <w:rFonts w:ascii="Times New Roman" w:hAnsi="Times New Roman" w:eastAsia="宋体"/>
          <w:b w:val="0"/>
          <w:sz w:val="24"/>
        </w:rPr>
        <w:t>国有企业因多层级委托代理结构，内部信息传递链条较长，信息不对称的基线水平高于同规模非国有企业。投资者对数据资产信息的反应在不同产权性质企业间存在显著差异（Huang等，2026），信息不对称程度越高，增量信息的边际定价价值越大（Lambert等，2007），数据要素利用信息在国有企业中的边际改善空间更大。</w:t>
      </w:r>
    </w:p>
    <w:p>
      <w:pPr>
        <w:spacing w:line="440" w:lineRule="exact"/>
        <w:ind w:firstLine="480"/>
        <w:jc w:val="both"/>
      </w:pPr>
      <w:r>
        <w:rPr>
          <w:rFonts w:ascii="Times New Roman" w:hAnsi="Times New Roman" w:eastAsia="宋体"/>
          <w:b w:val="0"/>
          <w:sz w:val="24"/>
        </w:rPr>
        <w:t>表10第(5)至(8)列结果显示，国企组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-0.0064（t=-5.30），民企组为-0.0039（t=-3.98），国企效应约为民企的1.6倍。费舍尔检验P值为0.040，组间差异在5%水平上显著。年报管理层讨论中数字化信息对股价同步性的降低效应同样在国有企业中更为突出（Guo和Duan，2024），与本文发现方向一致。</w:t>
      </w:r>
    </w:p>
    <w:p>
      <w:pPr>
        <w:spacing w:before="120" w:after="60"/>
      </w:pPr>
      <w:r>
        <w:rPr>
          <w:rFonts w:ascii="Times New Roman" w:hAnsi="Times New Roman" w:eastAsia="黑体"/>
          <w:b w:val="0"/>
          <w:sz w:val="24"/>
        </w:rPr>
        <w:t>（三）考虑股东结构差异</w:t>
      </w:r>
    </w:p>
    <w:p>
      <w:pPr>
        <w:spacing w:line="440" w:lineRule="exact"/>
        <w:ind w:firstLine="480"/>
        <w:jc w:val="both"/>
      </w:pPr>
      <w:r>
        <w:rPr>
          <w:rFonts w:ascii="Times New Roman" w:hAnsi="Times New Roman" w:eastAsia="宋体"/>
          <w:b w:val="0"/>
          <w:sz w:val="24"/>
        </w:rPr>
        <w:t>股东人数较多的企业中小投资者占比更高，这些投资者私有信息获取能力有限，对公开信息渠道的依赖更强。信息不对称的降低对信息劣势更大的参与者更为有利（Diamond和Verrecchia，1991），增量公开信息在散户占比较高的市场中边际改善空间更大（Kacperczyk等，2021）。</w:t>
      </w:r>
    </w:p>
    <w:p>
      <w:pPr>
        <w:spacing w:line="440" w:lineRule="exact"/>
        <w:ind w:firstLine="480"/>
        <w:jc w:val="both"/>
      </w:pPr>
      <w:r>
        <w:rPr>
          <w:rFonts w:ascii="Times New Roman" w:hAnsi="Times New Roman" w:eastAsia="宋体"/>
          <w:b w:val="0"/>
          <w:sz w:val="24"/>
        </w:rPr>
        <w:t>表10第(9)至(12)列结果显示，高分散组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-0.0053（t=-5.10），低分散组为-0.0016（t=-1.54，不显著）。费舍尔检验P值为0.024，组间差异在5%水平上显著。股东集中的企业大股东可以通过董事会等内部渠道获取信息，对年报中公开信息的依赖较低，效应因此不显著（见表10）。</w:t>
      </w:r>
    </w:p>
    <w:p>
      <w:pPr>
        <w:spacing w:before="120" w:after="60" w:line="440" w:lineRule="exact"/>
        <w:jc w:val="center"/>
      </w:pPr>
      <w:r>
        <w:rPr>
          <w:rFonts w:ascii="Times New Roman" w:hAnsi="Times New Roman" w:eastAsia="宋体"/>
          <w:b w:val="0"/>
          <w:sz w:val="21"/>
        </w:rPr>
        <w:t>表10 异质性检验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(1)高</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(2)低</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(3)国有</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(4)非国有</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(5)高</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(6)低</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分析师</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分析师</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企业</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企业</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股东分散</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股东分散</w:t>
            </w: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21,861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21,860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14,393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29,328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21,861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21,860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0.468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0.452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0.440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0.437</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Fisher P</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0.018**</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0.040**</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0.024**</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jc w:val="both"/>
      </w:pPr>
      <w:r>
        <w:rPr>
          <w:rFonts w:ascii="Times New Roman" w:hAnsi="Times New Roman" w:eastAsia="宋体"/>
          <w:b w:val="0"/>
          <w:sz w:val="20"/>
        </w:rPr>
        <w:t>注：分析师覆盖和股东人数均以中位数分组。所有模型控制企业与年份固定效应和11个控制变量，标准误在行业×年份水平聚类。组间差异检验采用费舍尔组合检验（1000次抽样）。</w:t>
      </w:r>
    </w:p>
    <w:p>
      <w:pPr>
        <w:spacing w:line="440" w:lineRule="exact"/>
        <w:ind w:firstLine="480"/>
        <w:jc w:val="both"/>
      </w:pPr>
      <w:r>
        <w:rPr>
          <w:rFonts w:ascii="Times New Roman" w:hAnsi="Times New Roman" w:eastAsia="宋体"/>
          <w:b w:val="0"/>
          <w:sz w:val="24"/>
        </w:rPr>
        <w:t>三个维度在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测度下均通过了费舍尔组合检验，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测度下股东分散度的组间差异达到10%水平。</w:t>
      </w:r>
    </w:p>
    <w:p>
      <w:pPr>
        <w:spacing w:before="240" w:after="120"/>
      </w:pPr>
      <w:r>
        <w:rPr>
          <w:rFonts w:ascii="Times New Roman" w:hAnsi="Times New Roman" w:eastAsia="黑体"/>
          <w:b w:val="0"/>
          <w:sz w:val="28"/>
        </w:rPr>
        <w:t>七、研究结论与启示</w:t>
      </w:r>
    </w:p>
    <w:p>
      <w:pPr>
        <w:spacing w:line="440" w:lineRule="exact"/>
        <w:ind w:firstLine="480"/>
        <w:jc w:val="both"/>
      </w:pPr>
      <w:r>
        <w:rPr>
          <w:rFonts w:ascii="Times New Roman" w:hAnsi="Times New Roman" w:eastAsia="宋体"/>
          <w:b w:val="0"/>
          <w:sz w:val="24"/>
        </w:rPr>
        <w:t>以2011至2024年沪深A股上市公司为样本，基于年报全文构建关键词频率与大语言模型语义评分的双测度体系，考察数据要素利用对资本市场定价效率的影响及其传导机制。</w:t>
      </w:r>
    </w:p>
    <w:p>
      <w:pPr>
        <w:spacing w:line="440" w:lineRule="exact"/>
        <w:ind w:firstLine="480"/>
        <w:jc w:val="both"/>
      </w:pPr>
      <w:r>
        <w:rPr>
          <w:rFonts w:ascii="Times New Roman" w:hAnsi="Times New Roman" w:eastAsia="宋体"/>
          <w:b w:val="0"/>
          <w:sz w:val="24"/>
        </w:rPr>
        <w:t>研究得出以下主要结论。第一，企业数据要素利用显著降低了股价延迟，信息供给效应占据主导。两套测度均指向这一结论，关键词频率测度在工具变量估计、Oster界检验、Heckman选择修正、安慰剂检验和多项稳健性检验下均保持稳健。两个识别来源正交的工具变量得出方向一致且均显著的因果估计，为该效应提供了因果层面的支持。</w:t>
      </w:r>
    </w:p>
    <w:p>
      <w:pPr>
        <w:spacing w:line="440" w:lineRule="exact"/>
        <w:ind w:firstLine="480"/>
        <w:jc w:val="both"/>
      </w:pPr>
      <w:r>
        <w:rPr>
          <w:rFonts w:ascii="Times New Roman" w:hAnsi="Times New Roman" w:eastAsia="宋体"/>
          <w:b w:val="0"/>
          <w:sz w:val="24"/>
        </w:rPr>
        <w:t>第二，机制分析识别出分析师覆盖和市场流动性两条稳健的传导渠道，二者在双测度下均显著。波动率渠道仅在语义测度下显著，微观结构层面的改善对信息内容质量有更高要求。</w:t>
      </w:r>
    </w:p>
    <w:p>
      <w:pPr>
        <w:spacing w:line="440" w:lineRule="exact"/>
        <w:ind w:firstLine="480"/>
        <w:jc w:val="both"/>
      </w:pPr>
      <w:r>
        <w:rPr>
          <w:rFonts w:ascii="Times New Roman" w:hAnsi="Times New Roman" w:eastAsia="宋体"/>
          <w:b w:val="0"/>
          <w:sz w:val="24"/>
        </w:rPr>
        <w:t>第三，异质性分析表明定价效应的强弱受企业特征调节。分析师覆盖密集的企业效应更强，与信息中介渠道相互印证。国有企业效应约为民营企业的1.6倍，较高的信息不对称基线为增量信息提供了更大的改善空间。股东分散度较高的企业效应显著而集中组不显著，反映了中小投资者对公开信息的更强依赖。</w:t>
      </w:r>
    </w:p>
    <w:p>
      <w:pPr>
        <w:spacing w:line="440" w:lineRule="exact"/>
        <w:ind w:firstLine="480"/>
        <w:jc w:val="both"/>
      </w:pPr>
      <w:r>
        <w:rPr>
          <w:rFonts w:ascii="Times New Roman" w:hAnsi="Times New Roman" w:eastAsia="宋体"/>
          <w:b w:val="0"/>
          <w:sz w:val="24"/>
        </w:rPr>
        <w:t>上述结论具有以下政策启示。第一，应继续完善数据资产的会计准则体系。2024年入表新规的出台方向正确，但波动率渠道仅在语义测度下显著，说明市场对数据资产价值的解读仍面临摩擦，需要逐步细化估值指引，降低投资者的解读成本。第二，应重视信息中介基础设施的建设。分析师覆盖是数据信息传导的主要渠道，数据披露需要活跃的信息中介才能转化为定价效率的改善，建议在金融专业教育和券商研究中加强数据资产分析能力的培养。第三，监管部门在推进数据资产信息披露改革时应兼顾中小投资者的信息需求。异质性分析表明，公开信息改善对信息劣势更大的参与者更为有利，披露制度的设计不仅要考虑信息供给的数量，还应关注其可理解性和可获取性。</w:t>
      </w:r>
    </w:p>
    <w:p>
      <w:pPr>
        <w:spacing w:line="440" w:lineRule="exact"/>
        <w:ind w:firstLine="480"/>
        <w:jc w:val="both"/>
      </w:pPr>
      <w:r>
        <w:rPr>
          <w:rFonts w:ascii="Times New Roman" w:hAnsi="Times New Roman" w:eastAsia="宋体"/>
          <w:b w:val="0"/>
          <w:sz w:val="24"/>
        </w:rPr>
        <w:t>本文存在以下局限。关键词频率和语义评分均基于年报文本，无法捕捉企业在年报之外的数据利用行为，指标可能低估了实际利用程度。语义评分依赖大语言模型的判断，模型本身的偏差可能引入系统性误差。此外，2024年入表新规实施后，数据资产的财务信息将大幅丰富，届时可结合财务数据对本文的文本测度进行校验和补充。</w:t>
      </w:r>
    </w:p>
    <w:p>
      <w:pPr>
        <w:spacing w:before="240" w:after="120"/>
      </w:pPr>
      <w:r>
        <w:rPr>
          <w:rFonts w:ascii="Times New Roman" w:hAnsi="Times New Roman" w:eastAsia="黑体"/>
          <w:b w:val="0"/>
          <w:sz w:val="28"/>
        </w:rPr>
        <w:t>参考文献</w:t>
      </w:r>
    </w:p>
    <w:p>
      <w:pPr/>
      <w:r>
        <w:rPr>
          <w:rFonts w:ascii="Times New Roman" w:hAnsi="Times New Roman" w:eastAsia="宋体"/>
          <w:b w:val="0"/>
          <w:sz w:val="21"/>
        </w:rPr>
        <w:t>[1] 黄世忠、叶丰滢、陈朝琳，2023：《数据资产的确认、计量和报告——基于商业模式视角》，《财会月刊》第44卷第8期，第3-7页。</w:t>
      </w:r>
    </w:p>
    <w:p>
      <w:pPr/>
      <w:r>
        <w:rPr>
          <w:rFonts w:ascii="Times New Roman" w:hAnsi="Times New Roman" w:eastAsia="宋体"/>
          <w:b w:val="0"/>
          <w:sz w:val="21"/>
        </w:rPr>
        <w:t>[2] 洪永淼、史九领，2024：《数据要素与数据经济学》，《经济理论与经济管理》第44卷第8期，第1-16页。</w:t>
      </w:r>
    </w:p>
    <w:p>
      <w:pPr/>
      <w:r>
        <w:rPr>
          <w:rFonts w:ascii="Times New Roman" w:hAnsi="Times New Roman" w:eastAsia="宋体"/>
          <w:b w:val="0"/>
          <w:sz w:val="21"/>
        </w:rPr>
        <w:t>[3] 江艇，2022：《因果推断经验研究中的中介效应和调节效应》，《中国工业经济》第5期，第100-120页。</w:t>
      </w:r>
    </w:p>
    <w:p>
      <w:pPr/>
      <w:r>
        <w:rPr>
          <w:rFonts w:ascii="Times New Roman" w:hAnsi="Times New Roman" w:eastAsia="宋体"/>
          <w:b w:val="0"/>
          <w:sz w:val="21"/>
        </w:rPr>
        <w:t>[4] 李姝、赵灿、谢雁翔，2025：《数据资产与企业金融化：数据治理还是概念炒作？》，《外国经济与管理》第47卷第10期，第21-38页。</w:t>
      </w:r>
    </w:p>
    <w:p>
      <w:pPr/>
      <w:r>
        <w:rPr>
          <w:rFonts w:ascii="Times New Roman" w:hAnsi="Times New Roman" w:eastAsia="宋体"/>
          <w:b w:val="0"/>
          <w:sz w:val="21"/>
        </w:rPr>
        <w:t>[5] 李世刚、邵宏彬、方芳、卢福财，2025：《企业数据资产信息披露与资本市场定价效率》，《中国工业经济》第7期，第138-155页。</w:t>
      </w:r>
    </w:p>
    <w:p>
      <w:pPr/>
      <w:r>
        <w:rPr>
          <w:rFonts w:ascii="Times New Roman" w:hAnsi="Times New Roman" w:eastAsia="宋体"/>
          <w:b w:val="0"/>
          <w:sz w:val="21"/>
        </w:rPr>
        <w:t>[6] 辛清泉、林斌、王彦超，2007：《政府控制、经理薪酬与资本投资》，《经济研究》第8期，第110-122页。</w:t>
      </w:r>
    </w:p>
    <w:p>
      <w:pPr/>
      <w:r>
        <w:rPr>
          <w:rFonts w:ascii="Times New Roman" w:hAnsi="Times New Roman" w:eastAsia="宋体"/>
          <w:b w:val="0"/>
          <w:sz w:val="21"/>
        </w:rPr>
        <w:t>[7] 朱康、唐勇，2025：《数据要素利用与企业金融资产配置——基于机器学习和文本分析的证据》，《会计研究》第6期，第121-133页。</w:t>
      </w:r>
    </w:p>
    <w:p>
      <w:pPr/>
      <w:r>
        <w:rPr>
          <w:rFonts w:ascii="Times New Roman" w:hAnsi="Times New Roman" w:eastAsia="宋体"/>
          <w:b w:val="0"/>
          <w:sz w:val="21"/>
        </w:rPr>
        <w:t>[8] Angrist, J. D., and J.-S. Pischke. 2009. Mostly Harmless Econometrics: An Empiricist's Companion. Princeton University Press.</w:t>
      </w:r>
    </w:p>
    <w:p>
      <w:pPr/>
      <w:r>
        <w:rPr>
          <w:rFonts w:ascii="Times New Roman" w:hAnsi="Times New Roman" w:eastAsia="宋体"/>
          <w:b w:val="0"/>
          <w:sz w:val="21"/>
        </w:rPr>
        <w:t>[9] Bongaerts, D., M. van Dijk, and X. Kang. 2025. Revisiting Asset Pricing Models: The Case for an Intangibles Factor. Financial Management. Advance online publication. https://doi.org/10.1111/fima.70001.</w:t>
      </w:r>
    </w:p>
    <w:p>
      <w:pPr/>
      <w:r>
        <w:rPr>
          <w:rFonts w:ascii="Times New Roman" w:hAnsi="Times New Roman" w:eastAsia="宋体"/>
          <w:b w:val="0"/>
          <w:sz w:val="21"/>
        </w:rPr>
        <w:t>[10] Callen, J. L., M. Khan, and H. Lu. 2013. Accounting Quality, Stock Price Delay and Future Stock Returns. Contemporary Accounting Research, 30(1): 269-295.</w:t>
      </w:r>
    </w:p>
    <w:p>
      <w:pPr/>
      <w:r>
        <w:rPr>
          <w:rFonts w:ascii="Times New Roman" w:hAnsi="Times New Roman" w:eastAsia="宋体"/>
          <w:b w:val="0"/>
          <w:sz w:val="21"/>
        </w:rPr>
        <w:t>[11] Cameron, A. C., J. B. Gelbach, and D. L. Miller. 2011. Robust Inference with Multiway Clustering. Journal of Business &amp; Economic Statistics, 29(2): 238-249.</w:t>
      </w:r>
    </w:p>
    <w:p>
      <w:pPr/>
      <w:r>
        <w:rPr>
          <w:rFonts w:ascii="Times New Roman" w:hAnsi="Times New Roman" w:eastAsia="宋体"/>
          <w:b w:val="0"/>
          <w:sz w:val="21"/>
        </w:rPr>
        <w:t>[12] Chen, J., T. Jiang, M. Zhang, and H. Li. 2024. Pricing the Missing Intangible Capital: Evidence from the China A-share Market. Accounting &amp; Finance, 64(5): 4593-4618.</w:t>
      </w:r>
    </w:p>
    <w:p>
      <w:pPr/>
      <w:r>
        <w:rPr>
          <w:rFonts w:ascii="Times New Roman" w:hAnsi="Times New Roman" w:eastAsia="宋体"/>
          <w:b w:val="0"/>
          <w:sz w:val="21"/>
        </w:rPr>
        <w:t>[13] Chen, L. 2024. Data Assetization and Capital Market Information Efficiency: Evidence from Hidden Champion SMEs in China. Future Business Journal, 10: 110.</w:t>
      </w:r>
    </w:p>
    <w:p>
      <w:pPr/>
      <w:r>
        <w:rPr>
          <w:rFonts w:ascii="Times New Roman" w:hAnsi="Times New Roman" w:eastAsia="宋体"/>
          <w:b w:val="0"/>
          <w:sz w:val="21"/>
        </w:rPr>
        <w:t>[14] Chernozhukov, V., D. Chetverikov, M. Demirer, E. Duflo, C. Hansen, W. Newey, and J. Robins. 2018. Double/Debiased Machine Learning for Treatment and Structural Parameters. The Econometrics Journal, 21(1): C1-C68.</w:t>
      </w:r>
    </w:p>
    <w:p>
      <w:pPr/>
      <w:r>
        <w:rPr>
          <w:rFonts w:ascii="Times New Roman" w:hAnsi="Times New Roman" w:eastAsia="宋体"/>
          <w:b w:val="0"/>
          <w:sz w:val="21"/>
        </w:rPr>
        <w:t>[15] Coyle, D., and A. Manley. 2024. What Is the Value of Data? A Review of Empirical Methods. Journal of Economic Surveys, 38(4): 1317-1337.</w:t>
      </w:r>
    </w:p>
    <w:p>
      <w:pPr/>
      <w:r>
        <w:rPr>
          <w:rFonts w:ascii="Times New Roman" w:hAnsi="Times New Roman" w:eastAsia="宋体"/>
          <w:b w:val="0"/>
          <w:sz w:val="21"/>
        </w:rPr>
        <w:t>[16] Dessaint, O., T. Foucault, and L. Frésard. 2024. Does Alternative Data Improve Financial Forecasting? The Horizon Effect. The Journal of Finance, 79(3): 2237-2287.</w:t>
      </w:r>
    </w:p>
    <w:p>
      <w:pPr/>
      <w:r>
        <w:rPr>
          <w:rFonts w:ascii="Times New Roman" w:hAnsi="Times New Roman" w:eastAsia="宋体"/>
          <w:b w:val="0"/>
          <w:sz w:val="21"/>
        </w:rPr>
        <w:t>[17] Diamond, D. W., and R. E. Verrecchia. 1991. Disclosure, Liquidity, and the Cost of Capital. The Journal of Finance, 46(4): 1325-1359.</w:t>
      </w:r>
    </w:p>
    <w:p>
      <w:pPr/>
      <w:r>
        <w:rPr>
          <w:rFonts w:ascii="Times New Roman" w:hAnsi="Times New Roman" w:eastAsia="宋体"/>
          <w:b w:val="0"/>
          <w:sz w:val="21"/>
        </w:rPr>
        <w:t>[18] Dong, F., and J. Doukas. 2025. The Role of Intangible Assets in Shaping Firm Value. European Financial Management, 31(4): 1325-1353.</w:t>
      </w:r>
    </w:p>
    <w:p>
      <w:pPr/>
      <w:r>
        <w:rPr>
          <w:rFonts w:ascii="Times New Roman" w:hAnsi="Times New Roman" w:eastAsia="宋体"/>
          <w:b w:val="0"/>
          <w:sz w:val="21"/>
        </w:rPr>
        <w:t>[19] Dugast, J., and T. Foucault. 2025. Equilibrium Data Mining and Data Abundance. The Journal of Finance, 80(1): 211-258.</w:t>
      </w:r>
    </w:p>
    <w:p>
      <w:pPr/>
      <w:r>
        <w:rPr>
          <w:rFonts w:ascii="Times New Roman" w:hAnsi="Times New Roman" w:eastAsia="宋体"/>
          <w:b w:val="0"/>
          <w:sz w:val="21"/>
        </w:rPr>
        <w:t>[20] Feng, P., J. Pang, and S. Jeon. 2024. Does Digital Transformation Alleviate Stock Price Delays: Evidence from China. Asia-Pacific Journal of Financial Studies, 53(5): 532-554.</w:t>
      </w:r>
    </w:p>
    <w:p>
      <w:pPr/>
      <w:r>
        <w:rPr>
          <w:rFonts w:ascii="Times New Roman" w:hAnsi="Times New Roman" w:eastAsia="宋体"/>
          <w:b w:val="0"/>
          <w:sz w:val="21"/>
        </w:rPr>
        <w:t>[21] Gao, C., M. Lyu, and X. Zhang. 2024. Disclosure Regulation and Price Informativeness: Evidence from Industry-Information Disclosure Guidelines in China. European Accounting Review, 33(5): 1787-1812.</w:t>
      </w:r>
    </w:p>
    <w:p>
      <w:pPr/>
      <w:r>
        <w:rPr>
          <w:rFonts w:ascii="Times New Roman" w:hAnsi="Times New Roman" w:eastAsia="宋体"/>
          <w:b w:val="0"/>
          <w:sz w:val="21"/>
        </w:rPr>
        <w:t>[22] Glosten, L. R., and P. R. Milgrom. 1985. Bid, Ask and Transaction Prices in a Specialist Market with Heterogeneously Informed Traders. Journal of Financial Economics, 14(1): 71-100.</w:t>
      </w:r>
    </w:p>
    <w:p>
      <w:pPr/>
      <w:r>
        <w:rPr>
          <w:rFonts w:ascii="Times New Roman" w:hAnsi="Times New Roman" w:eastAsia="宋体"/>
          <w:b w:val="0"/>
          <w:sz w:val="21"/>
        </w:rPr>
        <w:t>[23] Goldsmith-Pinkham, P., I. Sorkin, and H. Swift. 2020. Bartik Instruments: What, When, Why, and How. American Economic Review, 110(8): 2586-2624.</w:t>
      </w:r>
    </w:p>
    <w:p>
      <w:pPr/>
      <w:r>
        <w:rPr>
          <w:rFonts w:ascii="Times New Roman" w:hAnsi="Times New Roman" w:eastAsia="宋体"/>
          <w:b w:val="0"/>
          <w:sz w:val="21"/>
        </w:rPr>
        <w:t>[24] Grossman, S. J., and J. E. Stiglitz. 1980. On the Impossibility of Informationally Efficient Markets. American Economic Review, 70(3): 393-408.</w:t>
      </w:r>
    </w:p>
    <w:p>
      <w:pPr/>
      <w:r>
        <w:rPr>
          <w:rFonts w:ascii="Times New Roman" w:hAnsi="Times New Roman" w:eastAsia="宋体"/>
          <w:b w:val="0"/>
          <w:sz w:val="21"/>
        </w:rPr>
        <w:t>[25] Guo, J., and J. Duan. 2024. The Impact of MD&amp;A Digital Transformation Information Disclosure on Stock Price Synchronicity in China. The North American Journal of Economics and Finance, 74: 102253.</w:t>
      </w:r>
    </w:p>
    <w:p>
      <w:pPr/>
      <w:r>
        <w:rPr>
          <w:rFonts w:ascii="Times New Roman" w:hAnsi="Times New Roman" w:eastAsia="宋体"/>
          <w:b w:val="0"/>
          <w:sz w:val="21"/>
        </w:rPr>
        <w:t>[26] Hong, H., T. Lim, and J. C. Stein. 2000. Bad News Travels Slowly: Size, Analyst Coverage, and the Profitability of Momentum Strategies. The Journal of Finance, 55(1): 265-295.</w:t>
      </w:r>
    </w:p>
    <w:p>
      <w:pPr/>
      <w:r>
        <w:rPr>
          <w:rFonts w:ascii="Times New Roman" w:hAnsi="Times New Roman" w:eastAsia="宋体"/>
          <w:b w:val="0"/>
          <w:sz w:val="21"/>
        </w:rPr>
        <w:t>[27] Hou, K., and T. J. Moskowitz. 2005. Market Frictions, Price Delay, and the Cross-Section of Expected Returns. The Review of Financial Studies, 18(3): 981-1020.</w:t>
      </w:r>
    </w:p>
    <w:p>
      <w:pPr/>
      <w:r>
        <w:rPr>
          <w:rFonts w:ascii="Times New Roman" w:hAnsi="Times New Roman" w:eastAsia="宋体"/>
          <w:b w:val="0"/>
          <w:sz w:val="21"/>
        </w:rPr>
        <w:t>[28] Huang, Y., Z. Wang, and H. Zhang. 2026. How Do Investors Respond to Data Asset Disclosure: Evidence From China. Economics &amp; Politics, 38(1): 142-156.</w:t>
      </w:r>
    </w:p>
    <w:p>
      <w:pPr/>
      <w:r>
        <w:rPr>
          <w:rFonts w:ascii="Times New Roman" w:hAnsi="Times New Roman" w:eastAsia="宋体"/>
          <w:b w:val="0"/>
          <w:sz w:val="21"/>
        </w:rPr>
        <w:t>[29] Kacperczyk, M., S. Sundaresan, and T. Wang. 2021. Do Foreign Institutional Investors Improve Price Efficiency? The Review of Financial Studies, 34(3): 1317-1367.</w:t>
      </w:r>
    </w:p>
    <w:p>
      <w:pPr/>
      <w:r>
        <w:rPr>
          <w:rFonts w:ascii="Times New Roman" w:hAnsi="Times New Roman" w:eastAsia="宋体"/>
          <w:b w:val="0"/>
          <w:sz w:val="21"/>
        </w:rPr>
        <w:t>[30] Kyle, A. S. 1985. Continuous Auctions and Insider Trading. Econometrica, 53(6): 1315-1335.</w:t>
      </w:r>
    </w:p>
    <w:p>
      <w:pPr/>
      <w:r>
        <w:rPr>
          <w:rFonts w:ascii="Times New Roman" w:hAnsi="Times New Roman" w:eastAsia="宋体"/>
          <w:b w:val="0"/>
          <w:sz w:val="21"/>
        </w:rPr>
        <w:t>[31] Lambert, R., C. Leuz, and R. E. Verrecchia. 2007. Accounting Information, Disclosure, and the Cost of Capital. Journal of Accounting Research, 45(2): 385-420.</w:t>
      </w:r>
    </w:p>
    <w:p>
      <w:pPr/>
      <w:r>
        <w:rPr>
          <w:rFonts w:ascii="Times New Roman" w:hAnsi="Times New Roman" w:eastAsia="宋体"/>
          <w:b w:val="0"/>
          <w:sz w:val="21"/>
        </w:rPr>
        <w:t>[32] Leary, M. T., and M. R. Roberts. 2014. Do Peer Firms Affect Corporate Financial Policy? Journal of Finance, 69(1): 139-178.</w:t>
      </w:r>
    </w:p>
    <w:p>
      <w:pPr/>
      <w:r>
        <w:rPr>
          <w:rFonts w:ascii="Times New Roman" w:hAnsi="Times New Roman" w:eastAsia="宋体"/>
          <w:b w:val="0"/>
          <w:sz w:val="21"/>
        </w:rPr>
        <w:t>[33] Mohan, S. K., G. Bharathy, and A. Jalan. 2026. Enterprise Data Valuation: A Targeted Literature Review. Journal of Economic Surveys, 40(1): 73-92.</w:t>
      </w:r>
    </w:p>
    <w:p>
      <w:pPr/>
      <w:r>
        <w:rPr>
          <w:rFonts w:ascii="Times New Roman" w:hAnsi="Times New Roman" w:eastAsia="宋体"/>
          <w:b w:val="0"/>
          <w:sz w:val="21"/>
        </w:rPr>
        <w:t>[34] Mundlak, Y. 1978. On the Pooling of Time Series and Cross Section Data. Econometrica, 46(1): 69-85.</w:t>
      </w:r>
    </w:p>
    <w:p>
      <w:pPr/>
      <w:r>
        <w:rPr>
          <w:rFonts w:ascii="Times New Roman" w:hAnsi="Times New Roman" w:eastAsia="宋体"/>
          <w:b w:val="0"/>
          <w:sz w:val="21"/>
        </w:rPr>
        <w:t>[35] Ohlson, J. A. 1995. Earnings, Book Values, and Dividends in Equity Valuation. Contemporary Accounting Research, 11(2): 661-687.</w:t>
      </w:r>
    </w:p>
    <w:p>
      <w:pPr/>
      <w:r>
        <w:rPr>
          <w:rFonts w:ascii="Times New Roman" w:hAnsi="Times New Roman" w:eastAsia="宋体"/>
          <w:b w:val="0"/>
          <w:sz w:val="21"/>
        </w:rPr>
        <w:t>[36] Oster, E. 2019. Unobservable Selection and Coefficient Stability: Theory and Evidence. Journal of Business &amp; Economic Statistics, 37(2): 187-204.</w:t>
      </w:r>
    </w:p>
    <w:p>
      <w:pPr/>
      <w:r>
        <w:rPr>
          <w:rFonts w:ascii="Times New Roman" w:hAnsi="Times New Roman" w:eastAsia="宋体"/>
          <w:b w:val="0"/>
          <w:sz w:val="21"/>
        </w:rPr>
        <w:t>[37] Rosenbaum, P. R., and D. B. Rubin. 1983. The Central Role of the Propensity Score in Observational Studies for Causal Effects. Biometrika, 70(1): 41-55.</w:t>
      </w:r>
    </w:p>
    <w:p>
      <w:pPr/>
      <w:r>
        <w:rPr>
          <w:rFonts w:ascii="Times New Roman" w:hAnsi="Times New Roman" w:eastAsia="宋体"/>
          <w:b w:val="0"/>
          <w:sz w:val="21"/>
        </w:rPr>
        <w:t>[38] Shao, X., L. Wang, and X. Li. 2024. Financial Asset Allocations, Economic Policy Uncertainty, and Enterprise Digital Transformation. Managerial and Decision Economics, 45(4): 2613-2626.</w:t>
      </w:r>
    </w:p>
    <w:p>
      <w:pPr/>
      <w:r>
        <w:rPr>
          <w:rFonts w:ascii="Times New Roman" w:hAnsi="Times New Roman" w:eastAsia="宋体"/>
          <w:b w:val="0"/>
          <w:sz w:val="21"/>
        </w:rPr>
        <w:t>[39] Stock, J. H., and M. Yogo. 2005. Testing for Weak Instruments in Linear IV Regression. In D. W. K. Andrews and J. H. Stock (eds.), Identification and Inference for Econometric Models: Essays in Honor of Thomas Rothenberg, pp. 80-108. Cambridge University Press.</w:t>
      </w:r>
    </w:p>
    <w:p>
      <w:pPr/>
      <w:r>
        <w:rPr>
          <w:rFonts w:ascii="Times New Roman" w:hAnsi="Times New Roman" w:eastAsia="宋体"/>
          <w:b w:val="0"/>
          <w:sz w:val="21"/>
        </w:rPr>
        <w:t>[40] Sun, X., and Z. Du. 2024. Enhancing Capital Market Efficiency: The Role of Data Assets Disclosure in Reducing Stock Price Synchronicity. International Review of Economics &amp; Finance, 94: 103389.</w:t>
      </w:r>
    </w:p>
    <w:p>
      <w:pPr/>
      <w:r>
        <w:rPr>
          <w:rFonts w:ascii="Times New Roman" w:hAnsi="Times New Roman" w:eastAsia="宋体"/>
          <w:b w:val="0"/>
          <w:sz w:val="21"/>
        </w:rPr>
        <w:t>[41] Wei, Y., J. Zhang, M. Cheng, and T. Liu. 2025. Does Data Asset Disclosure Contribute to the Market Efficiency? Evidence from China. Research in International Business and Finance, 73: 102549.</w:t>
      </w:r>
    </w:p>
    <w:p>
      <w:pPr/>
      <w:r>
        <w:rPr>
          <w:rFonts w:ascii="Times New Roman" w:hAnsi="Times New Roman" w:eastAsia="宋体"/>
          <w:b w:val="0"/>
          <w:sz w:val="21"/>
        </w:rPr>
        <w:t>[42] Yin, H., and X. Hu. 2024. The Impact of Mainstream Financial Press Attention on Stock Pricing Efficiency in the China Stock Market. Bulletin of Economic Research, 76(3): 773-796.</w:t>
      </w:r>
    </w:p>
    <w:p>
      <w:pPr/>
      <w:r>
        <w:rPr>
          <w:rFonts w:ascii="Times New Roman" w:hAnsi="Times New Roman" w:eastAsia="宋体"/>
          <w:b w:val="0"/>
          <w:sz w:val="21"/>
        </w:rPr>
        <w:t>[43] Yu, F. 2008. Analyst Coverage and Earnings Management. Journal of Financial Economics, 88(2): 245-271.</w:t>
      </w:r>
    </w:p>
    <w:p>
      <w:pPr/>
      <w:r>
        <w:rPr>
          <w:rFonts w:ascii="Times New Roman" w:hAnsi="Times New Roman" w:eastAsia="宋体"/>
          <w:b w:val="0"/>
          <w:sz w:val="21"/>
        </w:rPr>
        <w:t>[44] Zhang, C., and Y. Wang. 2024. Non-financial Information Farsightedness and Capital Market Information Efficiency. Humanities and Social Sciences Communications, 11: 1174.</w:t>
      </w:r>
    </w:p>
    <w:p>
      <w:pPr/>
      <w:r>
        <w:rPr>
          <w:rFonts w:ascii="Times New Roman" w:hAnsi="Times New Roman" w:eastAsia="宋体"/>
          <w:b w:val="0"/>
          <w:sz w:val="21"/>
        </w:rPr>
        <w:t>[45] Zhang, X. F. 2006. Information Uncertainty and Stock Returns. The Journal of Finance, 61(1): 105-137.</w:t>
      </w:r>
    </w:p>
    <w:p>
      <w:pPr>
        <w:spacing w:before="240" w:after="120"/>
      </w:pPr>
      <w:r>
        <w:rPr>
          <w:rFonts w:ascii="Times New Roman" w:hAnsi="Times New Roman" w:eastAsia="黑体"/>
          <w:b w:val="0"/>
          <w:sz w:val="28"/>
        </w:rPr>
        <w:t>附录：数据要素利用关键词清单</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序号</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数据存量</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数据仓库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数据采集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数据积累</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客户数据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行为数据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交易数据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运营数据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数据开发能力</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数据分析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数据清洗</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数据建模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机器学习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深度学习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人工智能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算法</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自然语言处理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数据科学</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数据工程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数据平台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数据架构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信息化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数据驱动应用</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个性化推荐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用户画像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风险控制</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智能决策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智能客服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智能制造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预测模型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需求预测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供应链优化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智慧物流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智慧城市</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程序化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数据赋能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数据服务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数据价值变现</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数据要素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数据交易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数据产品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数据变现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数据确权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数据定价</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数据流通</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数据市场</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数据安全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数据隐私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数据合规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数据质量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数据标准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数据脱敏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个人信息保护</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73</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数据分类分级</w:t>
            </w:r>
          </w:p>
        </w:tc>
      </w:tr>
    </w:tbl>
    <w:p>
      <w:pPr>
        <w:spacing w:line="440" w:lineRule="exact"/>
        <w:jc w:val="both"/>
      </w:pPr>
      <w:r>
        <w:rPr>
          <w:rFonts w:ascii="Times New Roman" w:hAnsi="Times New Roman" w:eastAsia="宋体"/>
          <w:b w:val="0"/>
          <w:sz w:val="20"/>
        </w:rPr>
        <w:t>注：关键词体系沿数据价值链构建，涵盖数据存量、开发能力、驱动应用、价值变现和治理五个环节。文本匹配采用长词优先策略，避免短词误匹配。</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40" w:lineRule="exact"/>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