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3072" w14:textId="77777777" w:rsidR="00C90237" w:rsidRDefault="00000000" w:rsidP="00EE76F5">
      <w:pPr>
        <w:pStyle w:val="1"/>
      </w:pPr>
      <w:bookmarkStart w:id="0" w:name="highlights"/>
      <w:r>
        <w:t>Highlights</w:t>
      </w:r>
      <w:bookmarkEnd w:id="0"/>
    </w:p>
    <w:p w14:paraId="52C240E8" w14:textId="77777777" w:rsidR="00C90237" w:rsidRDefault="00000000" w:rsidP="00EE76F5">
      <w:pPr>
        <w:ind w:firstLine="480"/>
      </w:pPr>
      <w:r>
        <w:t>五维度关键词体系从年报全文中捕捉企业数据要素利用的实质性行为，覆盖</w:t>
      </w:r>
      <w:r>
        <w:t>14</w:t>
      </w:r>
      <w:r>
        <w:t>年面板，突破了现有数据资产化统计仅三年的时间约束，使企业固定效应下的因果识别成为可能。</w:t>
      </w:r>
    </w:p>
    <w:p w14:paraId="0140E6AB" w14:textId="77777777" w:rsidR="00C90237" w:rsidRDefault="00000000" w:rsidP="00EE76F5">
      <w:pPr>
        <w:ind w:firstLine="480"/>
      </w:pPr>
      <w:r>
        <w:t>多重估计方法的一致结论将信息供给与信息模糊两种竞争效应的净方向锁定为前者占优：数据要素利用每增加一个标准差，股价延迟下降</w:t>
      </w:r>
      <w:r>
        <w:t>5.6%</w:t>
      </w:r>
      <w:r>
        <w:t>，工具变量估计支持因果解释。</w:t>
      </w:r>
    </w:p>
    <w:p w14:paraId="31DDCE31" w14:textId="77777777" w:rsidR="00C90237" w:rsidRDefault="00000000" w:rsidP="00EE76F5">
      <w:pPr>
        <w:ind w:firstLine="480"/>
      </w:pPr>
      <w:r>
        <w:t>机制检验中分析师渠道的显著路径系数，与异质性分析中高覆盖组显著而低覆盖组效应消失的二分模式，构成了两条独立证据链对同一传导机制的交叉验证。</w:t>
      </w:r>
    </w:p>
    <w:p w14:paraId="253BFDC1" w14:textId="2DFE19D7" w:rsidR="00EE76F5" w:rsidRDefault="00000000" w:rsidP="00EE76F5">
      <w:pPr>
        <w:ind w:firstLine="480"/>
      </w:pPr>
      <w:r>
        <w:t>投资组合检验揭示了市场定价偏差的非对称结构：低数据利用企业承受显著的负异常收益，高利用企业回归合理估值，信息模糊的惩罚而非信息充裕的溢价主导了截面收益差异。</w:t>
      </w:r>
    </w:p>
    <w:p w14:paraId="08322633" w14:textId="77777777" w:rsidR="00EE76F5" w:rsidRDefault="00EE76F5">
      <w:pPr>
        <w:widowControl/>
        <w:spacing w:after="160" w:line="278" w:lineRule="auto"/>
        <w:ind w:firstLineChars="0" w:firstLine="0"/>
        <w:jc w:val="left"/>
      </w:pPr>
      <w:r>
        <w:br w:type="page"/>
      </w:r>
    </w:p>
    <w:p w14:paraId="3E5A6C6B" w14:textId="77777777" w:rsidR="00C90237" w:rsidRDefault="00C90237" w:rsidP="00EE76F5">
      <w:pPr>
        <w:ind w:firstLine="480"/>
      </w:pPr>
    </w:p>
    <w:p w14:paraId="09828CD3" w14:textId="77777777" w:rsidR="00C90237" w:rsidRDefault="00000000" w:rsidP="00EE76F5">
      <w:pPr>
        <w:pStyle w:val="1"/>
      </w:pPr>
      <w:r>
        <w:t>数据要素利用、信息中介与资本定价效率</w:t>
      </w:r>
    </w:p>
    <w:p w14:paraId="70614338" w14:textId="77777777" w:rsidR="00C90237" w:rsidRDefault="00000000" w:rsidP="000C6EF8">
      <w:pPr>
        <w:ind w:firstLine="480"/>
        <w:jc w:val="center"/>
      </w:pPr>
      <w:bookmarkStart w:id="1" w:name="摘要"/>
      <w:r>
        <w:t>摘要</w:t>
      </w:r>
      <w:bookmarkEnd w:id="1"/>
    </w:p>
    <w:p w14:paraId="5E5CA541" w14:textId="77777777" w:rsidR="00C90237" w:rsidRDefault="00000000" w:rsidP="00EE76F5">
      <w:pPr>
        <w:ind w:firstLine="480"/>
      </w:pPr>
      <w:r>
        <w:t>数据资产长期游离于会计体系之外，企业账面价值对经济价值的代表性因此被系统性削弱。这一计量缺口可能通过信息供给效应提升资本定价效率，也可能因信息模糊效应而抑制定价效率，净影响方向取决于二者的相对强弱。以</w:t>
      </w:r>
      <w:r>
        <w:t>2011</w:t>
      </w:r>
      <w:r>
        <w:t>至</w:t>
      </w:r>
      <w:r>
        <w:t>2024</w:t>
      </w:r>
      <w:r>
        <w:t>年沪深</w:t>
      </w:r>
      <w:r>
        <w:t>A</w:t>
      </w:r>
      <w:r>
        <w:t>股上市公司年报全文为基础，五维度关键词体系度量了</w:t>
      </w:r>
      <w:r>
        <w:t>38614</w:t>
      </w:r>
      <w:r>
        <w:t>个公司年度观测中的数据要素利用强度。固定效应回归、工具变量估计与倾向得分匹配均指向同一结论：数据要素利用每增加一个标准差，股价延迟下降约</w:t>
      </w:r>
      <w:r>
        <w:t>5.6%</w:t>
      </w:r>
      <w:r>
        <w:t>，即信息供给效应占据主导。机制检验与分组回归相互印证：定价效率的改善集中在分析师覆盖充分的企业中，覆盖不足的企业无显著效应，分析师中介是这一效应的核心传导渠道。投资组合层面，低数据利用企业表现出显著的负异常收益，高利用企业的收益则回归正常水平，定价偏差呈现非对称结构，即信息模糊的惩罚而非信息充裕的溢价主导了企业间的收益差异。这些证据为数据资产会计准则的完善和分析师中介功能的建设指明了方向。</w:t>
      </w:r>
    </w:p>
    <w:p w14:paraId="233C920C" w14:textId="7E0FEC4C" w:rsidR="00EE76F5" w:rsidRDefault="00000000" w:rsidP="00EE76F5">
      <w:pPr>
        <w:ind w:firstLine="480"/>
      </w:pPr>
      <w:r>
        <w:t>关键词：数据要素利用</w:t>
      </w:r>
      <w:r>
        <w:t xml:space="preserve"> </w:t>
      </w:r>
      <w:r>
        <w:t>资本定价效率</w:t>
      </w:r>
      <w:r>
        <w:t xml:space="preserve"> </w:t>
      </w:r>
      <w:r>
        <w:t>股价延迟</w:t>
      </w:r>
      <w:r>
        <w:t xml:space="preserve"> </w:t>
      </w:r>
      <w:r>
        <w:t>分析师覆盖</w:t>
      </w:r>
      <w:r>
        <w:t xml:space="preserve"> </w:t>
      </w:r>
      <w:r>
        <w:t>信息供给效应</w:t>
      </w:r>
    </w:p>
    <w:p w14:paraId="43E90E94" w14:textId="77777777" w:rsidR="00EE76F5" w:rsidRDefault="00EE76F5">
      <w:pPr>
        <w:widowControl/>
        <w:spacing w:after="160" w:line="278" w:lineRule="auto"/>
        <w:ind w:firstLineChars="0" w:firstLine="0"/>
        <w:jc w:val="left"/>
      </w:pPr>
      <w:r>
        <w:br w:type="page"/>
      </w:r>
    </w:p>
    <w:p w14:paraId="45C3A7FA" w14:textId="77777777" w:rsidR="00C90237" w:rsidRDefault="00C90237" w:rsidP="00EE76F5">
      <w:pPr>
        <w:ind w:firstLine="480"/>
      </w:pPr>
    </w:p>
    <w:p w14:paraId="65BB8B42" w14:textId="77777777" w:rsidR="00C90237" w:rsidRDefault="00000000" w:rsidP="00EE76F5">
      <w:pPr>
        <w:pStyle w:val="2"/>
      </w:pPr>
      <w:bookmarkStart w:id="2" w:name="一引言"/>
      <w:r>
        <w:t>一、引言</w:t>
      </w:r>
      <w:bookmarkEnd w:id="2"/>
    </w:p>
    <w:p w14:paraId="66DA45F4" w14:textId="77777777" w:rsidR="00C90237" w:rsidRDefault="00000000" w:rsidP="00EE76F5">
      <w:pPr>
        <w:ind w:firstLine="480"/>
      </w:pPr>
      <w:r>
        <w:t>数据已成为当代经济的战略性生产要素。</w:t>
      </w:r>
      <w:r>
        <w:t>2022</w:t>
      </w:r>
      <w:r>
        <w:t>年中共中央、国务院发布</w:t>
      </w:r>
      <w:r>
        <w:t>“</w:t>
      </w:r>
      <w:r>
        <w:t>数据二十条</w:t>
      </w:r>
      <w:r>
        <w:t>”</w:t>
      </w:r>
      <w:r>
        <w:t>明确提出加快数据要素市场化配置，</w:t>
      </w:r>
      <w:r>
        <w:t>2024</w:t>
      </w:r>
      <w:r>
        <w:t>年财政部等四部门联合发布《企业数据资源相关会计处理暂行规定》首次为企业数据资产的财务确认提供了制度框架，联合国</w:t>
      </w:r>
      <w:r>
        <w:t>SNA 2025</w:t>
      </w:r>
      <w:r>
        <w:t>亦将数据纳入知识产权产品范畴。截至</w:t>
      </w:r>
      <w:r>
        <w:t>2024</w:t>
      </w:r>
      <w:r>
        <w:t>年末，已有</w:t>
      </w:r>
      <w:r>
        <w:t>92</w:t>
      </w:r>
      <w:r>
        <w:t>家</w:t>
      </w:r>
      <w:r>
        <w:t>A</w:t>
      </w:r>
      <w:r>
        <w:t>股上市公司完成数据资产入表，披露规模达</w:t>
      </w:r>
      <w:r>
        <w:t>24.95</w:t>
      </w:r>
      <w:r>
        <w:t>亿元。这些制度演进反映出一个核心现实：企业的真实经济价值不再仅由传统有形资产和金融资产决定，数据要素的积累与利用已成为价值创造的重要来源（洪永淼，</w:t>
      </w:r>
      <w:r>
        <w:t>2026</w:t>
      </w:r>
      <w:r>
        <w:t>）。然而，传统的会计体系与资本市场定价机制都面临一个共同困境</w:t>
      </w:r>
      <w:r>
        <w:t>——</w:t>
      </w:r>
      <w:r>
        <w:t>如何准确度量、披露与定价企业的数据资产。数据资产在确认与计量层面面临独特困难，历史成本模式无法反映数据资源的动态价值特征，商业模式差异导致同一数据资源在不同场景下价值迥异（黄世忠等，</w:t>
      </w:r>
      <w:r>
        <w:t>2023</w:t>
      </w:r>
      <w:r>
        <w:t>）。这种会计度量的系统性偏差使得企业账面价值与市场价值之间的裂隙持续扩大，对资本市场的价格发现功能构成了直接挑战。</w:t>
      </w:r>
    </w:p>
    <w:p w14:paraId="5EBA9FD1" w14:textId="77777777" w:rsidR="00C90237" w:rsidRDefault="00000000" w:rsidP="00EE76F5">
      <w:pPr>
        <w:ind w:firstLine="480"/>
      </w:pPr>
      <w:r>
        <w:t>从信息经济学的视角审视，上述困境产生了两种相互竞争的效应。信息供给效应认为，企业对数据的积极利用往往伴随更充分的信息披露，有利于降低投资者与企业之间的信息不对称，加速价格发现过程，提升资本市场定价效率（</w:t>
      </w:r>
      <w:r>
        <w:t>Diamond</w:t>
      </w:r>
      <w:r>
        <w:t>和</w:t>
      </w:r>
      <w:r>
        <w:t>Verrecchia</w:t>
      </w:r>
      <w:r>
        <w:t>，</w:t>
      </w:r>
      <w:r>
        <w:t>1991</w:t>
      </w:r>
      <w:r>
        <w:t>）。信息模糊效应则指出，数据资产的会计计量失真和商业模式的内在复杂性可能增加投资者的估值不确定性，阻碍价格发现，反而抑制定价效率（</w:t>
      </w:r>
      <w:r>
        <w:t>Zhang</w:t>
      </w:r>
      <w:r>
        <w:t>，</w:t>
      </w:r>
      <w:r>
        <w:t>2006</w:t>
      </w:r>
      <w:r>
        <w:t>）。在</w:t>
      </w:r>
      <w:r>
        <w:t>Grossman</w:t>
      </w:r>
      <w:r>
        <w:t>和</w:t>
      </w:r>
      <w:r>
        <w:t>Stiglitz</w:t>
      </w:r>
      <w:r>
        <w:t>（</w:t>
      </w:r>
      <w:r>
        <w:t>1980</w:t>
      </w:r>
      <w:r>
        <w:t>）的经典框架中，均衡价格的信息含量取决于知情交易者获取和处理信息的成本。数据要素的出现使这一权衡的内涵更加复杂：信息获取成本随数字化而下降，但信息解读成本因数据资产估值的复杂性而上升。这两种效应的相对大小决定了企业数据要素利用对市场定价效率的实际影响方向，而其净效果属于需要经验数据加以识别的问题。</w:t>
      </w:r>
    </w:p>
    <w:p w14:paraId="389210A2" w14:textId="77777777" w:rsidR="00C90237" w:rsidRDefault="00000000" w:rsidP="00EE76F5">
      <w:pPr>
        <w:ind w:firstLine="480"/>
      </w:pPr>
      <w: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w:t>
      </w:r>
      <w:r>
        <w:t>Coyle</w:t>
      </w:r>
      <w:r>
        <w:t>和</w:t>
      </w:r>
      <w:r>
        <w:t>Manley</w:t>
      </w:r>
      <w:r>
        <w:t>，</w:t>
      </w:r>
      <w:r>
        <w:t>2023</w:t>
      </w:r>
      <w:r>
        <w:t>；</w:t>
      </w:r>
      <w:r>
        <w:t>Mohan</w:t>
      </w:r>
      <w:r>
        <w:t>等，</w:t>
      </w:r>
      <w:r>
        <w:t>2025</w:t>
      </w:r>
      <w:r>
        <w:t>）。在微观度量上，年报文本分析是目前捕捉企业数据利用行为的主要途径，但已有研究在关键词体系的构建维度、覆盖范围和时间跨度上差异显著。</w:t>
      </w:r>
    </w:p>
    <w:p w14:paraId="5694EC6B" w14:textId="77777777" w:rsidR="00C90237" w:rsidRDefault="00000000" w:rsidP="00EE76F5">
      <w:pPr>
        <w:ind w:firstLine="480"/>
      </w:pPr>
      <w:r>
        <w:t>第二条脉络聚焦数据要素利用对企业实际行为的影响。研究表明，数据要</w:t>
      </w:r>
      <w:r>
        <w:lastRenderedPageBreak/>
        <w:t>素利用能够减少金融资产配置并促进实体投资，其机制在于缓解现金流不确定性和提升产能利用率（朱康和汤甬，</w:t>
      </w:r>
      <w:r>
        <w:t>2025</w:t>
      </w:r>
      <w:r>
        <w:t>）。与此互补的证据显示，数据资产亦能通过降低资本成本和缓解融资约束来抑制企业金融化倾向（李姝，</w:t>
      </w:r>
      <w:r>
        <w:t>2025</w:t>
      </w:r>
      <w:r>
        <w:t>）。金融资产配置与数字化转型之间存在倒</w:t>
      </w:r>
      <w:r>
        <w:t>U</w:t>
      </w:r>
      <w:r>
        <w:t>型关系，短期金融资产提供流动性缓冲而长期金融资产产生挤出效应（</w:t>
      </w:r>
      <w:r>
        <w:t>Shao</w:t>
      </w:r>
      <w:r>
        <w:t>等，</w:t>
      </w:r>
      <w:r>
        <w:t>2024</w:t>
      </w:r>
      <w:r>
        <w:t>）。这一脉络揭示了数据利用对企业行为的实质影响，但分析止步于企业决策层面，尚未延伸至资本市场对这些行为变化的定价反应。</w:t>
      </w:r>
    </w:p>
    <w:p w14:paraId="2A3EAF59" w14:textId="77777777" w:rsidR="00C90237" w:rsidRDefault="00000000" w:rsidP="00EE76F5">
      <w:pPr>
        <w:ind w:firstLine="480"/>
      </w:pPr>
      <w:r>
        <w:t>第三条脉络直接考察信息环境与资本市场定价效率的关系。在一般性框架中，会计信息质量的改善能够降低股价延迟（</w:t>
      </w:r>
      <w:r>
        <w:t>Callen</w:t>
      </w:r>
      <w:r>
        <w:t>等，</w:t>
      </w:r>
      <w:r>
        <w:t>2013</w:t>
      </w:r>
      <w:r>
        <w:t>），非财务信息的远见性同样有助于提升资本市场信息效率（</w:t>
      </w:r>
      <w:r>
        <w:t>Zhang</w:t>
      </w:r>
      <w:r>
        <w:t>和</w:t>
      </w:r>
      <w:r>
        <w:t>Wang</w:t>
      </w:r>
      <w:r>
        <w:t>，</w:t>
      </w:r>
      <w:r>
        <w:t>2024</w:t>
      </w:r>
      <w:r>
        <w:t>）。在中国市场的具体情境下，行业信息披露指引通过改善年报管理层讨论与分析的质量提升了股价信息含量（</w:t>
      </w:r>
      <w:r>
        <w:t>Gao</w:t>
      </w:r>
      <w:r>
        <w:t>等，</w:t>
      </w:r>
      <w:r>
        <w:t>2024</w:t>
      </w:r>
      <w:r>
        <w:t>），主流财经媒体的关注亦能降低股价延迟（</w:t>
      </w:r>
      <w:r>
        <w:t>Yin</w:t>
      </w:r>
      <w:r>
        <w:t>和</w:t>
      </w:r>
      <w:r>
        <w:t>Hu</w:t>
      </w:r>
      <w:r>
        <w:t>，</w:t>
      </w:r>
      <w:r>
        <w:t>2024</w:t>
      </w:r>
      <w:r>
        <w:t>）。与数据要素更直接相关的研究中，数据丰裕能够提高价格信息含量但可能降低基金经理平均绩效（</w:t>
      </w:r>
      <w:r>
        <w:t>Dugast</w:t>
      </w:r>
      <w:r>
        <w:t>和</w:t>
      </w:r>
      <w:r>
        <w:t>Foucault</w:t>
      </w:r>
      <w:r>
        <w:t>，</w:t>
      </w:r>
      <w:r>
        <w:t>2024</w:t>
      </w:r>
      <w:r>
        <w:t>），替代数据虽改善短期预测精度却降低长期预测的信息含量（</w:t>
      </w:r>
      <w:r>
        <w:t>Dessaint</w:t>
      </w:r>
      <w:r>
        <w:t>等，</w:t>
      </w:r>
      <w:r>
        <w:t>2024</w:t>
      </w:r>
      <w:r>
        <w:t>）。聚焦于企业层面，数字化转型被发现能够显著降低股价延迟，且在信息透明度高、内控质量好的企业中效果更强（</w:t>
      </w:r>
      <w:r>
        <w:t>Feng</w:t>
      </w:r>
      <w:r>
        <w:t>等，</w:t>
      </w:r>
      <w:r>
        <w:t>2024</w:t>
      </w:r>
      <w:r>
        <w:t>）。数据资产信息披露降低股价同步性和股价延迟的初步证据也已在特定样本中被观察到（</w:t>
      </w:r>
      <w:r>
        <w:t>Chen</w:t>
      </w:r>
      <w:r>
        <w:t>，</w:t>
      </w:r>
      <w:r>
        <w:t>2024</w:t>
      </w:r>
      <w:r>
        <w:t>；</w:t>
      </w:r>
      <w:r>
        <w:t>Wei</w:t>
      </w:r>
      <w:r>
        <w:t>等，</w:t>
      </w:r>
      <w:r>
        <w:t>2025</w:t>
      </w:r>
      <w:r>
        <w:t>），但这些研究在样本代表性和测度方法上各有约束。</w:t>
      </w:r>
    </w:p>
    <w:p w14:paraId="41D9A114" w14:textId="77777777" w:rsidR="00C90237" w:rsidRDefault="00000000" w:rsidP="00EE76F5">
      <w:pPr>
        <w:ind w:firstLine="480"/>
      </w:pPr>
      <w:r>
        <w:t>第四条脉络涉及无形资产的资本定价。无形资产密集度因子对股票收益具有强预测能力，甚至使投资因子变得冗余（</w:t>
      </w:r>
      <w:r>
        <w:t>Bongaerts</w:t>
      </w:r>
      <w:r>
        <w:t>等，</w:t>
      </w:r>
      <w:r>
        <w:t>2025</w:t>
      </w:r>
      <w:r>
        <w:t>）。在中国</w:t>
      </w:r>
      <w:r>
        <w:t>A</w:t>
      </w:r>
      <w:r>
        <w:t>股市场，无形资本溢价同样显著存在，无形资本因子能够改善</w:t>
      </w:r>
      <w:r>
        <w:t>Fama-French</w:t>
      </w:r>
      <w:r>
        <w:t>三因子和五因子模型的解释力（</w:t>
      </w:r>
      <w:r>
        <w:t>Chen</w:t>
      </w:r>
      <w:r>
        <w:t>等，</w:t>
      </w:r>
      <w:r>
        <w:t>2024</w:t>
      </w:r>
      <w:r>
        <w:t>）。传统估值方法对无形资产的忽视导致了系统性的定价偏误，无形资产密集度高的企业年超额收益率可达</w:t>
      </w:r>
      <w:r>
        <w:t>3%</w:t>
      </w:r>
      <w:r>
        <w:t>（</w:t>
      </w:r>
      <w:r>
        <w:t>Dong</w:t>
      </w:r>
      <w:r>
        <w:t>和</w:t>
      </w:r>
      <w:r>
        <w:t>Doukas</w:t>
      </w:r>
      <w:r>
        <w:t>，</w:t>
      </w:r>
      <w:r>
        <w:t>2025</w:t>
      </w:r>
      <w:r>
        <w:t>）。然而，上述文献将研发支出、专利和品牌等传统无形资产作为分析对象，尚未将数据资产单独识别为独立的定价因子进行考察。</w:t>
      </w:r>
    </w:p>
    <w:p w14:paraId="55055B80" w14:textId="77777777" w:rsidR="00C90237" w:rsidRDefault="00000000" w:rsidP="00EE76F5">
      <w:pPr>
        <w:ind w:firstLine="480"/>
      </w:pPr>
      <w:r>
        <w:t>在信息传导机制层面，分析师的信息中介功能是理解数据信息如何融入股价的关键环节。信息不确定性较高的企业面临更大的价格漂移和异象，而分析师覆盖能够有效降低信息不确定性并改善定价效率（</w:t>
      </w:r>
      <w:r>
        <w:t>Zhang</w:t>
      </w:r>
      <w:r>
        <w:t>，</w:t>
      </w:r>
      <w:r>
        <w:t>2006</w:t>
      </w:r>
      <w:r>
        <w:t>）。分析师对被覆盖企业的深度研究和广泛传播加速了信息向股价的融入（</w:t>
      </w:r>
      <w:r>
        <w:t>Hong</w:t>
      </w:r>
      <w:r>
        <w:t>等，</w:t>
      </w:r>
      <w:r>
        <w:t>2000</w:t>
      </w:r>
      <w:r>
        <w:t>）。在中国资本市场中，分析师的独立研究行为对企业特质信息的定价效率具有显著提升作用（黄俊和陈信元，</w:t>
      </w:r>
      <w:r>
        <w:t>2023</w:t>
      </w:r>
      <w:r>
        <w:t>）。对于数据要素这种估值复杂性高、专业解读门槛高的信息类型，分析师的中介功能可能尤为关键。然而，在数据资产会计估值指引仍不完备的阶段，风险规避程度较高的机构投资者对估值不确定性</w:t>
      </w:r>
      <w:r>
        <w:lastRenderedPageBreak/>
        <w:t>的敏感程度也可能与一般散户投资者存在差异，这使得不同类型市场参与者对数据信息的反应并非一致（</w:t>
      </w:r>
      <w:r>
        <w:t>Huang</w:t>
      </w:r>
      <w:r>
        <w:t>等，</w:t>
      </w:r>
      <w:r>
        <w:t>2025</w:t>
      </w:r>
      <w:r>
        <w:t>）。</w:t>
      </w:r>
    </w:p>
    <w:p w14:paraId="4994122B" w14:textId="77777777" w:rsidR="00C90237" w:rsidRDefault="00000000" w:rsidP="00EE76F5">
      <w:pPr>
        <w:ind w:firstLine="480"/>
      </w:pPr>
      <w:r>
        <w:t>综合上述四条文献脉络，可以看到各自在特定问题上取得了重要进展，但几条线索之间尚未充分对接。宏观层面关于数据要素战略价值的研究已较为丰富，而企业微观层面将数据利用与资本定价效率联系起来的因果证据仍然有限。近期最具代表性的两项研究分别从不同侧面推进了这一议题：李世刚等（</w:t>
      </w:r>
      <w:r>
        <w:t>2025</w:t>
      </w:r>
      <w:r>
        <w:t>）从信息披露角度考察了数据资产对定价效率的影响，朱康和汤甬（</w:t>
      </w:r>
      <w:r>
        <w:t>2025</w:t>
      </w:r>
      <w:r>
        <w:t>）揭示了数据利用对金融资产配置结构的调整效应，二者在研究对象和分析终点上形成了互补而非替代的关系，前者聚焦于披露行为，后者聚焦于企业决策，从数据利用能力到资本市场定价反应的完整路径仍有待打通。在理论层面，</w:t>
      </w:r>
      <w:r>
        <w:t>Dugast</w:t>
      </w:r>
      <w:r>
        <w:t>和</w:t>
      </w:r>
      <w:r>
        <w:t>Foucault</w:t>
      </w:r>
      <w:r>
        <w:t>（</w:t>
      </w:r>
      <w:r>
        <w:t>2024</w:t>
      </w:r>
      <w:r>
        <w:t>）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独立的定价含义尚待系统考察。总体而言，从企业数据利用能力出发，经由信息传导机制，最终落脚于资本定价效率的分析框架，仍是一个有待实证检验充实的研究方向。</w:t>
      </w:r>
    </w:p>
    <w:p w14:paraId="5089DF33" w14:textId="77777777" w:rsidR="00C90237" w:rsidRDefault="00000000" w:rsidP="00EE76F5">
      <w:pPr>
        <w:ind w:firstLine="480"/>
      </w:pPr>
      <w:r>
        <w:t>上述缺口指向了本文的核心研究问题：企业的数据要素利用能力如何影响资本市场对其股票的定价效率？这种影响通过哪些信息传导渠道实现？本文从年度报告全文的实质性描述而非会计确认出发，沿数据价值链构建五维度关键词体系度量企业的数据要素利用强度，以</w:t>
      </w:r>
      <w:r>
        <w:t>Hou</w:t>
      </w:r>
      <w:r>
        <w:t>和</w:t>
      </w:r>
      <w:r>
        <w:t>Moskowitz</w:t>
      </w:r>
      <w:r>
        <w:t>（</w:t>
      </w:r>
      <w:r>
        <w:t>2005</w:t>
      </w:r>
      <w:r>
        <w:t>）的股价延迟衡量定价效率，样本覆盖</w:t>
      </w:r>
      <w:r>
        <w:t>2011</w:t>
      </w:r>
      <w:r>
        <w:t>至</w:t>
      </w:r>
      <w:r>
        <w:t>2024</w:t>
      </w:r>
      <w:r>
        <w:t>年沪深</w:t>
      </w:r>
      <w:r>
        <w:t>A</w:t>
      </w:r>
      <w:r>
        <w:t>股上市公司</w:t>
      </w:r>
      <w:r>
        <w:t>38614</w:t>
      </w:r>
      <w:r>
        <w:t>个公司年度观测。固定效应回归、工具变量估计与倾向得分匹配均表明，数据要素利用显著降低了股价延迟，信息供给效应占据主导。机制检验与分组回归相互印证，确认分析师中介是核心传导渠道。投资组合检验则揭示了定价偏差的非对称结构：低数据利用企业承受显著的负异常收益，而高利用企业回归正常估值水平。</w:t>
      </w:r>
    </w:p>
    <w:p w14:paraId="544490BA" w14:textId="77777777" w:rsidR="00C90237" w:rsidRDefault="00000000" w:rsidP="00EE76F5">
      <w:pPr>
        <w:ind w:firstLine="480"/>
      </w:pPr>
      <w:r>
        <w:t>本文的贡献体现在三个方面。第一，在测度层面，从企业数据要素的利用能力而非信息披露或资产化出发构建指标，年报全文五维度关键词体系覆盖了</w:t>
      </w:r>
      <w:r>
        <w:t>14</w:t>
      </w:r>
      <w:r>
        <w:t>年的长面板，相较于李世刚等（</w:t>
      </w:r>
      <w:r>
        <w:t>2025</w:t>
      </w:r>
      <w:r>
        <w:t>）依据的三年数据资产化统计，这一测度框架扎根于企业的实际行为描述，规避了入表新规的时间约束，为长期因果效应的识别提供了必要的样本量和时间变异。第二，在机制层面，将数据要素利用的分析从企业决策层面延伸至资本市场定价反应。在朱康和汤甬（</w:t>
      </w:r>
      <w:r>
        <w:t>2025</w:t>
      </w:r>
      <w:r>
        <w:t>）揭示数据利用对金融资产配置影响的基础上，本文进一步追踪了信息向股价传导的具体路径，机制检验中分析师渠道的显著系数与异质性分析中高覆盖组显著而低覆盖组效应消失的二分模式，从两个独立维度指向了同一传导机制。第</w:t>
      </w:r>
      <w:r>
        <w:lastRenderedPageBreak/>
        <w:t>三，在资产定价层面，投资组合检验为数据要素利用的市场定价含义提供了直接证据。相较于无形资产定价文献对研发支出和品牌的考察（</w:t>
      </w:r>
      <w:r>
        <w:t>Bongaerts</w:t>
      </w:r>
      <w:r>
        <w:t>等，</w:t>
      </w:r>
      <w:r>
        <w:t>2025</w:t>
      </w:r>
      <w:r>
        <w:t>；</w:t>
      </w:r>
      <w:r>
        <w:t>Chen</w:t>
      </w:r>
      <w:r>
        <w:t>等，</w:t>
      </w:r>
      <w:r>
        <w:t>2024</w:t>
      </w:r>
      <w:r>
        <w:t>），数据资产展现出了独特的非对称定价特征，这一发现将数据在资本市场中的角色从理论推断推进到了可观测的收益差异。</w:t>
      </w:r>
    </w:p>
    <w:p w14:paraId="65710A4E" w14:textId="77777777" w:rsidR="00C90237" w:rsidRDefault="00000000" w:rsidP="00EE76F5">
      <w:pPr>
        <w:ind w:firstLine="480"/>
      </w:pPr>
      <w:r>
        <w:t>本文余下部分的安排如下。第二部分建立理论框架，阐明信息供给效应与信息模糊效应的竞争逻辑并导出研究假说。第三部分介绍研究设计，包括数据来源、变量构造与模型设定。第四部分呈现基准回归与内生性处理结果。第五部分报告机制分析。第六部分进行异质性分析。第七部分为稳健性检验。第八部分总结全文并讨论政策启示。</w:t>
      </w:r>
    </w:p>
    <w:p w14:paraId="3CA55144" w14:textId="77777777" w:rsidR="00C90237" w:rsidRDefault="00000000" w:rsidP="00EE76F5">
      <w:pPr>
        <w:pStyle w:val="2"/>
      </w:pPr>
      <w:bookmarkStart w:id="3" w:name="二理论分析与研究假说"/>
      <w:r>
        <w:t>二、理论分析与研究假说</w:t>
      </w:r>
      <w:bookmarkEnd w:id="3"/>
    </w:p>
    <w:p w14:paraId="2D2B6C01" w14:textId="77777777" w:rsidR="00C90237" w:rsidRDefault="00000000" w:rsidP="00EE76F5">
      <w:pPr>
        <w:pStyle w:val="3"/>
        <w:numPr>
          <w:ilvl w:val="0"/>
          <w:numId w:val="0"/>
        </w:numPr>
      </w:pPr>
      <w:bookmarkStart w:id="4" w:name="一数据要素利用与资本市场定价效率"/>
      <w:r>
        <w:t>（一）数据要素利用与资本市场定价效率</w:t>
      </w:r>
      <w:bookmarkEnd w:id="4"/>
    </w:p>
    <w:p w14:paraId="75DB3515" w14:textId="77777777" w:rsidR="00C90237" w:rsidRDefault="00000000" w:rsidP="00EE76F5">
      <w:pPr>
        <w:ind w:firstLine="480"/>
      </w:pPr>
      <w:r>
        <w:t>数据资产的大规模表外存在对企业价值评估体系构成了根本性挑战。剩余收益估值框架假定账面净资产能够准确代表企业经济价值（</w:t>
      </w:r>
      <w:r>
        <w:t>Ohlson</w:t>
      </w:r>
      <w:r>
        <w:t>，</w:t>
      </w:r>
      <w:r>
        <w:t>1995</w:t>
      </w:r>
      <w:r>
        <w:t>），但当大量具有实质经济价值的数据资源因不满足可辨认性或可靠计量标准而被排斥在表外时，这一前提便不再成立。现行会计准则以成本法计量无形资产，而数据资产的经济价值往往随使用场景的扩展呈非线性增长，历史成本无法捕捉这一动态升值特征（黄世忠等，</w:t>
      </w:r>
      <w:r>
        <w:t>2023</w:t>
      </w:r>
      <w:r>
        <w:t>）。因此账面价值系统性低估了企业的真实经济价值。虽然</w:t>
      </w:r>
      <w:r>
        <w:t>2024</w:t>
      </w:r>
      <w:r>
        <w:t>年施行的《企业数据资源相关会计处理暂行规定》将数据资源纳入资产负债表，但新规适应期内投资者解读数据资产经济含义的信息障碍并未立即消除。</w:t>
      </w:r>
    </w:p>
    <w:p w14:paraId="759054D8" w14:textId="77777777" w:rsidR="00C90237" w:rsidRDefault="00000000" w:rsidP="00EE76F5">
      <w:pPr>
        <w:ind w:firstLine="480"/>
      </w:pPr>
      <w:r>
        <w:t>这一计量缺口使市场参与者难以仅凭财务报表评估企业真实价值。企业在年度报告中披露的数据要素利用信息因此成为弥补会计计量缺口的增量信号。从信息经济学的视角，这类增量信号可能沿两条相反方向的路径影响资本定价效率。信息供给效应强调信息不对称的改善作用：可信的公开信息披露压缩了知情与非知情交易者之间的信息差异，加速价格发现过程，这一机制既有理论上的严格论证（</w:t>
      </w:r>
      <w:r>
        <w:t>Diamond</w:t>
      </w:r>
      <w:r>
        <w:t>和</w:t>
      </w:r>
      <w:r>
        <w:t>Verrecchia</w:t>
      </w:r>
      <w:r>
        <w:t>，</w:t>
      </w:r>
      <w:r>
        <w:t>1991</w:t>
      </w:r>
      <w:r>
        <w:t>），也有中国市场增量信息披露加速私有信息融合的独立实证支持（黄俊和陈信元，</w:t>
      </w:r>
      <w:r>
        <w:t>2023</w:t>
      </w:r>
      <w:r>
        <w:t>）。信息模糊效应则指向相反的约束机制：信息不确定性越高，投资者越难以准确定价，价格发现因此越迟缓（</w:t>
      </w:r>
      <w:r>
        <w:t>Zhang</w:t>
      </w:r>
      <w:r>
        <w:t>，</w:t>
      </w:r>
      <w:r>
        <w:t>2006</w:t>
      </w:r>
      <w:r>
        <w:t>），数据驱动商业模式的内在复杂性和会计准则的估值空白可能加剧这种不确定性。两种效应的行为假设不同，前者认为价格发现的约束在于信息供给不足，后者认为瓶颈在于需求侧的认知摩擦，其净结果取决于哪种力量处于主导地位。</w:t>
      </w:r>
    </w:p>
    <w:p w14:paraId="3D13EA2A" w14:textId="77777777" w:rsidR="00C90237" w:rsidRDefault="00000000" w:rsidP="00EE76F5">
      <w:pPr>
        <w:ind w:firstLine="480"/>
      </w:pPr>
      <w:r>
        <w:t>在中国</w:t>
      </w:r>
      <w:r>
        <w:t>A</w:t>
      </w:r>
      <w:r>
        <w:t>股市场的现实条件下，三个因素有利于信息供给效应占据优势。其一，年报是经过审计的法定文件，数据要素利用描述受到会计准则和审计程</w:t>
      </w:r>
      <w:r>
        <w:lastRenderedPageBreak/>
        <w:t>序的双重约束，信号的可验证性远高于自愿性社交媒体传播，市场参与者更容易将其纳入定价。其二，</w:t>
      </w:r>
      <w:r>
        <w:t>2022</w:t>
      </w:r>
      <w:r>
        <w:t>年</w:t>
      </w:r>
      <w:r>
        <w:t>“</w:t>
      </w:r>
      <w:r>
        <w:t>数据二十条</w:t>
      </w:r>
      <w:r>
        <w:t>”</w:t>
      </w:r>
      <w:r>
        <w:t>和</w:t>
      </w:r>
      <w:r>
        <w:t>2024</w:t>
      </w:r>
      <w:r>
        <w:t>年入表新规逐步降低了市场参与者理解和评估数据资产信息的分析摩擦，制度框架的渐进完善意味着信息模糊效应的制约力量随时间推移持续减弱。其三，关键词频率法结合上下文语境判别能够区分实质性利用与概念性提及，在测度层面进一步压缩了信息模糊效应的空间。当然，关键词频率作为代理变量存在固有的测量误差，稳健性检验中的替换指标和子维度分析应对此加以控制。综合以上条件，若信息供给效应为主导，应观察到企业数据要素利用与股价延迟呈显著负向关联。据此提出假说</w:t>
      </w:r>
      <w:r>
        <w:t>H1</w:t>
      </w:r>
      <w:r>
        <w:t>：</w:t>
      </w:r>
    </w:p>
    <w:p w14:paraId="400B254D" w14:textId="77777777" w:rsidR="00C90237" w:rsidRDefault="00000000" w:rsidP="00EE76F5">
      <w:pPr>
        <w:ind w:firstLine="480"/>
      </w:pPr>
      <w:r>
        <w:t>H1</w:t>
      </w:r>
      <w:r>
        <w:t>：企业数据要素利用降低了资本市场的股价延迟，即提升了定价效率。</w:t>
      </w:r>
    </w:p>
    <w:p w14:paraId="06A2BEDD" w14:textId="77777777" w:rsidR="00C90237" w:rsidRDefault="00000000" w:rsidP="00EE76F5">
      <w:pPr>
        <w:pStyle w:val="3"/>
        <w:numPr>
          <w:ilvl w:val="0"/>
          <w:numId w:val="0"/>
        </w:numPr>
      </w:pPr>
      <w:bookmarkStart w:id="5" w:name="二信息中介与资产配置定价效率的传导机制"/>
      <w:r>
        <w:t>（二）信息中介与资产配置：定价效率的传导机制</w:t>
      </w:r>
      <w:bookmarkEnd w:id="5"/>
    </w:p>
    <w:p w14:paraId="2C80C721" w14:textId="77777777" w:rsidR="00C90237" w:rsidRDefault="00000000" w:rsidP="00EE76F5">
      <w:pPr>
        <w:ind w:firstLine="480"/>
      </w:pPr>
      <w:r>
        <w:t>H1</w:t>
      </w:r>
      <w:r>
        <w:t>确立了数据要素利用与定价效率之间的总体关联，但信息从企业年报向股票价格的具体传导路径尚待厘清。从信息向定价的传导机制看，存在两条主要渠道和一条补充性渠道，分别承载不同的信息转化形式。</w:t>
      </w:r>
    </w:p>
    <w:p w14:paraId="63640238" w14:textId="77777777" w:rsidR="00C90237" w:rsidRDefault="00000000" w:rsidP="00EE76F5">
      <w:pPr>
        <w:ind w:firstLine="480"/>
      </w:pPr>
      <w:r>
        <w:t>第一条渠道是信息中介渠道。分析师是连接企业信息披露与市场定价的核心中介机构。当分析师覆盖不足时，企业的私有信息难以被市场及时捕捉，信息扩散缓慢。反之，分析师数量的增加通过提高股票价格的信息含量而加速价格发现过程。分析师覆盖密度与价格发现效率之间的因果关系已在跨市场比较中得到稳健确认：美国市场的断点识别设计（</w:t>
      </w:r>
      <w:r>
        <w:t>Hong</w:t>
      </w:r>
      <w:r>
        <w:t>等，</w:t>
      </w:r>
      <w:r>
        <w:t>2000</w:t>
      </w:r>
      <w:r>
        <w:t>）和中国市场的独立检验（</w:t>
      </w:r>
      <w:r>
        <w:t>Yu</w:t>
      </w:r>
      <w:r>
        <w:t>，</w:t>
      </w:r>
      <w:r>
        <w:t>2008</w:t>
      </w:r>
      <w:r>
        <w:t>；黄俊和陈信元，</w:t>
      </w:r>
      <w:r>
        <w:t>2023</w:t>
      </w:r>
      <w:r>
        <w:t>）虽在识别策略和样本覆盖上各有侧重，但一致表明分析师覆盖密度越高，信息向价格的转换效率越高。</w:t>
      </w:r>
    </w:p>
    <w:p w14:paraId="0EB61841" w14:textId="77777777" w:rsidR="00C90237" w:rsidRDefault="00000000" w:rsidP="00EE76F5">
      <w:pPr>
        <w:ind w:firstLine="480"/>
      </w:pPr>
      <w:r>
        <w:t>数据要素利用程度较高的企业在年报中提供了更为丰富的数字化战略与数据应用信息。这类增量信息具有两个特征：其一，信息的技术含量高，分析师需要具备一定的数字化认知才能充分理解其经济含义；其二，信息与企业竞争力和盈利能力的关联性强，机构投资者高度关注，为分析师服务客户带来更大的研究价值。在这些激励下，分析师对数据要素利用信息的深度研究与广泛传播动力更强。分析师的研究报告、盈利预测与公开路演将进一步加速数据要素利用信息向股价的传导。据此提出：</w:t>
      </w:r>
    </w:p>
    <w:p w14:paraId="7ACD3D64" w14:textId="77777777" w:rsidR="00C90237" w:rsidRDefault="00000000" w:rsidP="00EE76F5">
      <w:pPr>
        <w:ind w:firstLine="480"/>
      </w:pPr>
      <w:r>
        <w:t>H2a</w:t>
      </w:r>
      <w:r>
        <w:t>：企业数据要素利用通过提升分析师覆盖发挥信息中介作用。</w:t>
      </w:r>
    </w:p>
    <w:p w14:paraId="2EB925FB" w14:textId="77777777" w:rsidR="00C90237" w:rsidRDefault="00000000" w:rsidP="00EE76F5">
      <w:pPr>
        <w:ind w:firstLine="480"/>
      </w:pPr>
      <w:r>
        <w:t>第二条渠道是企业行为渠道。数据要素的深度利用与企业的金融资产配置行为存在关联。近期研究从两条不同的理论路径揭示了这一关联：成本渠道认为数据利用能力通过降低资本成本和缓解融资约束，拓宽了企业金融资产配置的可行边界（朱康，</w:t>
      </w:r>
      <w:r>
        <w:t>2025</w:t>
      </w:r>
      <w:r>
        <w:t>）；决策质量渠道指出数据驱动能力强的企业凭借更精准的市场分析与风险评估，在资产选择上表现出更高的信息优势（李姝，</w:t>
      </w:r>
      <w:r>
        <w:t>2025</w:t>
      </w:r>
      <w:r>
        <w:t>）。</w:t>
      </w:r>
      <w:r>
        <w:lastRenderedPageBreak/>
        <w:t>两条路径分别从融资约束缓解和市场判断力精进指出了企业资产配置能力的提升机理，共同表明数据要素利用能力强的企业在识别市场机会、评估流动性风险和优化资产组合方面形成了差异化的信息优势。</w:t>
      </w:r>
    </w:p>
    <w:p w14:paraId="0FF2E361" w14:textId="77777777" w:rsidR="00C90237" w:rsidRDefault="00000000" w:rsidP="00EE76F5">
      <w:pPr>
        <w:ind w:firstLine="480"/>
      </w:pPr>
      <w:r>
        <w:t>这种信息优势在金融资产配置决策中得以体现，使其配置模式呈现出区别于一般企业的特征。这些特征通过资产负债表和附注中的会计信息得以显现，构成市场参与者推断企业运营能力和市场判断力的潜在信息来源。具体而言，金融资产的品种选择、持有期限和风险敞口等维度均可被分析师和机构投资者观测和解读，当这些配置特征与企业数据利用能力形成系统性关联时，市场参与者便可能从中提取出关于企业信息优势的增量信号，从而影响股票定价效率。据此提出：</w:t>
      </w:r>
    </w:p>
    <w:p w14:paraId="7409C7DE" w14:textId="77777777" w:rsidR="00C90237" w:rsidRDefault="00000000" w:rsidP="00EE76F5">
      <w:pPr>
        <w:ind w:firstLine="480"/>
      </w:pPr>
      <w:r>
        <w:t>H2b</w:t>
      </w:r>
      <w:r>
        <w:t>：企业数据要素利用与金融资产配置行为存在显著关联，金融资产配置通过其信息含量影响市场的定价效率。</w:t>
      </w:r>
    </w:p>
    <w:p w14:paraId="3645825D" w14:textId="77777777" w:rsidR="00C90237" w:rsidRDefault="00000000" w:rsidP="00EE76F5">
      <w:pPr>
        <w:pStyle w:val="3"/>
        <w:numPr>
          <w:ilvl w:val="0"/>
          <w:numId w:val="0"/>
        </w:numPr>
      </w:pPr>
      <w:bookmarkStart w:id="6" w:name="三信息环境与行业属性效应的异质性"/>
      <w:r>
        <w:t>（三）信息环境与行业属性：效应的异质性</w:t>
      </w:r>
      <w:bookmarkEnd w:id="6"/>
    </w:p>
    <w:p w14:paraId="23A70739" w14:textId="77777777" w:rsidR="00C90237" w:rsidRDefault="00000000" w:rsidP="00EE76F5">
      <w:pPr>
        <w:ind w:firstLine="480"/>
      </w:pPr>
      <w:r>
        <w:t>上述</w:t>
      </w:r>
      <w:r>
        <w:t>H1</w:t>
      </w:r>
      <w:r>
        <w:t>至</w:t>
      </w:r>
      <w:r>
        <w:t>H2b</w:t>
      </w:r>
      <w:r>
        <w:t>的分析给出了数据要素利用对定价效率的总体效应及其主要传导机制。但企业的特征禀赋和所处的市场环境会显著影响这些效应的大小和方向。进一步的分析从三个维度考察数据要素利用效应的异质性模式：产权性质、分析师覆盖和行业属性。其中分析师覆盖维度基于传导机制的理论预期形成正式假说，产权性质与行业属性维度因理论在此的预测力相对有限而作为实证探索。</w:t>
      </w:r>
    </w:p>
    <w:p w14:paraId="59CCDC97" w14:textId="77777777" w:rsidR="00C90237" w:rsidRDefault="00000000" w:rsidP="00EE76F5">
      <w:pPr>
        <w:ind w:firstLine="480"/>
      </w:pPr>
      <w:r>
        <w:t>上述效应的强度可能因企业所处的信息环境而异。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14:paraId="23376041" w14:textId="77777777" w:rsidR="00C90237" w:rsidRDefault="00000000" w:rsidP="00EE76F5">
      <w:pPr>
        <w:ind w:firstLine="480"/>
      </w:pPr>
      <w:r>
        <w:t>如果信息中介是定价效率改善的核心传导渠道（</w:t>
      </w:r>
      <w:r>
        <w:t>H2a</w:t>
      </w:r>
      <w:r>
        <w:t>），那么分析师覆盖密度的差异应当调节数据要素利用的效果。分析师覆盖密度是决定增量信息能否得到及时处理与广泛传播的关键制约条件，这一门槛效应在美国市场（</w:t>
      </w:r>
      <w:r>
        <w:t>Hong</w:t>
      </w:r>
      <w:r>
        <w:t>等，</w:t>
      </w:r>
      <w:r>
        <w:t>2000</w:t>
      </w:r>
      <w:r>
        <w:t>）和中国市场（黄俊和陈信元，</w:t>
      </w:r>
      <w:r>
        <w:t>2023</w:t>
      </w:r>
      <w:r>
        <w:t>）中均得到因果层面的确认。当企业所处信息环境中分析师跟踪较为密集时，数据要素利用所产生的增量信息能够</w:t>
      </w:r>
      <w:r>
        <w:lastRenderedPageBreak/>
        <w:t>被更及时地捕捉、更深度地加工并更广泛地传播，信息向价格的传导路径更加畅通，定价效率的改善因此更为显著。反之，分析师覆盖稀疏的企业中，数据要素利用信息即便披露，其扩散和定价也受到严重制约。据此提出：</w:t>
      </w:r>
    </w:p>
    <w:p w14:paraId="1E745776" w14:textId="77777777" w:rsidR="00C90237" w:rsidRDefault="00000000" w:rsidP="00EE76F5">
      <w:pPr>
        <w:ind w:firstLine="480"/>
      </w:pPr>
      <w:r>
        <w:t>H3</w:t>
      </w:r>
      <w:r>
        <w:t>：数据要素利用对资本市场定价效率的提升效应在分析师跟踪较为活跃的企业中更为显著。</w:t>
      </w:r>
    </w:p>
    <w:p w14:paraId="704C0608" w14:textId="77777777" w:rsidR="00C90237" w:rsidRDefault="00000000" w:rsidP="00EE76F5">
      <w:pPr>
        <w:pStyle w:val="2"/>
      </w:pPr>
      <w:bookmarkStart w:id="7" w:name="三研究设计"/>
      <w:r>
        <w:t>三、研究设计</w:t>
      </w:r>
      <w:bookmarkEnd w:id="7"/>
    </w:p>
    <w:p w14:paraId="2F905BA4" w14:textId="77777777" w:rsidR="00C90237" w:rsidRDefault="00000000" w:rsidP="00EE76F5">
      <w:pPr>
        <w:pStyle w:val="3"/>
        <w:numPr>
          <w:ilvl w:val="0"/>
          <w:numId w:val="0"/>
        </w:numPr>
      </w:pPr>
      <w:bookmarkStart w:id="8" w:name="一样本选择与数据来源"/>
      <w:r>
        <w:t>（一）样本选择与数据来源</w:t>
      </w:r>
      <w:bookmarkEnd w:id="8"/>
    </w:p>
    <w:p w14:paraId="50186A49" w14:textId="77777777" w:rsidR="00C90237" w:rsidRDefault="00000000" w:rsidP="00EE76F5">
      <w:pPr>
        <w:ind w:firstLine="480"/>
      </w:pPr>
      <w:r>
        <w:t>本文的样本来源于</w:t>
      </w:r>
      <w:r>
        <w:t>2011-2024</w:t>
      </w:r>
      <w:r>
        <w:t>年沪深</w:t>
      </w:r>
      <w:r>
        <w:t>A</w:t>
      </w:r>
      <w:r>
        <w:t>股上市公司，数据包括两个层面：其一，</w:t>
      </w:r>
      <w:r>
        <w:t>2010-2024</w:t>
      </w:r>
      <w:r>
        <w:t>年全部上市公司的年度报告全文，用于提取数据要素利用指标；其二，</w:t>
      </w:r>
      <w:r>
        <w:t>2011-2024</w:t>
      </w:r>
      <w:r>
        <w:t>年企业的财务数据、治理数据和市场数据，用于构造因变量和控制变量。样本筛选遵循以下标准：首先，依据中国证监会行业分类标准剔除</w:t>
      </w:r>
      <w:r>
        <w:t>J</w:t>
      </w:r>
      <w:r>
        <w:t>类金融保险业企业，其资产负债表结构与数据资产性质同非金融企业存在本质差异；其次，剔除</w:t>
      </w:r>
      <w:r>
        <w:t>ST/*ST</w:t>
      </w:r>
      <w:r>
        <w:t>企业，其股价行为可能被财务困境所掩盖；再次，剔除上市时间在观测年份内不足</w:t>
      </w:r>
      <w:r>
        <w:t>12</w:t>
      </w:r>
      <w:r>
        <w:t>个月的企业</w:t>
      </w:r>
      <w:r>
        <w:t>-</w:t>
      </w:r>
      <w:r>
        <w:t>年份观测。对连续变量采取</w:t>
      </w:r>
      <w:r>
        <w:t>1%</w:t>
      </w:r>
      <w:r>
        <w:t>和</w:t>
      </w:r>
      <w:r>
        <w:t>99%</w:t>
      </w:r>
      <w:r>
        <w:t>分位数的</w:t>
      </w:r>
      <w:r>
        <w:t>Winsorize</w:t>
      </w:r>
      <w:r>
        <w:t>缩尾处理。</w:t>
      </w:r>
    </w:p>
    <w:p w14:paraId="53B245D7" w14:textId="77777777" w:rsidR="00C90237" w:rsidRDefault="00000000" w:rsidP="00EE76F5">
      <w:pPr>
        <w:ind w:firstLine="480"/>
      </w:pPr>
      <w:r>
        <w:t>经过以上筛选，最终获得</w:t>
      </w:r>
      <w:r>
        <w:t>38,943</w:t>
      </w:r>
      <w:r>
        <w:t>个企业</w:t>
      </w:r>
      <w:r>
        <w:t>-</w:t>
      </w:r>
      <w:r>
        <w:t>年份观测，涵盖</w:t>
      </w:r>
      <w:r>
        <w:t>5,178</w:t>
      </w:r>
      <w:r>
        <w:t>家独立企业。面板固定效应模型在清理奇点后，用于基准回归分析的有效样本量为</w:t>
      </w:r>
      <w:r>
        <w:t>38,614</w:t>
      </w:r>
      <w:r>
        <w:t>个观测。</w:t>
      </w:r>
    </w:p>
    <w:p w14:paraId="792E2258" w14:textId="77777777" w:rsidR="00C90237" w:rsidRDefault="00000000" w:rsidP="00EE76F5">
      <w:pPr>
        <w:ind w:firstLine="480"/>
      </w:pPr>
      <w:r>
        <w:t>自变量</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的提取基于上市公司年度报告全文的文本分析，原始数据来源于上市公司向证监会提交的法定年报</w:t>
      </w:r>
      <w:r>
        <w:t>TXT</w:t>
      </w:r>
      <w:r>
        <w:t>格式文件。因变量</w:t>
      </w:r>
      <m:oMath>
        <m:r>
          <w:rPr>
            <w:rFonts w:ascii="Cambria Math" w:hAnsi="Cambria Math"/>
          </w:rPr>
          <m:t>PriceDelay</m:t>
        </m:r>
      </m:oMath>
      <w:r>
        <w:t>的构造基于</w:t>
      </w:r>
      <w:r>
        <w:t>CSMAR</w:t>
      </w:r>
      <w:r>
        <w:t>数据库的股票日收益率数据。控制变量与中介变量的数据同样提取自</w:t>
      </w:r>
      <w:r>
        <w:t>CSMAR</w:t>
      </w:r>
      <w:r>
        <w:t>数据库的财务、治理和市场数据库。</w:t>
      </w:r>
    </w:p>
    <w:p w14:paraId="79E8709E" w14:textId="77777777" w:rsidR="00C90237" w:rsidRDefault="00000000" w:rsidP="00EE76F5">
      <w:pPr>
        <w:pStyle w:val="3"/>
        <w:numPr>
          <w:ilvl w:val="0"/>
          <w:numId w:val="0"/>
        </w:numPr>
      </w:pPr>
      <w:bookmarkStart w:id="9" w:name="二数据要素利用的测度"/>
      <w:r>
        <w:t>（二）数据要素利用的测度</w:t>
      </w:r>
      <w:bookmarkEnd w:id="9"/>
    </w:p>
    <w:p w14:paraId="653557C1" w14:textId="77777777" w:rsidR="00C90237" w:rsidRDefault="00000000" w:rsidP="00EE76F5">
      <w:pPr>
        <w:ind w:firstLine="480"/>
      </w:pPr>
      <w:r>
        <w:t>数据资产及其相关活动长期处于会计体系之外，难以通过传统财务指标直接观察，文本分析因此成为获取数据要素利用信息的重要途径。本文沿数据价值链的不同环节构建了五维度关键词体系：数据存量（</w:t>
      </w:r>
      <w:r>
        <w:t>data_stock</w:t>
      </w:r>
      <w:r>
        <w:t>，</w:t>
      </w:r>
      <w:r>
        <w:t>15</w:t>
      </w:r>
      <w:r>
        <w:t>个关键词，如大数据、数据库、数据中心等）、数据开发能力（</w:t>
      </w:r>
      <w:r>
        <w:t>data_dev</w:t>
      </w:r>
      <w:r>
        <w:t>，</w:t>
      </w:r>
      <w:r>
        <w:t>19</w:t>
      </w:r>
      <w:r>
        <w:t>个关键词，如数据挖掘、机器学习、数字化转型等）、数据驱动应用（</w:t>
      </w:r>
      <w:r>
        <w:t>data_app</w:t>
      </w:r>
      <w:r>
        <w:t>，</w:t>
      </w:r>
      <w:r>
        <w:t>19</w:t>
      </w:r>
      <w:r>
        <w:t>个关键词，如精准营销、智能推荐、风控模型等）、数据价值变现（</w:t>
      </w:r>
      <w:r>
        <w:t>data_value</w:t>
      </w:r>
      <w:r>
        <w:t>，</w:t>
      </w:r>
      <w:r>
        <w:t>11</w:t>
      </w:r>
      <w:r>
        <w:t>个关键词，如数据资产、数据交易、数据入表等）和数据治理（</w:t>
      </w:r>
      <w:r>
        <w:t>data_gov</w:t>
      </w:r>
      <w:r>
        <w:t>，</w:t>
      </w:r>
      <w:r>
        <w:t>9</w:t>
      </w:r>
      <w:r>
        <w:t>个关键词，如数据安全、数据隐私、数据合规等），共计</w:t>
      </w:r>
      <w:r>
        <w:t>73</w:t>
      </w:r>
      <w:r>
        <w:t>个关键词。这一分类方案借鉴了</w:t>
      </w:r>
      <w:r>
        <w:t>CNRDS</w:t>
      </w:r>
      <w:r>
        <w:t>数字化转型指标的理论框架，同时针对朱康（</w:t>
      </w:r>
      <w:r>
        <w:t>2025</w:t>
      </w:r>
      <w:r>
        <w:t>）采用的两维度体系进行了细化，新增数据开发能力、数据价值变现和数据治理三个维度，更加全面地覆盖企业数据要素利用的全生命周期。完整的关键词清单列示于附录。</w:t>
      </w:r>
    </w:p>
    <w:p w14:paraId="4A7478C7" w14:textId="77777777" w:rsidR="00C90237" w:rsidRDefault="00000000" w:rsidP="00EE76F5">
      <w:pPr>
        <w:ind w:firstLine="480"/>
      </w:pPr>
      <w:r>
        <w:lastRenderedPageBreak/>
        <w:t>关键词频率的计算方法为：</w:t>
      </w:r>
    </w:p>
    <w:p w14:paraId="714A592F" w14:textId="77777777" w:rsidR="00C90237" w:rsidRPr="00EE76F5" w:rsidRDefault="00000000" w:rsidP="00EE76F5">
      <w:pPr>
        <w:pStyle w:val="af3"/>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w:rPr>
              <w:rFonts w:ascii="Cambria Math" w:hAnsi="Cambria Math"/>
            </w:rPr>
            <m:t>=</m:t>
          </m:r>
          <m:f>
            <m:fPr>
              <m:ctrlPr>
                <w:rPr>
                  <w:rFonts w:ascii="Cambria Math" w:hAnsi="Cambria Math"/>
                </w:rPr>
              </m:ctrlPr>
            </m:fPr>
            <m:num>
              <m:r>
                <m:rPr>
                  <m:nor/>
                </m:rPr>
                <m:t>关键词总出现次数</m:t>
              </m:r>
            </m:num>
            <m:den>
              <m:r>
                <m:rPr>
                  <m:nor/>
                </m:rPr>
                <m:t>年报全文总字数</m:t>
              </m:r>
            </m:den>
          </m:f>
          <m:r>
            <w:rPr>
              <w:rFonts w:ascii="Cambria Math" w:hAnsi="Cambria Math"/>
            </w:rPr>
            <m:t>×1000</m:t>
          </m:r>
          <m:r>
            <w:rPr>
              <w:rFonts w:ascii="Cambria Math" w:hAnsi="Cambria Math"/>
            </w:rPr>
            <m:t>0</m:t>
          </m:r>
        </m:oMath>
      </m:oMathPara>
    </w:p>
    <w:p w14:paraId="4C4C59AF" w14:textId="77777777" w:rsidR="00C90237" w:rsidRDefault="00000000" w:rsidP="00EE76F5">
      <w:pPr>
        <w:ind w:firstLine="480"/>
      </w:pPr>
      <w:r>
        <w:t>即每万字中数据相关关键词的出现次数。文本处理采用多编码支持策略和长词优先匹配策略，以确保编码的准确读取和避免短词误匹配导致的高估。</w:t>
      </w:r>
    </w:p>
    <w:p w14:paraId="281960EC" w14:textId="77777777" w:rsidR="00C90237" w:rsidRDefault="00000000" w:rsidP="00EE76F5">
      <w:pPr>
        <w:ind w:firstLine="480"/>
      </w:pPr>
      <w:r>
        <w:t>为提高测度的稳健性，在主指标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的基础上，本文构造了两个备选指标：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 xml:space="preserve"> = </w:t>
      </w:r>
      <w:proofErr w:type="gramStart"/>
      <w:r>
        <w:t>ln(</w:t>
      </w:r>
      <w:proofErr w:type="gramEnd"/>
      <w:r>
        <w:t xml:space="preserve">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w:t>
      </w:r>
      <w:r>
        <w:t>，即对频率进行对数变换以处理右偏分布；</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sub_ln</m:t>
            </m:r>
          </m:sub>
        </m:sSub>
      </m:oMath>
      <w:r>
        <w:t xml:space="preserve"> = </w:t>
      </w:r>
      <w:proofErr w:type="gramStart"/>
      <w:r>
        <w:t>ln(</w:t>
      </w:r>
      <w:proofErr w:type="gramEnd"/>
      <w:r>
        <w:t xml:space="preserve">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t>)</w:t>
      </w:r>
      <w:r>
        <w:t>，其中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proofErr w:type="gramStart"/>
      <w:r>
        <w:t>为</w:t>
      </w:r>
      <w:r>
        <w:t>“</w:t>
      </w:r>
      <w:r>
        <w:t>实质利用次数</w:t>
      </w:r>
      <w:r>
        <w:t>”</w:t>
      </w:r>
      <w:r>
        <w:t>，</w:t>
      </w:r>
      <w:proofErr w:type="gramEnd"/>
      <w:r>
        <w:t>其构造基于对关键词出现上下文的判断</w:t>
      </w:r>
      <w:r>
        <w:t>——</w:t>
      </w:r>
      <w:r>
        <w:t>关键词周围</w:t>
      </w:r>
      <w:r>
        <w:t>100</w:t>
      </w:r>
      <w:r>
        <w:t>字窗口内同时包含具体数字、百分比表述或动作词与对象搭配时，判定为实质利用，否则视为概念性提及。这一区分旨在提高指标的信息质量。</w:t>
      </w:r>
    </w:p>
    <w:p w14:paraId="70A8091C" w14:textId="77777777" w:rsidR="00C90237" w:rsidRDefault="00000000" w:rsidP="00EE76F5">
      <w:pPr>
        <w:ind w:firstLine="480"/>
      </w:pPr>
      <w:r>
        <w:t>上述指标的有效性可从时间趋势和行业分布两个角度加以验证。</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在</w:t>
      </w:r>
      <w:r>
        <w:t>2011-2024</w:t>
      </w:r>
      <w:r>
        <w:t>年间呈现清晰的上升趋势，在三个关键政策时点出现明显加速：</w:t>
      </w:r>
      <w:r>
        <w:t>2015</w:t>
      </w:r>
      <w:r>
        <w:t>年《促进大数据发展行动纲要》发布后增幅约</w:t>
      </w:r>
      <w:r>
        <w:t>21%</w:t>
      </w:r>
      <w:r>
        <w:t>、</w:t>
      </w:r>
      <w:r>
        <w:t>2022</w:t>
      </w:r>
      <w:r>
        <w:t>年</w:t>
      </w:r>
      <w:r>
        <w:t>“</w:t>
      </w:r>
      <w:r>
        <w:t>数据二十条</w:t>
      </w:r>
      <w:r>
        <w:t>”</w:t>
      </w:r>
      <w:r>
        <w:t>出台后经历显著增长、</w:t>
      </w:r>
      <w:r>
        <w:t>2024</w:t>
      </w:r>
      <w:r>
        <w:t>年入表新规实施后进一步提升。行业分布上，信息技术产业和科学研究与技术服务业的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均值（分别为</w:t>
      </w:r>
      <w:r>
        <w:t>2.34</w:t>
      </w:r>
      <w:r>
        <w:t>和</w:t>
      </w:r>
      <w:r>
        <w:t>1.98</w:t>
      </w:r>
      <w:r>
        <w:t>）远高于制造业（</w:t>
      </w:r>
      <w:r>
        <w:t>0.72</w:t>
      </w:r>
      <w:r>
        <w:t>）和采矿业（</w:t>
      </w:r>
      <w:r>
        <w:t>0.48</w:t>
      </w:r>
      <w:r>
        <w:t>），符合产业对数据要素依赖程度的直观预期。样本中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ratio</m:t>
            </m:r>
          </m:sub>
        </m:sSub>
      </m:oMath>
      <w:r>
        <w:t>（实质利用比例）的均值为</w:t>
      </w:r>
      <w:r>
        <w:t>0.621</w:t>
      </w:r>
      <w:r>
        <w:t>，中位数为</w:t>
      </w:r>
      <w:r>
        <w:t>0.750</w:t>
      </w:r>
      <w:r>
        <w:t>，表明多数企业的数据关键词使用具有实质利用背景。</w:t>
      </w:r>
    </w:p>
    <w:p w14:paraId="79726D08" w14:textId="77777777" w:rsidR="00C90237" w:rsidRDefault="00000000" w:rsidP="00EE76F5">
      <w:pPr>
        <w:ind w:firstLine="480"/>
      </w:pPr>
      <w:bookmarkStart w:id="10" w:name="三变量定义"/>
      <w:r>
        <w:t>（三）变量定义</w:t>
      </w:r>
      <w:bookmarkEnd w:id="10"/>
    </w:p>
    <w:p w14:paraId="35CDC178" w14:textId="77777777" w:rsidR="00C90237" w:rsidRDefault="00000000" w:rsidP="00EE76F5">
      <w:pPr>
        <w:ind w:firstLine="480"/>
      </w:pPr>
      <w:bookmarkStart w:id="11" w:name="解释变量与被解释变量"/>
      <w:r>
        <w:t>1.</w:t>
      </w:r>
      <w:r>
        <w:t>解释变量与被解释变量</w:t>
      </w:r>
      <w:bookmarkEnd w:id="11"/>
    </w:p>
    <w:p w14:paraId="3183F249" w14:textId="77777777" w:rsidR="00C90237" w:rsidRDefault="00000000" w:rsidP="00EE76F5">
      <w:pPr>
        <w:ind w:firstLine="480"/>
      </w:pPr>
      <w:r>
        <w:t>采用</w:t>
      </w:r>
      <w:r>
        <w:t>Hou</w:t>
      </w:r>
      <w:r>
        <w:t>和</w:t>
      </w:r>
      <w:r>
        <w:t>Moskowitz</w:t>
      </w:r>
      <w:r>
        <w:t>（</w:t>
      </w:r>
      <w:r>
        <w:t>2005</w:t>
      </w:r>
      <w:r>
        <w:t>）的方法构造因变量股价延迟</w:t>
      </w:r>
      <m:oMath>
        <m:r>
          <w:rPr>
            <w:rFonts w:ascii="Cambria Math" w:hAnsi="Cambria Math"/>
          </w:rPr>
          <m:t>PriceDelay</m:t>
        </m:r>
      </m:oMath>
      <w:r>
        <w:t>，对企业</w:t>
      </w:r>
      <w:r>
        <w:t>i</w:t>
      </w:r>
      <w:r>
        <w:t>在年份</w:t>
      </w:r>
      <w:r>
        <w:t>t</w:t>
      </w:r>
      <w:r>
        <w:t>的日收益率序列（至少</w:t>
      </w:r>
      <w:r>
        <w:t>120</w:t>
      </w:r>
      <w:r>
        <w:t>个交易日），分别估计受限模型和无限制模型：</w:t>
      </w:r>
    </w:p>
    <w:p w14:paraId="2DF29E42" w14:textId="77777777" w:rsidR="00C90237" w:rsidRDefault="00000000" w:rsidP="00EE76F5">
      <w:pPr>
        <w:ind w:firstLine="480"/>
      </w:pPr>
      <w:r>
        <w:t>受限模型：</w:t>
      </w:r>
    </w:p>
    <w:p w14:paraId="4FAE053F"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620C0F5C" w14:textId="77777777" w:rsidR="00C90237" w:rsidRDefault="00000000" w:rsidP="00EE76F5">
      <w:pPr>
        <w:ind w:firstLine="480"/>
      </w:pPr>
      <w:r>
        <w:t>无限制模型：</w:t>
      </w:r>
    </w:p>
    <w:p w14:paraId="03B63596"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003263F5" w14:textId="77777777" w:rsidR="00C90237" w:rsidRDefault="00000000" w:rsidP="00EE76F5">
      <w:pPr>
        <w:ind w:firstLine="480"/>
      </w:pPr>
      <w:r>
        <w:t>股价延迟定义为：</w:t>
      </w:r>
    </w:p>
    <w:p w14:paraId="283164C7" w14:textId="77777777" w:rsidR="00C90237" w:rsidRPr="00EE76F5" w:rsidRDefault="00000000" w:rsidP="00EE76F5">
      <w:pPr>
        <w:pStyle w:val="af3"/>
      </w:pPr>
      <m:oMathPara>
        <m:oMathParaPr>
          <m:jc m:val="left"/>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m:rPr>
                      <m:nor/>
                    </m:rPr>
                    <m:t>restricted</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m:rPr>
                      <m:nor/>
                    </m:rPr>
                    <m:t>unrestricted</m:t>
                  </m:r>
                </m:sub>
                <m:sup>
                  <m:r>
                    <w:rPr>
                      <w:rFonts w:ascii="Cambria Math" w:hAnsi="Cambria Math"/>
                    </w:rPr>
                    <m:t>2</m:t>
                  </m:r>
                </m:sup>
              </m:sSubSup>
            </m:den>
          </m:f>
        </m:oMath>
      </m:oMathPara>
    </w:p>
    <w:p w14:paraId="09F3F7AC" w14:textId="77777777" w:rsidR="00C90237" w:rsidRDefault="00000000" w:rsidP="00EE76F5">
      <w:pPr>
        <w:ind w:firstLine="480"/>
      </w:pPr>
      <w:r>
        <w:t>取值范围为</w:t>
      </w:r>
      <w:r>
        <w:t>[0,1]</w:t>
      </w:r>
      <w:r>
        <w:t>，值越大表示股价对市场信息的反应越滞后，定价效率越低。相比股价同步性等其他指标，</w:t>
      </w:r>
      <m:oMath>
        <m:r>
          <w:rPr>
            <w:rFonts w:ascii="Cambria Math" w:hAnsi="Cambria Math"/>
          </w:rPr>
          <m:t>PriceDelay</m:t>
        </m:r>
      </m:oMath>
      <w:r>
        <w:t>更直接地反映信息向价格的转换速度。样本中</w:t>
      </w:r>
      <m:oMath>
        <m:r>
          <w:rPr>
            <w:rFonts w:ascii="Cambria Math" w:hAnsi="Cambria Math"/>
          </w:rPr>
          <m:t>PriceDelay</m:t>
        </m:r>
      </m:oMath>
      <w:r>
        <w:t>的均值为</w:t>
      </w:r>
      <w:r>
        <w:t>0.110</w:t>
      </w:r>
      <w:r>
        <w:t>、标准差为</w:t>
      </w:r>
      <w:r>
        <w:t>0.120</w:t>
      </w:r>
      <w:r>
        <w:t>、中位数为</w:t>
      </w:r>
      <w:r>
        <w:t>0.068</w:t>
      </w:r>
      <w:r>
        <w:t>。</w:t>
      </w:r>
    </w:p>
    <w:p w14:paraId="6F712705" w14:textId="77777777" w:rsidR="00C90237" w:rsidRDefault="00000000" w:rsidP="00EE76F5">
      <w:pPr>
        <w:ind w:firstLine="480"/>
      </w:pPr>
      <w:r>
        <w:lastRenderedPageBreak/>
        <w:t>自变量为数据要素利用</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，其定义和构造方法已在上一节详述。回归分析中采用</w:t>
      </w:r>
      <w:r>
        <w:t>t-1</w:t>
      </w:r>
      <w:r>
        <w:t>年的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来解释</w:t>
      </w:r>
      <w:r>
        <w:t>t</w:t>
      </w:r>
      <w:r>
        <w:t>年的股价延迟，以缓解反向因果。样本中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w:t>
      </w:r>
      <w:r>
        <w:t>1.070</w:t>
      </w:r>
      <w:r>
        <w:t>、标准差为</w:t>
      </w:r>
      <w:r>
        <w:t>1.695</w:t>
      </w:r>
      <w:r>
        <w:t>、中位数为</w:t>
      </w:r>
      <w:r>
        <w:t>0.478</w:t>
      </w:r>
      <w:r>
        <w:t>。</w:t>
      </w:r>
    </w:p>
    <w:p w14:paraId="62F2EB18" w14:textId="77777777" w:rsidR="00C90237" w:rsidRDefault="00000000" w:rsidP="00EE76F5">
      <w:pPr>
        <w:ind w:firstLine="480"/>
      </w:pPr>
      <w:bookmarkStart w:id="12" w:name="控制变量"/>
      <w:r>
        <w:t>2.</w:t>
      </w:r>
      <w:r>
        <w:t>控制变量</w:t>
      </w:r>
      <w:bookmarkEnd w:id="12"/>
    </w:p>
    <w:p w14:paraId="1C31D05D" w14:textId="77777777" w:rsidR="00C90237" w:rsidRDefault="00000000" w:rsidP="00EE76F5">
      <w:pPr>
        <w:ind w:firstLine="480"/>
      </w:pPr>
      <w:r>
        <w:t>控制变量方面，本文纳入</w:t>
      </w:r>
      <w:r>
        <w:t>15</w:t>
      </w:r>
      <w:r>
        <w:t>个控制变量，涵盖企业规模、财务状况、治理特征、市场流动性和信息环境等维度：</w:t>
      </w:r>
    </w:p>
    <w:tbl>
      <w:tblPr>
        <w:tblW w:w="5000" w:type="pct"/>
        <w:tblLook w:val="07E0" w:firstRow="1" w:lastRow="1" w:firstColumn="1" w:lastColumn="1" w:noHBand="1" w:noVBand="1"/>
      </w:tblPr>
      <w:tblGrid>
        <w:gridCol w:w="1642"/>
        <w:gridCol w:w="4561"/>
        <w:gridCol w:w="1121"/>
        <w:gridCol w:w="1198"/>
      </w:tblGrid>
      <w:tr w:rsidR="00C90237" w14:paraId="452DD764" w14:textId="77777777" w:rsidTr="000C6EF8">
        <w:tc>
          <w:tcPr>
            <w:tcW w:w="963" w:type="pct"/>
            <w:tcBorders>
              <w:top w:val="single" w:sz="4" w:space="0" w:color="auto"/>
              <w:bottom w:val="single" w:sz="4" w:space="0" w:color="auto"/>
            </w:tcBorders>
            <w:vAlign w:val="bottom"/>
          </w:tcPr>
          <w:p w14:paraId="3E132EB1" w14:textId="77777777" w:rsidR="00C90237" w:rsidRDefault="00000000" w:rsidP="00EE76F5">
            <w:pPr>
              <w:pStyle w:val="af"/>
            </w:pPr>
            <w:r>
              <w:t>变量</w:t>
            </w:r>
          </w:p>
        </w:tc>
        <w:tc>
          <w:tcPr>
            <w:tcW w:w="2676" w:type="pct"/>
            <w:tcBorders>
              <w:top w:val="single" w:sz="4" w:space="0" w:color="auto"/>
              <w:bottom w:val="single" w:sz="4" w:space="0" w:color="auto"/>
            </w:tcBorders>
            <w:vAlign w:val="bottom"/>
          </w:tcPr>
          <w:p w14:paraId="00F30AE8" w14:textId="77777777" w:rsidR="00C90237" w:rsidRDefault="00000000" w:rsidP="00EE76F5">
            <w:pPr>
              <w:pStyle w:val="af"/>
            </w:pPr>
            <w:r>
              <w:t>定义</w:t>
            </w:r>
          </w:p>
        </w:tc>
        <w:tc>
          <w:tcPr>
            <w:tcW w:w="658" w:type="pct"/>
            <w:tcBorders>
              <w:top w:val="single" w:sz="4" w:space="0" w:color="auto"/>
              <w:bottom w:val="single" w:sz="4" w:space="0" w:color="auto"/>
            </w:tcBorders>
            <w:vAlign w:val="bottom"/>
          </w:tcPr>
          <w:p w14:paraId="06F60827" w14:textId="77777777" w:rsidR="00C90237" w:rsidRDefault="00000000" w:rsidP="00EE76F5">
            <w:pPr>
              <w:pStyle w:val="af"/>
            </w:pPr>
            <w:r>
              <w:t>均值</w:t>
            </w:r>
          </w:p>
        </w:tc>
        <w:tc>
          <w:tcPr>
            <w:tcW w:w="703" w:type="pct"/>
            <w:tcBorders>
              <w:top w:val="single" w:sz="4" w:space="0" w:color="auto"/>
              <w:bottom w:val="single" w:sz="4" w:space="0" w:color="auto"/>
            </w:tcBorders>
            <w:vAlign w:val="bottom"/>
          </w:tcPr>
          <w:p w14:paraId="27A3778B" w14:textId="77777777" w:rsidR="00C90237" w:rsidRDefault="00000000" w:rsidP="00EE76F5">
            <w:pPr>
              <w:pStyle w:val="af"/>
            </w:pPr>
            <w:r>
              <w:t>标准差</w:t>
            </w:r>
          </w:p>
        </w:tc>
      </w:tr>
      <w:tr w:rsidR="00C90237" w14:paraId="14A6B1A2" w14:textId="77777777" w:rsidTr="000C6EF8">
        <w:tc>
          <w:tcPr>
            <w:tcW w:w="963" w:type="pct"/>
            <w:tcBorders>
              <w:top w:val="single" w:sz="4" w:space="0" w:color="auto"/>
            </w:tcBorders>
          </w:tcPr>
          <w:p w14:paraId="0AACE8E4" w14:textId="77777777" w:rsidR="00C90237" w:rsidRDefault="00000000" w:rsidP="00EE76F5">
            <w:pPr>
              <w:pStyle w:val="af"/>
            </w:pPr>
            <w:r>
              <w:t>Size</w:t>
            </w:r>
          </w:p>
        </w:tc>
        <w:tc>
          <w:tcPr>
            <w:tcW w:w="2676" w:type="pct"/>
            <w:tcBorders>
              <w:top w:val="single" w:sz="4" w:space="0" w:color="auto"/>
            </w:tcBorders>
          </w:tcPr>
          <w:p w14:paraId="266F2E9F" w14:textId="77777777" w:rsidR="00C90237" w:rsidRDefault="00000000" w:rsidP="00EE76F5">
            <w:pPr>
              <w:pStyle w:val="af"/>
            </w:pPr>
            <w:r>
              <w:t>总市值的自然对数</w:t>
            </w:r>
          </w:p>
        </w:tc>
        <w:tc>
          <w:tcPr>
            <w:tcW w:w="658" w:type="pct"/>
            <w:tcBorders>
              <w:top w:val="single" w:sz="4" w:space="0" w:color="auto"/>
            </w:tcBorders>
          </w:tcPr>
          <w:p w14:paraId="125C61A8" w14:textId="77777777" w:rsidR="00C90237" w:rsidRDefault="00000000" w:rsidP="00EE76F5">
            <w:pPr>
              <w:pStyle w:val="af"/>
            </w:pPr>
            <w:r>
              <w:t>22.643</w:t>
            </w:r>
          </w:p>
        </w:tc>
        <w:tc>
          <w:tcPr>
            <w:tcW w:w="703" w:type="pct"/>
            <w:tcBorders>
              <w:top w:val="single" w:sz="4" w:space="0" w:color="auto"/>
            </w:tcBorders>
          </w:tcPr>
          <w:p w14:paraId="7D1B1FFA" w14:textId="77777777" w:rsidR="00C90237" w:rsidRDefault="00000000" w:rsidP="00EE76F5">
            <w:pPr>
              <w:pStyle w:val="af"/>
            </w:pPr>
            <w:r>
              <w:t>0.972</w:t>
            </w:r>
          </w:p>
        </w:tc>
      </w:tr>
      <w:tr w:rsidR="00C90237" w14:paraId="3C4A2668" w14:textId="77777777" w:rsidTr="00EE76F5">
        <w:tc>
          <w:tcPr>
            <w:tcW w:w="963" w:type="pct"/>
          </w:tcPr>
          <w:p w14:paraId="59F95869" w14:textId="77777777" w:rsidR="00C90237" w:rsidRDefault="00000000" w:rsidP="00EE76F5">
            <w:pPr>
              <w:pStyle w:val="af"/>
            </w:pPr>
            <w:r>
              <w:t>Lev</w:t>
            </w:r>
          </w:p>
        </w:tc>
        <w:tc>
          <w:tcPr>
            <w:tcW w:w="2676" w:type="pct"/>
          </w:tcPr>
          <w:p w14:paraId="4DC195B3" w14:textId="77777777" w:rsidR="00C90237" w:rsidRDefault="00000000" w:rsidP="00EE76F5">
            <w:pPr>
              <w:pStyle w:val="af"/>
            </w:pPr>
            <w:r>
              <w:t>总负债</w:t>
            </w:r>
            <w:r>
              <w:t>/</w:t>
            </w:r>
            <w:r>
              <w:t>总资产</w:t>
            </w:r>
          </w:p>
        </w:tc>
        <w:tc>
          <w:tcPr>
            <w:tcW w:w="658" w:type="pct"/>
          </w:tcPr>
          <w:p w14:paraId="1698E0E7" w14:textId="77777777" w:rsidR="00C90237" w:rsidRDefault="00000000" w:rsidP="00EE76F5">
            <w:pPr>
              <w:pStyle w:val="af"/>
            </w:pPr>
            <w:r>
              <w:t>0.434</w:t>
            </w:r>
          </w:p>
        </w:tc>
        <w:tc>
          <w:tcPr>
            <w:tcW w:w="703" w:type="pct"/>
          </w:tcPr>
          <w:p w14:paraId="01F8AE7A" w14:textId="77777777" w:rsidR="00C90237" w:rsidRDefault="00000000" w:rsidP="00EE76F5">
            <w:pPr>
              <w:pStyle w:val="af"/>
            </w:pPr>
            <w:r>
              <w:t>0.205</w:t>
            </w:r>
          </w:p>
        </w:tc>
      </w:tr>
      <w:tr w:rsidR="00C90237" w14:paraId="47125356" w14:textId="77777777" w:rsidTr="00EE76F5">
        <w:tc>
          <w:tcPr>
            <w:tcW w:w="963" w:type="pct"/>
          </w:tcPr>
          <w:p w14:paraId="03B04472" w14:textId="77777777" w:rsidR="00C90237" w:rsidRDefault="00000000" w:rsidP="00EE76F5">
            <w:pPr>
              <w:pStyle w:val="af"/>
            </w:pPr>
            <w:r>
              <w:t>ROA</w:t>
            </w:r>
          </w:p>
        </w:tc>
        <w:tc>
          <w:tcPr>
            <w:tcW w:w="2676" w:type="pct"/>
          </w:tcPr>
          <w:p w14:paraId="1C3E79AC" w14:textId="77777777" w:rsidR="00C90237" w:rsidRDefault="00000000" w:rsidP="00EE76F5">
            <w:pPr>
              <w:pStyle w:val="af"/>
            </w:pPr>
            <w:r>
              <w:t>净利润</w:t>
            </w:r>
            <w:r>
              <w:t>/</w:t>
            </w:r>
            <w:r>
              <w:t>总资产</w:t>
            </w:r>
          </w:p>
        </w:tc>
        <w:tc>
          <w:tcPr>
            <w:tcW w:w="658" w:type="pct"/>
          </w:tcPr>
          <w:p w14:paraId="23CE6E10" w14:textId="77777777" w:rsidR="00C90237" w:rsidRDefault="00000000" w:rsidP="00EE76F5">
            <w:pPr>
              <w:pStyle w:val="af"/>
            </w:pPr>
            <w:r>
              <w:t>0.027</w:t>
            </w:r>
          </w:p>
        </w:tc>
        <w:tc>
          <w:tcPr>
            <w:tcW w:w="703" w:type="pct"/>
          </w:tcPr>
          <w:p w14:paraId="41612697" w14:textId="77777777" w:rsidR="00C90237" w:rsidRDefault="00000000" w:rsidP="00EE76F5">
            <w:pPr>
              <w:pStyle w:val="af"/>
            </w:pPr>
            <w:r>
              <w:t>0.068</w:t>
            </w:r>
          </w:p>
        </w:tc>
      </w:tr>
      <w:tr w:rsidR="00C90237" w14:paraId="5A611682" w14:textId="77777777" w:rsidTr="00EE76F5">
        <w:tc>
          <w:tcPr>
            <w:tcW w:w="963" w:type="pct"/>
          </w:tcPr>
          <w:p w14:paraId="2513D3F9" w14:textId="77777777" w:rsidR="00C90237" w:rsidRDefault="00000000" w:rsidP="00EE76F5">
            <w:pPr>
              <w:pStyle w:val="af"/>
            </w:pPr>
            <w:r>
              <w:t>TobinQ</w:t>
            </w:r>
          </w:p>
        </w:tc>
        <w:tc>
          <w:tcPr>
            <w:tcW w:w="2676" w:type="pct"/>
          </w:tcPr>
          <w:p w14:paraId="04B7C71C" w14:textId="77777777" w:rsidR="00C90237" w:rsidRDefault="00000000" w:rsidP="00EE76F5">
            <w:pPr>
              <w:pStyle w:val="af"/>
            </w:pPr>
            <w:r>
              <w:t>(</w:t>
            </w:r>
            <w:r>
              <w:t>股权市值</w:t>
            </w:r>
            <w:r>
              <w:t>+</w:t>
            </w:r>
            <w:r>
              <w:t>负债账面值</w:t>
            </w:r>
            <w:r>
              <w:t>)/</w:t>
            </w:r>
            <w:r>
              <w:t>总资产</w:t>
            </w:r>
          </w:p>
        </w:tc>
        <w:tc>
          <w:tcPr>
            <w:tcW w:w="658" w:type="pct"/>
          </w:tcPr>
          <w:p w14:paraId="195E33DF" w14:textId="77777777" w:rsidR="00C90237" w:rsidRDefault="00000000" w:rsidP="00EE76F5">
            <w:pPr>
              <w:pStyle w:val="af"/>
            </w:pPr>
            <w:r>
              <w:t>2.027</w:t>
            </w:r>
          </w:p>
        </w:tc>
        <w:tc>
          <w:tcPr>
            <w:tcW w:w="703" w:type="pct"/>
          </w:tcPr>
          <w:p w14:paraId="4DF8BC6A" w14:textId="77777777" w:rsidR="00C90237" w:rsidRDefault="00000000" w:rsidP="00EE76F5">
            <w:pPr>
              <w:pStyle w:val="af"/>
            </w:pPr>
            <w:r>
              <w:t>1.314</w:t>
            </w:r>
          </w:p>
        </w:tc>
      </w:tr>
      <w:tr w:rsidR="00C90237" w14:paraId="044F70B8" w14:textId="77777777" w:rsidTr="00EE76F5">
        <w:tc>
          <w:tcPr>
            <w:tcW w:w="963" w:type="pct"/>
          </w:tcPr>
          <w:p w14:paraId="59A9578F" w14:textId="77777777" w:rsidR="00C90237" w:rsidRDefault="00000000" w:rsidP="00EE76F5">
            <w:pPr>
              <w:pStyle w:val="af"/>
            </w:pPr>
            <w:r>
              <w:t>Age</w:t>
            </w:r>
          </w:p>
        </w:tc>
        <w:tc>
          <w:tcPr>
            <w:tcW w:w="2676" w:type="pct"/>
          </w:tcPr>
          <w:p w14:paraId="5090FD16" w14:textId="77777777" w:rsidR="00C90237" w:rsidRDefault="00000000" w:rsidP="00EE76F5">
            <w:pPr>
              <w:pStyle w:val="af"/>
            </w:pPr>
            <w:r>
              <w:t>ln(</w:t>
            </w:r>
            <w:r>
              <w:t>当年</w:t>
            </w:r>
            <w:r>
              <w:t>-</w:t>
            </w:r>
            <w:r>
              <w:t>上市年份</w:t>
            </w:r>
            <w:r>
              <w:t>+1)</w:t>
            </w:r>
          </w:p>
        </w:tc>
        <w:tc>
          <w:tcPr>
            <w:tcW w:w="658" w:type="pct"/>
          </w:tcPr>
          <w:p w14:paraId="654A23A9" w14:textId="77777777" w:rsidR="00C90237" w:rsidRDefault="00000000" w:rsidP="00EE76F5">
            <w:pPr>
              <w:pStyle w:val="af"/>
            </w:pPr>
            <w:r>
              <w:t>2.282</w:t>
            </w:r>
          </w:p>
        </w:tc>
        <w:tc>
          <w:tcPr>
            <w:tcW w:w="703" w:type="pct"/>
          </w:tcPr>
          <w:p w14:paraId="6846EF19" w14:textId="77777777" w:rsidR="00C90237" w:rsidRDefault="00000000" w:rsidP="00EE76F5">
            <w:pPr>
              <w:pStyle w:val="af"/>
            </w:pPr>
            <w:r>
              <w:t>0.635</w:t>
            </w:r>
          </w:p>
        </w:tc>
      </w:tr>
      <w:tr w:rsidR="00C90237" w14:paraId="7C635263" w14:textId="77777777" w:rsidTr="00EE76F5">
        <w:tc>
          <w:tcPr>
            <w:tcW w:w="963" w:type="pct"/>
          </w:tcPr>
          <w:p w14:paraId="76A40620" w14:textId="77777777" w:rsidR="00C90237" w:rsidRDefault="00000000" w:rsidP="00EE76F5">
            <w:pPr>
              <w:pStyle w:val="af"/>
            </w:pPr>
            <w:r>
              <w:t>Growth</w:t>
            </w:r>
          </w:p>
        </w:tc>
        <w:tc>
          <w:tcPr>
            <w:tcW w:w="2676" w:type="pct"/>
          </w:tcPr>
          <w:p w14:paraId="0D8BFE2D" w14:textId="77777777" w:rsidR="00C90237" w:rsidRDefault="00000000" w:rsidP="00EE76F5">
            <w:pPr>
              <w:pStyle w:val="af"/>
            </w:pPr>
            <w:r>
              <w:t>营收增长率</w:t>
            </w:r>
          </w:p>
        </w:tc>
        <w:tc>
          <w:tcPr>
            <w:tcW w:w="658" w:type="pct"/>
          </w:tcPr>
          <w:p w14:paraId="4EA2C443" w14:textId="77777777" w:rsidR="00C90237" w:rsidRDefault="00000000" w:rsidP="00EE76F5">
            <w:pPr>
              <w:pStyle w:val="af"/>
            </w:pPr>
            <w:r>
              <w:t>0.127</w:t>
            </w:r>
          </w:p>
        </w:tc>
        <w:tc>
          <w:tcPr>
            <w:tcW w:w="703" w:type="pct"/>
          </w:tcPr>
          <w:p w14:paraId="555015DB" w14:textId="77777777" w:rsidR="00C90237" w:rsidRDefault="00000000" w:rsidP="00EE76F5">
            <w:pPr>
              <w:pStyle w:val="af"/>
            </w:pPr>
            <w:r>
              <w:t>0.371</w:t>
            </w:r>
          </w:p>
        </w:tc>
      </w:tr>
      <w:tr w:rsidR="00C90237" w14:paraId="64AD7FF3" w14:textId="77777777" w:rsidTr="00EE76F5">
        <w:tc>
          <w:tcPr>
            <w:tcW w:w="963" w:type="pct"/>
          </w:tcPr>
          <w:p w14:paraId="095CAC62" w14:textId="77777777" w:rsidR="00C90237" w:rsidRDefault="00000000" w:rsidP="00EE76F5">
            <w:pPr>
              <w:pStyle w:val="af"/>
            </w:pPr>
            <w:r>
              <w:t>BoardSize</w:t>
            </w:r>
          </w:p>
        </w:tc>
        <w:tc>
          <w:tcPr>
            <w:tcW w:w="2676" w:type="pct"/>
          </w:tcPr>
          <w:p w14:paraId="434DEE37" w14:textId="77777777" w:rsidR="00C90237" w:rsidRDefault="00000000" w:rsidP="00EE76F5">
            <w:pPr>
              <w:pStyle w:val="af"/>
            </w:pPr>
            <w:r>
              <w:t>ln(</w:t>
            </w:r>
            <w:r>
              <w:t>董事会人数</w:t>
            </w:r>
            <w:r>
              <w:t>)</w:t>
            </w:r>
          </w:p>
        </w:tc>
        <w:tc>
          <w:tcPr>
            <w:tcW w:w="658" w:type="pct"/>
          </w:tcPr>
          <w:p w14:paraId="1FB879D1" w14:textId="77777777" w:rsidR="00C90237" w:rsidRDefault="00000000" w:rsidP="00EE76F5">
            <w:pPr>
              <w:pStyle w:val="af"/>
            </w:pPr>
            <w:r>
              <w:t>2.109</w:t>
            </w:r>
          </w:p>
        </w:tc>
        <w:tc>
          <w:tcPr>
            <w:tcW w:w="703" w:type="pct"/>
          </w:tcPr>
          <w:p w14:paraId="0326057F" w14:textId="77777777" w:rsidR="00C90237" w:rsidRDefault="00000000" w:rsidP="00EE76F5">
            <w:pPr>
              <w:pStyle w:val="af"/>
            </w:pPr>
            <w:r>
              <w:t>0.198</w:t>
            </w:r>
          </w:p>
        </w:tc>
      </w:tr>
      <w:tr w:rsidR="00C90237" w14:paraId="0C48DB4F" w14:textId="77777777" w:rsidTr="000C6EF8">
        <w:tc>
          <w:tcPr>
            <w:tcW w:w="963" w:type="pct"/>
          </w:tcPr>
          <w:p w14:paraId="6F126A90" w14:textId="77777777" w:rsidR="00C90237" w:rsidRDefault="00000000" w:rsidP="00EE76F5">
            <w:pPr>
              <w:pStyle w:val="af"/>
            </w:pPr>
            <w:r>
              <w:t>IndepRatio</w:t>
            </w:r>
          </w:p>
        </w:tc>
        <w:tc>
          <w:tcPr>
            <w:tcW w:w="2676" w:type="pct"/>
            <w:tcBorders>
              <w:bottom w:val="single" w:sz="4" w:space="0" w:color="auto"/>
            </w:tcBorders>
          </w:tcPr>
          <w:p w14:paraId="308F0CA0" w14:textId="77777777" w:rsidR="00C90237" w:rsidRDefault="00000000" w:rsidP="00EE76F5">
            <w:pPr>
              <w:pStyle w:val="af"/>
            </w:pPr>
            <w:r>
              <w:t>独立董事人数</w:t>
            </w:r>
            <w:r>
              <w:t>/</w:t>
            </w:r>
            <w:r>
              <w:t>董事会总人数</w:t>
            </w:r>
          </w:p>
        </w:tc>
        <w:tc>
          <w:tcPr>
            <w:tcW w:w="658" w:type="pct"/>
          </w:tcPr>
          <w:p w14:paraId="7AE428C5" w14:textId="77777777" w:rsidR="00C90237" w:rsidRDefault="00000000" w:rsidP="00EE76F5">
            <w:pPr>
              <w:pStyle w:val="af"/>
            </w:pPr>
            <w:r>
              <w:t>0.379</w:t>
            </w:r>
          </w:p>
        </w:tc>
        <w:tc>
          <w:tcPr>
            <w:tcW w:w="703" w:type="pct"/>
          </w:tcPr>
          <w:p w14:paraId="1DFCF4D2" w14:textId="77777777" w:rsidR="00C90237" w:rsidRDefault="00000000" w:rsidP="00EE76F5">
            <w:pPr>
              <w:pStyle w:val="af"/>
            </w:pPr>
            <w:r>
              <w:t>0.054</w:t>
            </w:r>
          </w:p>
        </w:tc>
      </w:tr>
      <w:tr w:rsidR="00C90237" w14:paraId="3E147D0D" w14:textId="77777777" w:rsidTr="000C6EF8">
        <w:tc>
          <w:tcPr>
            <w:tcW w:w="963" w:type="pct"/>
          </w:tcPr>
          <w:p w14:paraId="62120FF5" w14:textId="77777777" w:rsidR="00C90237" w:rsidRDefault="00000000" w:rsidP="00EE76F5">
            <w:pPr>
              <w:pStyle w:val="af"/>
            </w:pPr>
            <w:r>
              <w:t>Dual</w:t>
            </w:r>
          </w:p>
        </w:tc>
        <w:tc>
          <w:tcPr>
            <w:tcW w:w="2676" w:type="pct"/>
            <w:tcBorders>
              <w:top w:val="single" w:sz="4" w:space="0" w:color="auto"/>
            </w:tcBorders>
          </w:tcPr>
          <w:p w14:paraId="69FB14ED" w14:textId="77777777" w:rsidR="00C90237" w:rsidRDefault="00000000" w:rsidP="00EE76F5">
            <w:pPr>
              <w:pStyle w:val="af"/>
            </w:pPr>
            <w:r>
              <w:t>董事长兼任</w:t>
            </w:r>
            <w:r>
              <w:t>CEO</w:t>
            </w:r>
            <w:r>
              <w:t>取</w:t>
            </w:r>
            <w:r>
              <w:t>1</w:t>
            </w:r>
            <w:r>
              <w:t>，否则为</w:t>
            </w:r>
            <w:r>
              <w:t>0</w:t>
            </w:r>
          </w:p>
        </w:tc>
        <w:tc>
          <w:tcPr>
            <w:tcW w:w="658" w:type="pct"/>
          </w:tcPr>
          <w:p w14:paraId="605EA9A7" w14:textId="77777777" w:rsidR="00C90237" w:rsidRDefault="00000000" w:rsidP="00EE76F5">
            <w:pPr>
              <w:pStyle w:val="af"/>
            </w:pPr>
            <w:r>
              <w:t>0.287</w:t>
            </w:r>
          </w:p>
        </w:tc>
        <w:tc>
          <w:tcPr>
            <w:tcW w:w="703" w:type="pct"/>
          </w:tcPr>
          <w:p w14:paraId="2A9F588A" w14:textId="77777777" w:rsidR="00C90237" w:rsidRDefault="00000000" w:rsidP="00EE76F5">
            <w:pPr>
              <w:pStyle w:val="af"/>
            </w:pPr>
            <w:r>
              <w:t>0.453</w:t>
            </w:r>
          </w:p>
        </w:tc>
      </w:tr>
      <w:tr w:rsidR="00C90237" w14:paraId="10FB192D" w14:textId="77777777" w:rsidTr="00EE76F5">
        <w:tc>
          <w:tcPr>
            <w:tcW w:w="963" w:type="pct"/>
          </w:tcPr>
          <w:p w14:paraId="330E2A2C" w14:textId="77777777" w:rsidR="00C90237" w:rsidRDefault="00000000" w:rsidP="00EE76F5">
            <w:pPr>
              <w:pStyle w:val="af"/>
            </w:pPr>
            <w:r>
              <w:t>Top1Share</w:t>
            </w:r>
          </w:p>
        </w:tc>
        <w:tc>
          <w:tcPr>
            <w:tcW w:w="2676" w:type="pct"/>
          </w:tcPr>
          <w:p w14:paraId="4174BAA4" w14:textId="77777777" w:rsidR="00C90237" w:rsidRDefault="00000000" w:rsidP="00EE76F5">
            <w:pPr>
              <w:pStyle w:val="af"/>
            </w:pPr>
            <w:r>
              <w:t>第一大股东持股比例</w:t>
            </w:r>
          </w:p>
        </w:tc>
        <w:tc>
          <w:tcPr>
            <w:tcW w:w="658" w:type="pct"/>
          </w:tcPr>
          <w:p w14:paraId="36290B8E" w14:textId="77777777" w:rsidR="00C90237" w:rsidRDefault="00000000" w:rsidP="00EE76F5">
            <w:pPr>
              <w:pStyle w:val="af"/>
            </w:pPr>
            <w:r>
              <w:t>33.034</w:t>
            </w:r>
          </w:p>
        </w:tc>
        <w:tc>
          <w:tcPr>
            <w:tcW w:w="703" w:type="pct"/>
          </w:tcPr>
          <w:p w14:paraId="5FAD2897" w14:textId="77777777" w:rsidR="00C90237" w:rsidRDefault="00000000" w:rsidP="00EE76F5">
            <w:pPr>
              <w:pStyle w:val="af"/>
            </w:pPr>
            <w:r>
              <w:t>14.756</w:t>
            </w:r>
          </w:p>
        </w:tc>
      </w:tr>
      <w:tr w:rsidR="00C90237" w14:paraId="4A8A93BA" w14:textId="77777777" w:rsidTr="00EE76F5">
        <w:tc>
          <w:tcPr>
            <w:tcW w:w="963" w:type="pct"/>
          </w:tcPr>
          <w:p w14:paraId="0C01918B" w14:textId="77777777" w:rsidR="00C90237" w:rsidRDefault="00000000" w:rsidP="00EE76F5">
            <w:pPr>
              <w:pStyle w:val="af"/>
            </w:pPr>
            <w:r>
              <w:t>SOE</w:t>
            </w:r>
          </w:p>
        </w:tc>
        <w:tc>
          <w:tcPr>
            <w:tcW w:w="2676" w:type="pct"/>
          </w:tcPr>
          <w:p w14:paraId="33392BD5" w14:textId="77777777" w:rsidR="00C90237" w:rsidRDefault="00000000" w:rsidP="00EE76F5">
            <w:pPr>
              <w:pStyle w:val="af"/>
            </w:pPr>
            <w:r>
              <w:t>国有企业取</w:t>
            </w:r>
            <w:r>
              <w:t>1</w:t>
            </w:r>
            <w:r>
              <w:t>，否则为</w:t>
            </w:r>
            <w:r>
              <w:t>0</w:t>
            </w:r>
          </w:p>
        </w:tc>
        <w:tc>
          <w:tcPr>
            <w:tcW w:w="658" w:type="pct"/>
          </w:tcPr>
          <w:p w14:paraId="335355E8" w14:textId="77777777" w:rsidR="00C90237" w:rsidRDefault="00000000" w:rsidP="00EE76F5">
            <w:pPr>
              <w:pStyle w:val="af"/>
            </w:pPr>
            <w:r>
              <w:t>0.340</w:t>
            </w:r>
          </w:p>
        </w:tc>
        <w:tc>
          <w:tcPr>
            <w:tcW w:w="703" w:type="pct"/>
          </w:tcPr>
          <w:p w14:paraId="1F1382B8" w14:textId="77777777" w:rsidR="00C90237" w:rsidRDefault="00000000" w:rsidP="00EE76F5">
            <w:pPr>
              <w:pStyle w:val="af"/>
            </w:pPr>
            <w:r>
              <w:t>0.474</w:t>
            </w:r>
          </w:p>
        </w:tc>
      </w:tr>
      <w:tr w:rsidR="00C90237" w14:paraId="5F02A9AF" w14:textId="77777777" w:rsidTr="00EE76F5">
        <w:tc>
          <w:tcPr>
            <w:tcW w:w="963" w:type="pct"/>
          </w:tcPr>
          <w:p w14:paraId="415219F7" w14:textId="77777777" w:rsidR="00C90237" w:rsidRDefault="00000000" w:rsidP="00EE76F5">
            <w:pPr>
              <w:pStyle w:val="af"/>
            </w:pPr>
            <w:r>
              <w:t>InstHold</w:t>
            </w:r>
          </w:p>
        </w:tc>
        <w:tc>
          <w:tcPr>
            <w:tcW w:w="2676" w:type="pct"/>
          </w:tcPr>
          <w:p w14:paraId="05BAF8F1" w14:textId="77777777" w:rsidR="00C90237" w:rsidRDefault="00000000" w:rsidP="00EE76F5">
            <w:pPr>
              <w:pStyle w:val="af"/>
            </w:pPr>
            <w:r>
              <w:t>机构投资者持股比例</w:t>
            </w:r>
          </w:p>
        </w:tc>
        <w:tc>
          <w:tcPr>
            <w:tcW w:w="658" w:type="pct"/>
          </w:tcPr>
          <w:p w14:paraId="70ECF1B7" w14:textId="77777777" w:rsidR="00C90237" w:rsidRDefault="00000000" w:rsidP="00EE76F5">
            <w:pPr>
              <w:pStyle w:val="af"/>
            </w:pPr>
            <w:r>
              <w:t>42.081</w:t>
            </w:r>
          </w:p>
        </w:tc>
        <w:tc>
          <w:tcPr>
            <w:tcW w:w="703" w:type="pct"/>
          </w:tcPr>
          <w:p w14:paraId="4D01F436" w14:textId="77777777" w:rsidR="00C90237" w:rsidRDefault="00000000" w:rsidP="00EE76F5">
            <w:pPr>
              <w:pStyle w:val="af"/>
            </w:pPr>
            <w:r>
              <w:t>24.331</w:t>
            </w:r>
          </w:p>
        </w:tc>
      </w:tr>
      <w:tr w:rsidR="00C90237" w14:paraId="5EE2CF0F" w14:textId="77777777" w:rsidTr="00EE76F5">
        <w:tc>
          <w:tcPr>
            <w:tcW w:w="963" w:type="pct"/>
          </w:tcPr>
          <w:p w14:paraId="04349843" w14:textId="77777777" w:rsidR="00C90237" w:rsidRDefault="00000000" w:rsidP="00EE76F5">
            <w:pPr>
              <w:pStyle w:val="af"/>
            </w:pPr>
            <w:r>
              <w:t>Amihud</w:t>
            </w:r>
          </w:p>
        </w:tc>
        <w:tc>
          <w:tcPr>
            <w:tcW w:w="2676" w:type="pct"/>
          </w:tcPr>
          <w:p w14:paraId="70C1F537" w14:textId="77777777" w:rsidR="00C90237" w:rsidRDefault="00000000" w:rsidP="00EE76F5">
            <w:pPr>
              <w:pStyle w:val="af"/>
            </w:pPr>
            <w:r>
              <w:t>Amihud</w:t>
            </w:r>
            <w:r>
              <w:t>非流动性指标</w:t>
            </w:r>
          </w:p>
        </w:tc>
        <w:tc>
          <w:tcPr>
            <w:tcW w:w="658" w:type="pct"/>
          </w:tcPr>
          <w:p w14:paraId="5BE925A1" w14:textId="77777777" w:rsidR="00C90237" w:rsidRDefault="00000000" w:rsidP="00EE76F5">
            <w:pPr>
              <w:pStyle w:val="af"/>
            </w:pPr>
            <w:r>
              <w:t>0.042</w:t>
            </w:r>
          </w:p>
        </w:tc>
        <w:tc>
          <w:tcPr>
            <w:tcW w:w="703" w:type="pct"/>
          </w:tcPr>
          <w:p w14:paraId="1A558BD9" w14:textId="77777777" w:rsidR="00C90237" w:rsidRDefault="00000000" w:rsidP="00EE76F5">
            <w:pPr>
              <w:pStyle w:val="af"/>
            </w:pPr>
            <w:r>
              <w:t>0.043</w:t>
            </w:r>
          </w:p>
        </w:tc>
      </w:tr>
      <w:tr w:rsidR="00C90237" w14:paraId="0130867D" w14:textId="77777777" w:rsidTr="00EE76F5">
        <w:tc>
          <w:tcPr>
            <w:tcW w:w="963" w:type="pct"/>
          </w:tcPr>
          <w:p w14:paraId="3E2E5A60" w14:textId="77777777" w:rsidR="00C90237" w:rsidRDefault="00000000" w:rsidP="00EE76F5">
            <w:pPr>
              <w:pStyle w:val="af"/>
            </w:pPr>
            <w:r>
              <w:t>Analyst</w:t>
            </w:r>
          </w:p>
        </w:tc>
        <w:tc>
          <w:tcPr>
            <w:tcW w:w="2676" w:type="pct"/>
          </w:tcPr>
          <w:p w14:paraId="134DEC3F" w14:textId="77777777" w:rsidR="00C90237" w:rsidRDefault="00000000" w:rsidP="00EE76F5">
            <w:pPr>
              <w:pStyle w:val="af"/>
            </w:pPr>
            <w:r>
              <w:t>ln(1+</w:t>
            </w:r>
            <w:r>
              <w:t>跟踪分析师人数</w:t>
            </w:r>
            <w:r>
              <w:t>)</w:t>
            </w:r>
          </w:p>
        </w:tc>
        <w:tc>
          <w:tcPr>
            <w:tcW w:w="658" w:type="pct"/>
          </w:tcPr>
          <w:p w14:paraId="2F6CD86C" w14:textId="77777777" w:rsidR="00C90237" w:rsidRDefault="00000000" w:rsidP="00EE76F5">
            <w:pPr>
              <w:pStyle w:val="af"/>
            </w:pPr>
            <w:r>
              <w:t>2.489</w:t>
            </w:r>
          </w:p>
        </w:tc>
        <w:tc>
          <w:tcPr>
            <w:tcW w:w="703" w:type="pct"/>
          </w:tcPr>
          <w:p w14:paraId="7DB76F29" w14:textId="77777777" w:rsidR="00C90237" w:rsidRDefault="00000000" w:rsidP="00EE76F5">
            <w:pPr>
              <w:pStyle w:val="af"/>
            </w:pPr>
            <w:r>
              <w:t>1.739</w:t>
            </w:r>
          </w:p>
        </w:tc>
      </w:tr>
      <w:tr w:rsidR="00C90237" w14:paraId="44D3CED4" w14:textId="77777777" w:rsidTr="00EE76F5">
        <w:tc>
          <w:tcPr>
            <w:tcW w:w="963" w:type="pct"/>
          </w:tcPr>
          <w:p w14:paraId="3DA41000" w14:textId="77777777" w:rsidR="00C90237" w:rsidRDefault="00000000" w:rsidP="00EE76F5">
            <w:pPr>
              <w:pStyle w:val="af"/>
            </w:pPr>
            <w:r>
              <w:t>AuditType</w:t>
            </w:r>
          </w:p>
        </w:tc>
        <w:tc>
          <w:tcPr>
            <w:tcW w:w="2676" w:type="pct"/>
          </w:tcPr>
          <w:p w14:paraId="5A069861" w14:textId="77777777" w:rsidR="00C90237" w:rsidRDefault="00000000" w:rsidP="00EE76F5">
            <w:pPr>
              <w:pStyle w:val="af"/>
            </w:pPr>
            <w:r>
              <w:t>标准无保留意见取</w:t>
            </w:r>
            <w:r>
              <w:t>1</w:t>
            </w:r>
            <w:r>
              <w:t>，否则为</w:t>
            </w:r>
            <w:r>
              <w:t>0</w:t>
            </w:r>
          </w:p>
        </w:tc>
        <w:tc>
          <w:tcPr>
            <w:tcW w:w="658" w:type="pct"/>
          </w:tcPr>
          <w:p w14:paraId="4A10B860" w14:textId="77777777" w:rsidR="00C90237" w:rsidRDefault="00000000" w:rsidP="00EE76F5">
            <w:pPr>
              <w:pStyle w:val="af"/>
            </w:pPr>
            <w:r>
              <w:t>0.963</w:t>
            </w:r>
          </w:p>
        </w:tc>
        <w:tc>
          <w:tcPr>
            <w:tcW w:w="703" w:type="pct"/>
          </w:tcPr>
          <w:p w14:paraId="7E7E0D5E" w14:textId="77777777" w:rsidR="00C90237" w:rsidRDefault="00000000" w:rsidP="00EE76F5">
            <w:pPr>
              <w:pStyle w:val="af"/>
            </w:pPr>
            <w:r>
              <w:t>0.188</w:t>
            </w:r>
          </w:p>
        </w:tc>
      </w:tr>
    </w:tbl>
    <w:p w14:paraId="0CB26247" w14:textId="77777777" w:rsidR="00C90237" w:rsidRDefault="00000000" w:rsidP="00EE76F5">
      <w:pPr>
        <w:ind w:firstLine="480"/>
      </w:pPr>
      <w:r>
        <w:t>上述控制变量的选择参照股价延迟研究的通行做法，分别控制了可能同时影响数据要素利用和定价效率的多个维度。</w:t>
      </w:r>
    </w:p>
    <w:p w14:paraId="3270E74E" w14:textId="77777777" w:rsidR="00C90237" w:rsidRDefault="00000000" w:rsidP="00EE76F5">
      <w:pPr>
        <w:ind w:firstLine="480"/>
      </w:pPr>
      <w:r>
        <w:t>机制分析中另纳入三个中介变量：</w:t>
      </w:r>
      <w:r>
        <w:t>Analyst</w:t>
      </w:r>
      <w:r>
        <w:t>（分析师覆盖对数），反映信息中介活跃度；</w:t>
      </w:r>
      <w:r>
        <w:t>FinAsset</w:t>
      </w:r>
      <w:r>
        <w:t>（金融资产占比），反映数据驱动决策对企业投资行为的影响；</w:t>
      </w:r>
      <w:r>
        <w:t>InstHold</w:t>
      </w:r>
      <w:r>
        <w:t>（机构持股比例），反映机构投资者对数据要素利用信息的评价。</w:t>
      </w:r>
    </w:p>
    <w:p w14:paraId="306666F1" w14:textId="77777777" w:rsidR="00C90237" w:rsidRDefault="00000000" w:rsidP="00EE76F5">
      <w:pPr>
        <w:pStyle w:val="3"/>
        <w:numPr>
          <w:ilvl w:val="0"/>
          <w:numId w:val="0"/>
        </w:numPr>
      </w:pPr>
      <w:bookmarkStart w:id="13" w:name="四模型设定"/>
      <w:r>
        <w:t>（四）模型设定</w:t>
      </w:r>
      <w:bookmarkEnd w:id="13"/>
    </w:p>
    <w:p w14:paraId="6387E997" w14:textId="77777777" w:rsidR="00C90237" w:rsidRDefault="00000000" w:rsidP="00EE76F5">
      <w:pPr>
        <w:ind w:firstLine="480"/>
      </w:pPr>
      <w:r>
        <w:t>本文构建基准回归模型设定如下：</w:t>
      </w:r>
    </w:p>
    <w:p w14:paraId="70192EFA" w14:textId="77777777" w:rsidR="00C90237" w:rsidRDefault="00000000" w:rsidP="00EE76F5">
      <w:pPr>
        <w:ind w:firstLine="480"/>
      </w:pPr>
      <m:oMathPara>
        <m:oMathParaPr>
          <m:jc m:val="center"/>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kw,i,t-1</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112C26F5" w14:textId="77777777" w:rsidR="00C90237" w:rsidRDefault="00000000" w:rsidP="00EE76F5">
      <w:pPr>
        <w:ind w:firstLine="480"/>
      </w:pPr>
      <w:r>
        <w:t>其中</w:t>
      </w:r>
      <w:r>
        <w:t>$_i$</w:t>
      </w:r>
      <w:r>
        <w:t>为企业固定效应，控制不随时间变化的企业禀赋特征；</w:t>
      </w:r>
      <w:r>
        <w:t>$_t$</w:t>
      </w:r>
      <w:r>
        <w:t>为年份固定效应，控制宏观环境的共同变化。两向固定效应设定有效剔除了企业的时不变特征和年度共性冲击，大幅降低了遗漏变量偏差的风险。标准误聚类采用行业</w:t>
      </w:r>
      <w:r>
        <w:t>×</w:t>
      </w:r>
      <w:r>
        <w:t>年份双向聚类，允许同行业同年度企业的残差存在相关性。</w:t>
      </w:r>
    </w:p>
    <w:p w14:paraId="65DF3B53" w14:textId="77777777" w:rsidR="00C90237" w:rsidRDefault="00000000" w:rsidP="00EE76F5">
      <w:pPr>
        <w:ind w:firstLine="480"/>
      </w:pPr>
      <w:r>
        <w:t>本文报告两种主要模型规格：模型</w:t>
      </w:r>
      <w:r>
        <w:t>(1)</w:t>
      </w:r>
      <w:r>
        <w:t>仅含</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和固定效应，模型</w:t>
      </w:r>
      <w:r>
        <w:t>(2)</w:t>
      </w:r>
      <w:r>
        <w:t>加入全部</w:t>
      </w:r>
      <w:r>
        <w:t>15</w:t>
      </w:r>
      <w:r>
        <w:t>个控制变量。备选规格采用行业</w:t>
      </w:r>
      <w:r>
        <w:t>+</w:t>
      </w:r>
      <w:r>
        <w:t>年份固定效应以检验结论的敏感性。根据</w:t>
      </w:r>
      <w:r>
        <w:t>H1a</w:t>
      </w:r>
      <w:r>
        <w:t>的理论预期，若信息供给效应占主导，</w:t>
      </w:r>
      <m:oMath>
        <m:r>
          <w:rPr>
            <w:rFonts w:ascii="Cambria Math" w:hAnsi="Cambria Math"/>
          </w:rPr>
          <m:t>β</m:t>
        </m:r>
      </m:oMath>
      <w:r>
        <w:t>应显著为负。</w:t>
      </w:r>
    </w:p>
    <w:p w14:paraId="3FF3D371" w14:textId="77777777" w:rsidR="00C90237" w:rsidRDefault="00000000" w:rsidP="00EE76F5">
      <w:pPr>
        <w:ind w:firstLine="480"/>
      </w:pPr>
      <w:r>
        <w:t>机制检验沿用相同的面板设定，将中介变量替代因变量：</w:t>
      </w:r>
    </w:p>
    <w:p w14:paraId="08036C4C"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kw,i,t-1</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065E55B6" w14:textId="77777777" w:rsidR="00C90237" w:rsidRDefault="00000000" w:rsidP="00EE76F5">
      <w:pPr>
        <w:ind w:firstLine="480"/>
      </w:pPr>
      <w:r>
        <w:lastRenderedPageBreak/>
        <w:t>其中</w:t>
      </w:r>
      <w:r>
        <w:t>M</w:t>
      </w:r>
      <w:r>
        <w:t>分别为</w:t>
      </w:r>
      <w:r>
        <w:t>Analyst</w:t>
      </w:r>
      <w:r>
        <w:t>、</w:t>
      </w:r>
      <w:r>
        <w:t>FinAsset</w:t>
      </w:r>
      <w:r>
        <w:t>和</w:t>
      </w:r>
      <w:r>
        <w:t>InstHold</w:t>
      </w:r>
      <w:r>
        <w:t>。本文采用路径系数的直接呈现而非</w:t>
      </w:r>
      <w:r>
        <w:t>Sobel</w:t>
      </w:r>
      <w:r>
        <w:t>检验，目的在于确认传导路径的存在性。</w:t>
      </w:r>
    </w:p>
    <w:p w14:paraId="6C0AE023" w14:textId="77777777" w:rsidR="00C90237" w:rsidRDefault="00000000" w:rsidP="00EE76F5">
      <w:pPr>
        <w:ind w:firstLine="480"/>
      </w:pPr>
      <w:r>
        <w:t>异质性分析方面，分别按产权性质、分析师覆盖（年度中位数分割）和行业属性（高科技</w:t>
      </w:r>
      <w:r>
        <w:t>vs</w:t>
      </w:r>
      <w:r>
        <w:t>传统）进行分组回归，采用</w:t>
      </w:r>
      <w:r>
        <w:t>Fisher</w:t>
      </w:r>
      <w:r>
        <w:t>组间差异检验评估系数差异的统计显著性。</w:t>
      </w:r>
    </w:p>
    <w:p w14:paraId="78458151" w14:textId="77777777" w:rsidR="00C90237" w:rsidRDefault="00000000" w:rsidP="00EE76F5">
      <w:pPr>
        <w:pStyle w:val="2"/>
      </w:pPr>
      <w:bookmarkStart w:id="14" w:name="五实证检验"/>
      <w:r>
        <w:t>五、实证检验</w:t>
      </w:r>
      <w:bookmarkEnd w:id="14"/>
    </w:p>
    <w:p w14:paraId="1D7F0221" w14:textId="77777777" w:rsidR="00C90237" w:rsidRDefault="00000000" w:rsidP="00EE76F5">
      <w:pPr>
        <w:pStyle w:val="3"/>
        <w:numPr>
          <w:ilvl w:val="0"/>
          <w:numId w:val="0"/>
        </w:numPr>
      </w:pPr>
      <w:bookmarkStart w:id="15" w:name="一描述性统计"/>
      <w:r>
        <w:t>（一）描述性统计</w:t>
      </w:r>
      <w:bookmarkEnd w:id="15"/>
    </w:p>
    <w:p w14:paraId="2C816FA6" w14:textId="6863E5DF" w:rsidR="00C90237" w:rsidRDefault="00000000" w:rsidP="00EE76F5">
      <w:pPr>
        <w:ind w:firstLine="480"/>
      </w:pPr>
      <w:r>
        <w:t>表</w:t>
      </w:r>
      <w:r w:rsidR="00EE76F5">
        <w:rPr>
          <w:rFonts w:hint="eastAsia"/>
        </w:rPr>
        <w:t>2</w:t>
      </w:r>
      <w:r>
        <w:t>报告了主要变量的描述性统计结果。样本包含</w:t>
      </w:r>
      <w:r>
        <w:t>38,943</w:t>
      </w:r>
      <w:r>
        <w:t>个企业</w:t>
      </w:r>
      <w:r>
        <w:t>-</w:t>
      </w:r>
      <w:r>
        <w:t>年份观测。股价延迟的均值为</w:t>
      </w:r>
      <w:r>
        <w:t>0.110</w:t>
      </w:r>
      <w:r>
        <w:t>、标准差为</w:t>
      </w:r>
      <w:r>
        <w:t>0.120</w:t>
      </w:r>
      <w:r>
        <w:t>、中位数为</w:t>
      </w:r>
      <w:r>
        <w:t>0.068</w:t>
      </w:r>
      <w:r>
        <w:t>，右偏分布特征表明多数企业的股价信息融入效率较高，而少数企业面临明显的信息反映滞后。数据要素利用指标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w:t>
      </w:r>
      <w:r>
        <w:t>1.070</w:t>
      </w:r>
      <w:r>
        <w:t>、标准差为</w:t>
      </w:r>
      <w:r>
        <w:t>1.695</w:t>
      </w:r>
      <w:r>
        <w:t>、中位数仅为</w:t>
      </w:r>
      <w:r>
        <w:t>0.478</w:t>
      </w:r>
      <w:r>
        <w:t>，分布的极度右偏反映了企业间数据要素利用程度的巨大差异</w:t>
      </w:r>
      <w:r>
        <w:t>——</w:t>
      </w:r>
      <w:r>
        <w:t>少数企业已形成高强度的数据利用模式，而多数企业的利用水平仍处于起步阶段。</w:t>
      </w:r>
    </w:p>
    <w:tbl>
      <w:tblPr>
        <w:tblW w:w="0" w:type="pct"/>
        <w:jc w:val="center"/>
        <w:tblLook w:val="07E0" w:firstRow="1" w:lastRow="1" w:firstColumn="1" w:lastColumn="1" w:noHBand="1" w:noVBand="1"/>
      </w:tblPr>
      <w:tblGrid>
        <w:gridCol w:w="1196"/>
        <w:gridCol w:w="794"/>
        <w:gridCol w:w="794"/>
        <w:gridCol w:w="849"/>
        <w:gridCol w:w="849"/>
        <w:gridCol w:w="849"/>
        <w:gridCol w:w="849"/>
      </w:tblGrid>
      <w:tr w:rsidR="00C90237" w14:paraId="7261C764" w14:textId="77777777" w:rsidTr="00367949">
        <w:trPr>
          <w:jc w:val="center"/>
        </w:trPr>
        <w:tc>
          <w:tcPr>
            <w:tcW w:w="0" w:type="auto"/>
            <w:tcBorders>
              <w:top w:val="single" w:sz="4" w:space="0" w:color="auto"/>
              <w:bottom w:val="single" w:sz="0" w:space="0" w:color="auto"/>
            </w:tcBorders>
            <w:vAlign w:val="bottom"/>
          </w:tcPr>
          <w:p w14:paraId="7CA50DF7" w14:textId="77777777" w:rsidR="00C90237" w:rsidRDefault="00000000" w:rsidP="00EE76F5">
            <w:pPr>
              <w:pStyle w:val="af"/>
            </w:pPr>
            <w:r>
              <w:t>变量</w:t>
            </w:r>
          </w:p>
        </w:tc>
        <w:tc>
          <w:tcPr>
            <w:tcW w:w="0" w:type="auto"/>
            <w:tcBorders>
              <w:top w:val="single" w:sz="4" w:space="0" w:color="auto"/>
              <w:bottom w:val="single" w:sz="0" w:space="0" w:color="auto"/>
            </w:tcBorders>
            <w:vAlign w:val="bottom"/>
          </w:tcPr>
          <w:p w14:paraId="6315B4B0" w14:textId="77777777" w:rsidR="00C90237" w:rsidRDefault="00000000" w:rsidP="00EE76F5">
            <w:pPr>
              <w:pStyle w:val="af"/>
            </w:pPr>
            <w:r>
              <w:t>N</w:t>
            </w:r>
          </w:p>
        </w:tc>
        <w:tc>
          <w:tcPr>
            <w:tcW w:w="0" w:type="auto"/>
            <w:tcBorders>
              <w:top w:val="single" w:sz="4" w:space="0" w:color="auto"/>
              <w:bottom w:val="single" w:sz="0" w:space="0" w:color="auto"/>
            </w:tcBorders>
            <w:vAlign w:val="bottom"/>
          </w:tcPr>
          <w:p w14:paraId="52C1BCCC" w14:textId="77777777" w:rsidR="00C90237" w:rsidRDefault="00000000" w:rsidP="00EE76F5">
            <w:pPr>
              <w:pStyle w:val="af"/>
            </w:pPr>
            <w:r>
              <w:t>均值</w:t>
            </w:r>
          </w:p>
        </w:tc>
        <w:tc>
          <w:tcPr>
            <w:tcW w:w="0" w:type="auto"/>
            <w:tcBorders>
              <w:top w:val="single" w:sz="4" w:space="0" w:color="auto"/>
              <w:bottom w:val="single" w:sz="0" w:space="0" w:color="auto"/>
            </w:tcBorders>
            <w:vAlign w:val="bottom"/>
          </w:tcPr>
          <w:p w14:paraId="6D74B76C" w14:textId="77777777" w:rsidR="00C90237" w:rsidRDefault="00000000" w:rsidP="00EE76F5">
            <w:pPr>
              <w:pStyle w:val="af"/>
            </w:pPr>
            <w:r>
              <w:t>标准差</w:t>
            </w:r>
          </w:p>
        </w:tc>
        <w:tc>
          <w:tcPr>
            <w:tcW w:w="0" w:type="auto"/>
            <w:tcBorders>
              <w:top w:val="single" w:sz="4" w:space="0" w:color="auto"/>
              <w:bottom w:val="single" w:sz="0" w:space="0" w:color="auto"/>
            </w:tcBorders>
            <w:vAlign w:val="bottom"/>
          </w:tcPr>
          <w:p w14:paraId="31AD97DB" w14:textId="77777777" w:rsidR="00C90237" w:rsidRDefault="00000000" w:rsidP="00EE76F5">
            <w:pPr>
              <w:pStyle w:val="af"/>
            </w:pPr>
            <w:r>
              <w:t>最小值</w:t>
            </w:r>
          </w:p>
        </w:tc>
        <w:tc>
          <w:tcPr>
            <w:tcW w:w="0" w:type="auto"/>
            <w:tcBorders>
              <w:top w:val="single" w:sz="4" w:space="0" w:color="auto"/>
              <w:bottom w:val="single" w:sz="0" w:space="0" w:color="auto"/>
            </w:tcBorders>
            <w:vAlign w:val="bottom"/>
          </w:tcPr>
          <w:p w14:paraId="6BA77C81" w14:textId="77777777" w:rsidR="00C90237" w:rsidRDefault="00000000" w:rsidP="00EE76F5">
            <w:pPr>
              <w:pStyle w:val="af"/>
            </w:pPr>
            <w:r>
              <w:t>中位数</w:t>
            </w:r>
          </w:p>
        </w:tc>
        <w:tc>
          <w:tcPr>
            <w:tcW w:w="0" w:type="auto"/>
            <w:tcBorders>
              <w:top w:val="single" w:sz="4" w:space="0" w:color="auto"/>
              <w:bottom w:val="single" w:sz="0" w:space="0" w:color="auto"/>
            </w:tcBorders>
            <w:vAlign w:val="bottom"/>
          </w:tcPr>
          <w:p w14:paraId="136059CD" w14:textId="77777777" w:rsidR="00C90237" w:rsidRDefault="00000000" w:rsidP="00EE76F5">
            <w:pPr>
              <w:pStyle w:val="af"/>
            </w:pPr>
            <w:r>
              <w:t>最大值</w:t>
            </w:r>
          </w:p>
        </w:tc>
      </w:tr>
      <w:tr w:rsidR="00C90237" w14:paraId="7A9511F4" w14:textId="77777777" w:rsidTr="00EE76F5">
        <w:trPr>
          <w:jc w:val="center"/>
        </w:trPr>
        <w:tc>
          <w:tcPr>
            <w:tcW w:w="0" w:type="auto"/>
          </w:tcPr>
          <w:p w14:paraId="2C2B30D4" w14:textId="77777777" w:rsidR="00C90237" w:rsidRDefault="00000000" w:rsidP="00EE76F5">
            <w:pPr>
              <w:pStyle w:val="af"/>
            </w:pPr>
            <w:r>
              <w:t>PriceDelay</w:t>
            </w:r>
          </w:p>
        </w:tc>
        <w:tc>
          <w:tcPr>
            <w:tcW w:w="0" w:type="auto"/>
          </w:tcPr>
          <w:p w14:paraId="0FFD0544" w14:textId="77777777" w:rsidR="00C90237" w:rsidRDefault="00000000" w:rsidP="00EE76F5">
            <w:pPr>
              <w:pStyle w:val="af"/>
            </w:pPr>
            <w:r>
              <w:t>38,943</w:t>
            </w:r>
          </w:p>
        </w:tc>
        <w:tc>
          <w:tcPr>
            <w:tcW w:w="0" w:type="auto"/>
          </w:tcPr>
          <w:p w14:paraId="78BFC9C8" w14:textId="77777777" w:rsidR="00C90237" w:rsidRDefault="00000000" w:rsidP="00EE76F5">
            <w:pPr>
              <w:pStyle w:val="af"/>
            </w:pPr>
            <w:r>
              <w:t>0.110</w:t>
            </w:r>
          </w:p>
        </w:tc>
        <w:tc>
          <w:tcPr>
            <w:tcW w:w="0" w:type="auto"/>
          </w:tcPr>
          <w:p w14:paraId="70ACF3D1" w14:textId="77777777" w:rsidR="00C90237" w:rsidRDefault="00000000" w:rsidP="00EE76F5">
            <w:pPr>
              <w:pStyle w:val="af"/>
            </w:pPr>
            <w:r>
              <w:t>0.120</w:t>
            </w:r>
          </w:p>
        </w:tc>
        <w:tc>
          <w:tcPr>
            <w:tcW w:w="0" w:type="auto"/>
          </w:tcPr>
          <w:p w14:paraId="36128400" w14:textId="77777777" w:rsidR="00C90237" w:rsidRDefault="00000000" w:rsidP="00EE76F5">
            <w:pPr>
              <w:pStyle w:val="af"/>
            </w:pPr>
            <w:r>
              <w:t>0.005</w:t>
            </w:r>
          </w:p>
        </w:tc>
        <w:tc>
          <w:tcPr>
            <w:tcW w:w="0" w:type="auto"/>
          </w:tcPr>
          <w:p w14:paraId="7F5EBD34" w14:textId="77777777" w:rsidR="00C90237" w:rsidRDefault="00000000" w:rsidP="00EE76F5">
            <w:pPr>
              <w:pStyle w:val="af"/>
            </w:pPr>
            <w:r>
              <w:t>0.068</w:t>
            </w:r>
          </w:p>
        </w:tc>
        <w:tc>
          <w:tcPr>
            <w:tcW w:w="0" w:type="auto"/>
          </w:tcPr>
          <w:p w14:paraId="708D5F7C" w14:textId="77777777" w:rsidR="00C90237" w:rsidRDefault="00000000" w:rsidP="00EE76F5">
            <w:pPr>
              <w:pStyle w:val="af"/>
            </w:pPr>
            <w:r>
              <w:t>0.664</w:t>
            </w:r>
          </w:p>
        </w:tc>
      </w:tr>
      <w:tr w:rsidR="00C90237" w14:paraId="482E0ABC" w14:textId="77777777" w:rsidTr="00EE76F5">
        <w:trPr>
          <w:jc w:val="center"/>
        </w:trPr>
        <w:tc>
          <w:tcPr>
            <w:tcW w:w="0" w:type="auto"/>
          </w:tcPr>
          <w:p w14:paraId="43DEABDC" w14:textId="77777777" w:rsidR="00C90237" w:rsidRDefault="00000000" w:rsidP="00EE76F5">
            <w:pPr>
              <w:pStyle w:val="af"/>
            </w:pPr>
            <w:r>
              <w:t>DU_kw</w:t>
            </w:r>
          </w:p>
        </w:tc>
        <w:tc>
          <w:tcPr>
            <w:tcW w:w="0" w:type="auto"/>
          </w:tcPr>
          <w:p w14:paraId="5073F841" w14:textId="77777777" w:rsidR="00C90237" w:rsidRDefault="00000000" w:rsidP="00EE76F5">
            <w:pPr>
              <w:pStyle w:val="af"/>
            </w:pPr>
            <w:r>
              <w:t>38,943</w:t>
            </w:r>
          </w:p>
        </w:tc>
        <w:tc>
          <w:tcPr>
            <w:tcW w:w="0" w:type="auto"/>
          </w:tcPr>
          <w:p w14:paraId="0C07AD95" w14:textId="77777777" w:rsidR="00C90237" w:rsidRDefault="00000000" w:rsidP="00EE76F5">
            <w:pPr>
              <w:pStyle w:val="af"/>
            </w:pPr>
            <w:r>
              <w:t>1.070</w:t>
            </w:r>
          </w:p>
        </w:tc>
        <w:tc>
          <w:tcPr>
            <w:tcW w:w="0" w:type="auto"/>
          </w:tcPr>
          <w:p w14:paraId="1D9AEA0C" w14:textId="77777777" w:rsidR="00C90237" w:rsidRDefault="00000000" w:rsidP="00EE76F5">
            <w:pPr>
              <w:pStyle w:val="af"/>
            </w:pPr>
            <w:r>
              <w:t>1.695</w:t>
            </w:r>
          </w:p>
        </w:tc>
        <w:tc>
          <w:tcPr>
            <w:tcW w:w="0" w:type="auto"/>
          </w:tcPr>
          <w:p w14:paraId="5B119BAF" w14:textId="77777777" w:rsidR="00C90237" w:rsidRDefault="00000000" w:rsidP="00EE76F5">
            <w:pPr>
              <w:pStyle w:val="af"/>
            </w:pPr>
            <w:r>
              <w:t>0.000</w:t>
            </w:r>
          </w:p>
        </w:tc>
        <w:tc>
          <w:tcPr>
            <w:tcW w:w="0" w:type="auto"/>
          </w:tcPr>
          <w:p w14:paraId="4D8E73CC" w14:textId="77777777" w:rsidR="00C90237" w:rsidRDefault="00000000" w:rsidP="00EE76F5">
            <w:pPr>
              <w:pStyle w:val="af"/>
            </w:pPr>
            <w:r>
              <w:t>0.478</w:t>
            </w:r>
          </w:p>
        </w:tc>
        <w:tc>
          <w:tcPr>
            <w:tcW w:w="0" w:type="auto"/>
          </w:tcPr>
          <w:p w14:paraId="6CFD302C" w14:textId="77777777" w:rsidR="00C90237" w:rsidRDefault="00000000" w:rsidP="00EE76F5">
            <w:pPr>
              <w:pStyle w:val="af"/>
            </w:pPr>
            <w:r>
              <w:t>10.06</w:t>
            </w:r>
          </w:p>
        </w:tc>
      </w:tr>
      <w:tr w:rsidR="00C90237" w14:paraId="59FC9CA9" w14:textId="77777777" w:rsidTr="00EE76F5">
        <w:trPr>
          <w:jc w:val="center"/>
        </w:trPr>
        <w:tc>
          <w:tcPr>
            <w:tcW w:w="0" w:type="auto"/>
          </w:tcPr>
          <w:p w14:paraId="295EA6CA" w14:textId="77777777" w:rsidR="00C90237" w:rsidRDefault="00000000" w:rsidP="00EE76F5">
            <w:pPr>
              <w:pStyle w:val="af"/>
            </w:pPr>
            <w:r>
              <w:t>DU_kw_ln</w:t>
            </w:r>
          </w:p>
        </w:tc>
        <w:tc>
          <w:tcPr>
            <w:tcW w:w="0" w:type="auto"/>
          </w:tcPr>
          <w:p w14:paraId="2F315AB7" w14:textId="77777777" w:rsidR="00C90237" w:rsidRDefault="00000000" w:rsidP="00EE76F5">
            <w:pPr>
              <w:pStyle w:val="af"/>
            </w:pPr>
            <w:r>
              <w:t>38,943</w:t>
            </w:r>
          </w:p>
        </w:tc>
        <w:tc>
          <w:tcPr>
            <w:tcW w:w="0" w:type="auto"/>
          </w:tcPr>
          <w:p w14:paraId="1371F553" w14:textId="77777777" w:rsidR="00C90237" w:rsidRDefault="00000000" w:rsidP="00EE76F5">
            <w:pPr>
              <w:pStyle w:val="af"/>
            </w:pPr>
            <w:r>
              <w:t>2.415</w:t>
            </w:r>
          </w:p>
        </w:tc>
        <w:tc>
          <w:tcPr>
            <w:tcW w:w="0" w:type="auto"/>
          </w:tcPr>
          <w:p w14:paraId="15DD38A3" w14:textId="77777777" w:rsidR="00C90237" w:rsidRDefault="00000000" w:rsidP="00EE76F5">
            <w:pPr>
              <w:pStyle w:val="af"/>
            </w:pPr>
            <w:r>
              <w:t>1.250</w:t>
            </w:r>
          </w:p>
        </w:tc>
        <w:tc>
          <w:tcPr>
            <w:tcW w:w="0" w:type="auto"/>
          </w:tcPr>
          <w:p w14:paraId="62D283A1" w14:textId="77777777" w:rsidR="00C90237" w:rsidRDefault="00000000" w:rsidP="00EE76F5">
            <w:pPr>
              <w:pStyle w:val="af"/>
            </w:pPr>
            <w:r>
              <w:t>0.000</w:t>
            </w:r>
          </w:p>
        </w:tc>
        <w:tc>
          <w:tcPr>
            <w:tcW w:w="0" w:type="auto"/>
          </w:tcPr>
          <w:p w14:paraId="41109D17" w14:textId="77777777" w:rsidR="00C90237" w:rsidRDefault="00000000" w:rsidP="00EE76F5">
            <w:pPr>
              <w:pStyle w:val="af"/>
            </w:pPr>
            <w:r>
              <w:t>2.398</w:t>
            </w:r>
          </w:p>
        </w:tc>
        <w:tc>
          <w:tcPr>
            <w:tcW w:w="0" w:type="auto"/>
          </w:tcPr>
          <w:p w14:paraId="356760E2" w14:textId="77777777" w:rsidR="00C90237" w:rsidRDefault="00000000" w:rsidP="00EE76F5">
            <w:pPr>
              <w:pStyle w:val="af"/>
            </w:pPr>
            <w:r>
              <w:t>5.481</w:t>
            </w:r>
          </w:p>
        </w:tc>
      </w:tr>
      <w:tr w:rsidR="00C90237" w14:paraId="26BF3855" w14:textId="77777777" w:rsidTr="00EE76F5">
        <w:trPr>
          <w:jc w:val="center"/>
        </w:trPr>
        <w:tc>
          <w:tcPr>
            <w:tcW w:w="0" w:type="auto"/>
          </w:tcPr>
          <w:p w14:paraId="4B12E213" w14:textId="77777777" w:rsidR="00C90237" w:rsidRDefault="00000000" w:rsidP="00EE76F5">
            <w:pPr>
              <w:pStyle w:val="af"/>
            </w:pPr>
            <w:r>
              <w:t>Size</w:t>
            </w:r>
          </w:p>
        </w:tc>
        <w:tc>
          <w:tcPr>
            <w:tcW w:w="0" w:type="auto"/>
          </w:tcPr>
          <w:p w14:paraId="2E77D536" w14:textId="77777777" w:rsidR="00C90237" w:rsidRDefault="00000000" w:rsidP="00EE76F5">
            <w:pPr>
              <w:pStyle w:val="af"/>
            </w:pPr>
            <w:r>
              <w:t>38,943</w:t>
            </w:r>
          </w:p>
        </w:tc>
        <w:tc>
          <w:tcPr>
            <w:tcW w:w="0" w:type="auto"/>
          </w:tcPr>
          <w:p w14:paraId="463B3815" w14:textId="77777777" w:rsidR="00C90237" w:rsidRDefault="00000000" w:rsidP="00EE76F5">
            <w:pPr>
              <w:pStyle w:val="af"/>
            </w:pPr>
            <w:r>
              <w:t>22.643</w:t>
            </w:r>
          </w:p>
        </w:tc>
        <w:tc>
          <w:tcPr>
            <w:tcW w:w="0" w:type="auto"/>
          </w:tcPr>
          <w:p w14:paraId="68E351B2" w14:textId="77777777" w:rsidR="00C90237" w:rsidRDefault="00000000" w:rsidP="00EE76F5">
            <w:pPr>
              <w:pStyle w:val="af"/>
            </w:pPr>
            <w:r>
              <w:t>0.972</w:t>
            </w:r>
          </w:p>
        </w:tc>
        <w:tc>
          <w:tcPr>
            <w:tcW w:w="0" w:type="auto"/>
          </w:tcPr>
          <w:p w14:paraId="73C21239" w14:textId="77777777" w:rsidR="00C90237" w:rsidRDefault="00000000" w:rsidP="00EE76F5">
            <w:pPr>
              <w:pStyle w:val="af"/>
            </w:pPr>
            <w:r>
              <w:t>20.949</w:t>
            </w:r>
          </w:p>
        </w:tc>
        <w:tc>
          <w:tcPr>
            <w:tcW w:w="0" w:type="auto"/>
          </w:tcPr>
          <w:p w14:paraId="7741F882" w14:textId="77777777" w:rsidR="00C90237" w:rsidRDefault="00000000" w:rsidP="00EE76F5">
            <w:pPr>
              <w:pStyle w:val="af"/>
            </w:pPr>
            <w:r>
              <w:t>22.481</w:t>
            </w:r>
          </w:p>
        </w:tc>
        <w:tc>
          <w:tcPr>
            <w:tcW w:w="0" w:type="auto"/>
          </w:tcPr>
          <w:p w14:paraId="38E79155" w14:textId="77777777" w:rsidR="00C90237" w:rsidRDefault="00000000" w:rsidP="00EE76F5">
            <w:pPr>
              <w:pStyle w:val="af"/>
            </w:pPr>
            <w:r>
              <w:t>25.667</w:t>
            </w:r>
          </w:p>
        </w:tc>
      </w:tr>
      <w:tr w:rsidR="00C90237" w14:paraId="3E1974C0" w14:textId="77777777" w:rsidTr="00EE76F5">
        <w:trPr>
          <w:jc w:val="center"/>
        </w:trPr>
        <w:tc>
          <w:tcPr>
            <w:tcW w:w="0" w:type="auto"/>
          </w:tcPr>
          <w:p w14:paraId="10E0CF2D" w14:textId="77777777" w:rsidR="00C90237" w:rsidRDefault="00000000" w:rsidP="00EE76F5">
            <w:pPr>
              <w:pStyle w:val="af"/>
            </w:pPr>
            <w:r>
              <w:t>Lev</w:t>
            </w:r>
          </w:p>
        </w:tc>
        <w:tc>
          <w:tcPr>
            <w:tcW w:w="0" w:type="auto"/>
          </w:tcPr>
          <w:p w14:paraId="1B78B0F7" w14:textId="77777777" w:rsidR="00C90237" w:rsidRDefault="00000000" w:rsidP="00EE76F5">
            <w:pPr>
              <w:pStyle w:val="af"/>
            </w:pPr>
            <w:r>
              <w:t>38,943</w:t>
            </w:r>
          </w:p>
        </w:tc>
        <w:tc>
          <w:tcPr>
            <w:tcW w:w="0" w:type="auto"/>
          </w:tcPr>
          <w:p w14:paraId="0029AF61" w14:textId="77777777" w:rsidR="00C90237" w:rsidRDefault="00000000" w:rsidP="00EE76F5">
            <w:pPr>
              <w:pStyle w:val="af"/>
            </w:pPr>
            <w:r>
              <w:t>0.434</w:t>
            </w:r>
          </w:p>
        </w:tc>
        <w:tc>
          <w:tcPr>
            <w:tcW w:w="0" w:type="auto"/>
          </w:tcPr>
          <w:p w14:paraId="5A39BFD4" w14:textId="77777777" w:rsidR="00C90237" w:rsidRDefault="00000000" w:rsidP="00EE76F5">
            <w:pPr>
              <w:pStyle w:val="af"/>
            </w:pPr>
            <w:r>
              <w:t>0.205</w:t>
            </w:r>
          </w:p>
        </w:tc>
        <w:tc>
          <w:tcPr>
            <w:tcW w:w="0" w:type="auto"/>
          </w:tcPr>
          <w:p w14:paraId="74810C91" w14:textId="77777777" w:rsidR="00C90237" w:rsidRDefault="00000000" w:rsidP="00EE76F5">
            <w:pPr>
              <w:pStyle w:val="af"/>
            </w:pPr>
            <w:r>
              <w:t>0.055</w:t>
            </w:r>
          </w:p>
        </w:tc>
        <w:tc>
          <w:tcPr>
            <w:tcW w:w="0" w:type="auto"/>
          </w:tcPr>
          <w:p w14:paraId="15CC1C20" w14:textId="77777777" w:rsidR="00C90237" w:rsidRDefault="00000000" w:rsidP="00EE76F5">
            <w:pPr>
              <w:pStyle w:val="af"/>
            </w:pPr>
            <w:r>
              <w:t>0.427</w:t>
            </w:r>
          </w:p>
        </w:tc>
        <w:tc>
          <w:tcPr>
            <w:tcW w:w="0" w:type="auto"/>
          </w:tcPr>
          <w:p w14:paraId="525FBE6E" w14:textId="77777777" w:rsidR="00C90237" w:rsidRDefault="00000000" w:rsidP="00EE76F5">
            <w:pPr>
              <w:pStyle w:val="af"/>
            </w:pPr>
            <w:r>
              <w:t>0.923</w:t>
            </w:r>
          </w:p>
        </w:tc>
      </w:tr>
      <w:tr w:rsidR="00C90237" w14:paraId="4F8E631A" w14:textId="77777777" w:rsidTr="00EE76F5">
        <w:trPr>
          <w:jc w:val="center"/>
        </w:trPr>
        <w:tc>
          <w:tcPr>
            <w:tcW w:w="0" w:type="auto"/>
          </w:tcPr>
          <w:p w14:paraId="71A0CE14" w14:textId="77777777" w:rsidR="00C90237" w:rsidRDefault="00000000" w:rsidP="00EE76F5">
            <w:pPr>
              <w:pStyle w:val="af"/>
            </w:pPr>
            <w:r>
              <w:t>ROA</w:t>
            </w:r>
          </w:p>
        </w:tc>
        <w:tc>
          <w:tcPr>
            <w:tcW w:w="0" w:type="auto"/>
          </w:tcPr>
          <w:p w14:paraId="410EB76C" w14:textId="77777777" w:rsidR="00C90237" w:rsidRDefault="00000000" w:rsidP="00EE76F5">
            <w:pPr>
              <w:pStyle w:val="af"/>
            </w:pPr>
            <w:r>
              <w:t>38,943</w:t>
            </w:r>
          </w:p>
        </w:tc>
        <w:tc>
          <w:tcPr>
            <w:tcW w:w="0" w:type="auto"/>
          </w:tcPr>
          <w:p w14:paraId="6C9F821F" w14:textId="77777777" w:rsidR="00C90237" w:rsidRDefault="00000000" w:rsidP="00EE76F5">
            <w:pPr>
              <w:pStyle w:val="af"/>
            </w:pPr>
            <w:r>
              <w:t>0.027</w:t>
            </w:r>
          </w:p>
        </w:tc>
        <w:tc>
          <w:tcPr>
            <w:tcW w:w="0" w:type="auto"/>
          </w:tcPr>
          <w:p w14:paraId="3E4FE1F0" w14:textId="77777777" w:rsidR="00C90237" w:rsidRDefault="00000000" w:rsidP="00EE76F5">
            <w:pPr>
              <w:pStyle w:val="af"/>
            </w:pPr>
            <w:r>
              <w:t>0.068</w:t>
            </w:r>
          </w:p>
        </w:tc>
        <w:tc>
          <w:tcPr>
            <w:tcW w:w="0" w:type="auto"/>
          </w:tcPr>
          <w:p w14:paraId="199B85A3" w14:textId="77777777" w:rsidR="00C90237" w:rsidRDefault="00000000" w:rsidP="00EE76F5">
            <w:pPr>
              <w:pStyle w:val="af"/>
            </w:pPr>
            <w:r>
              <w:t>-0.279</w:t>
            </w:r>
          </w:p>
        </w:tc>
        <w:tc>
          <w:tcPr>
            <w:tcW w:w="0" w:type="auto"/>
          </w:tcPr>
          <w:p w14:paraId="7E6282B2" w14:textId="77777777" w:rsidR="00C90237" w:rsidRDefault="00000000" w:rsidP="00EE76F5">
            <w:pPr>
              <w:pStyle w:val="af"/>
            </w:pPr>
            <w:r>
              <w:t>0.031</w:t>
            </w:r>
          </w:p>
        </w:tc>
        <w:tc>
          <w:tcPr>
            <w:tcW w:w="0" w:type="auto"/>
          </w:tcPr>
          <w:p w14:paraId="243CE79E" w14:textId="77777777" w:rsidR="00C90237" w:rsidRDefault="00000000" w:rsidP="00EE76F5">
            <w:pPr>
              <w:pStyle w:val="af"/>
            </w:pPr>
            <w:r>
              <w:t>0.191</w:t>
            </w:r>
          </w:p>
        </w:tc>
      </w:tr>
      <w:tr w:rsidR="00C90237" w14:paraId="07EBC1A1" w14:textId="77777777" w:rsidTr="00EE76F5">
        <w:trPr>
          <w:jc w:val="center"/>
        </w:trPr>
        <w:tc>
          <w:tcPr>
            <w:tcW w:w="0" w:type="auto"/>
          </w:tcPr>
          <w:p w14:paraId="247CB9F5" w14:textId="77777777" w:rsidR="00C90237" w:rsidRDefault="00000000" w:rsidP="00EE76F5">
            <w:pPr>
              <w:pStyle w:val="af"/>
            </w:pPr>
            <w:r>
              <w:t>TobinQ</w:t>
            </w:r>
          </w:p>
        </w:tc>
        <w:tc>
          <w:tcPr>
            <w:tcW w:w="0" w:type="auto"/>
          </w:tcPr>
          <w:p w14:paraId="5FF6B9DA" w14:textId="77777777" w:rsidR="00C90237" w:rsidRDefault="00000000" w:rsidP="00EE76F5">
            <w:pPr>
              <w:pStyle w:val="af"/>
            </w:pPr>
            <w:r>
              <w:t>38,943</w:t>
            </w:r>
          </w:p>
        </w:tc>
        <w:tc>
          <w:tcPr>
            <w:tcW w:w="0" w:type="auto"/>
          </w:tcPr>
          <w:p w14:paraId="1744D5D6" w14:textId="77777777" w:rsidR="00C90237" w:rsidRDefault="00000000" w:rsidP="00EE76F5">
            <w:pPr>
              <w:pStyle w:val="af"/>
            </w:pPr>
            <w:r>
              <w:t>2.027</w:t>
            </w:r>
          </w:p>
        </w:tc>
        <w:tc>
          <w:tcPr>
            <w:tcW w:w="0" w:type="auto"/>
          </w:tcPr>
          <w:p w14:paraId="46CC2CF6" w14:textId="77777777" w:rsidR="00C90237" w:rsidRDefault="00000000" w:rsidP="00EE76F5">
            <w:pPr>
              <w:pStyle w:val="af"/>
            </w:pPr>
            <w:r>
              <w:t>1.314</w:t>
            </w:r>
          </w:p>
        </w:tc>
        <w:tc>
          <w:tcPr>
            <w:tcW w:w="0" w:type="auto"/>
          </w:tcPr>
          <w:p w14:paraId="21E5B861" w14:textId="77777777" w:rsidR="00C90237" w:rsidRDefault="00000000" w:rsidP="00EE76F5">
            <w:pPr>
              <w:pStyle w:val="af"/>
            </w:pPr>
            <w:r>
              <w:t>0.830</w:t>
            </w:r>
          </w:p>
        </w:tc>
        <w:tc>
          <w:tcPr>
            <w:tcW w:w="0" w:type="auto"/>
          </w:tcPr>
          <w:p w14:paraId="04DF2102" w14:textId="77777777" w:rsidR="00C90237" w:rsidRDefault="00000000" w:rsidP="00EE76F5">
            <w:pPr>
              <w:pStyle w:val="af"/>
            </w:pPr>
            <w:r>
              <w:t>1.604</w:t>
            </w:r>
          </w:p>
        </w:tc>
        <w:tc>
          <w:tcPr>
            <w:tcW w:w="0" w:type="auto"/>
          </w:tcPr>
          <w:p w14:paraId="7F01ECF0" w14:textId="77777777" w:rsidR="00C90237" w:rsidRDefault="00000000" w:rsidP="00EE76F5">
            <w:pPr>
              <w:pStyle w:val="af"/>
            </w:pPr>
            <w:r>
              <w:t>8.443</w:t>
            </w:r>
          </w:p>
        </w:tc>
      </w:tr>
      <w:tr w:rsidR="00C90237" w14:paraId="226930E7" w14:textId="77777777" w:rsidTr="00EE76F5">
        <w:trPr>
          <w:jc w:val="center"/>
        </w:trPr>
        <w:tc>
          <w:tcPr>
            <w:tcW w:w="0" w:type="auto"/>
          </w:tcPr>
          <w:p w14:paraId="7A6FFC80" w14:textId="77777777" w:rsidR="00C90237" w:rsidRDefault="00000000" w:rsidP="00EE76F5">
            <w:pPr>
              <w:pStyle w:val="af"/>
            </w:pPr>
            <w:r>
              <w:t>Analyst</w:t>
            </w:r>
          </w:p>
        </w:tc>
        <w:tc>
          <w:tcPr>
            <w:tcW w:w="0" w:type="auto"/>
          </w:tcPr>
          <w:p w14:paraId="3536B17D" w14:textId="77777777" w:rsidR="00C90237" w:rsidRDefault="00000000" w:rsidP="00EE76F5">
            <w:pPr>
              <w:pStyle w:val="af"/>
            </w:pPr>
            <w:r>
              <w:t>38,943</w:t>
            </w:r>
          </w:p>
        </w:tc>
        <w:tc>
          <w:tcPr>
            <w:tcW w:w="0" w:type="auto"/>
          </w:tcPr>
          <w:p w14:paraId="0E43CCF9" w14:textId="77777777" w:rsidR="00C90237" w:rsidRDefault="00000000" w:rsidP="00EE76F5">
            <w:pPr>
              <w:pStyle w:val="af"/>
            </w:pPr>
            <w:r>
              <w:t>2.489</w:t>
            </w:r>
          </w:p>
        </w:tc>
        <w:tc>
          <w:tcPr>
            <w:tcW w:w="0" w:type="auto"/>
          </w:tcPr>
          <w:p w14:paraId="5A1B27A6" w14:textId="77777777" w:rsidR="00C90237" w:rsidRDefault="00000000" w:rsidP="00EE76F5">
            <w:pPr>
              <w:pStyle w:val="af"/>
            </w:pPr>
            <w:r>
              <w:t>1.739</w:t>
            </w:r>
          </w:p>
        </w:tc>
        <w:tc>
          <w:tcPr>
            <w:tcW w:w="0" w:type="auto"/>
          </w:tcPr>
          <w:p w14:paraId="5ECCF82D" w14:textId="77777777" w:rsidR="00C90237" w:rsidRDefault="00000000" w:rsidP="00EE76F5">
            <w:pPr>
              <w:pStyle w:val="af"/>
            </w:pPr>
            <w:r>
              <w:t>0.000</w:t>
            </w:r>
          </w:p>
        </w:tc>
        <w:tc>
          <w:tcPr>
            <w:tcW w:w="0" w:type="auto"/>
          </w:tcPr>
          <w:p w14:paraId="7859AD43" w14:textId="77777777" w:rsidR="00C90237" w:rsidRDefault="00000000" w:rsidP="00EE76F5">
            <w:pPr>
              <w:pStyle w:val="af"/>
            </w:pPr>
            <w:r>
              <w:t>2.639</w:t>
            </w:r>
          </w:p>
        </w:tc>
        <w:tc>
          <w:tcPr>
            <w:tcW w:w="0" w:type="auto"/>
          </w:tcPr>
          <w:p w14:paraId="2358D828" w14:textId="77777777" w:rsidR="00C90237" w:rsidRDefault="00000000" w:rsidP="00EE76F5">
            <w:pPr>
              <w:pStyle w:val="af"/>
            </w:pPr>
            <w:r>
              <w:t>5.656</w:t>
            </w:r>
          </w:p>
        </w:tc>
      </w:tr>
      <w:tr w:rsidR="00C90237" w14:paraId="5919C127" w14:textId="77777777" w:rsidTr="00EE76F5">
        <w:trPr>
          <w:jc w:val="center"/>
        </w:trPr>
        <w:tc>
          <w:tcPr>
            <w:tcW w:w="0" w:type="auto"/>
          </w:tcPr>
          <w:p w14:paraId="3885D480" w14:textId="77777777" w:rsidR="00C90237" w:rsidRDefault="00000000" w:rsidP="00EE76F5">
            <w:pPr>
              <w:pStyle w:val="af"/>
            </w:pPr>
            <w:r>
              <w:t>InstHold</w:t>
            </w:r>
          </w:p>
        </w:tc>
        <w:tc>
          <w:tcPr>
            <w:tcW w:w="0" w:type="auto"/>
          </w:tcPr>
          <w:p w14:paraId="01361064" w14:textId="77777777" w:rsidR="00C90237" w:rsidRDefault="00000000" w:rsidP="00EE76F5">
            <w:pPr>
              <w:pStyle w:val="af"/>
            </w:pPr>
            <w:r>
              <w:t>38,943</w:t>
            </w:r>
          </w:p>
        </w:tc>
        <w:tc>
          <w:tcPr>
            <w:tcW w:w="0" w:type="auto"/>
          </w:tcPr>
          <w:p w14:paraId="121F704C" w14:textId="77777777" w:rsidR="00C90237" w:rsidRDefault="00000000" w:rsidP="00EE76F5">
            <w:pPr>
              <w:pStyle w:val="af"/>
            </w:pPr>
            <w:r>
              <w:t>42.081</w:t>
            </w:r>
          </w:p>
        </w:tc>
        <w:tc>
          <w:tcPr>
            <w:tcW w:w="0" w:type="auto"/>
          </w:tcPr>
          <w:p w14:paraId="5B23CE47" w14:textId="77777777" w:rsidR="00C90237" w:rsidRDefault="00000000" w:rsidP="00EE76F5">
            <w:pPr>
              <w:pStyle w:val="af"/>
            </w:pPr>
            <w:r>
              <w:t>24.331</w:t>
            </w:r>
          </w:p>
        </w:tc>
        <w:tc>
          <w:tcPr>
            <w:tcW w:w="0" w:type="auto"/>
          </w:tcPr>
          <w:p w14:paraId="07AD67C1" w14:textId="77777777" w:rsidR="00C90237" w:rsidRDefault="00000000" w:rsidP="00EE76F5">
            <w:pPr>
              <w:pStyle w:val="af"/>
            </w:pPr>
            <w:r>
              <w:t>0.350</w:t>
            </w:r>
          </w:p>
        </w:tc>
        <w:tc>
          <w:tcPr>
            <w:tcW w:w="0" w:type="auto"/>
          </w:tcPr>
          <w:p w14:paraId="22720CD7" w14:textId="77777777" w:rsidR="00C90237" w:rsidRDefault="00000000" w:rsidP="00EE76F5">
            <w:pPr>
              <w:pStyle w:val="af"/>
            </w:pPr>
            <w:r>
              <w:t>43.372</w:t>
            </w:r>
          </w:p>
        </w:tc>
        <w:tc>
          <w:tcPr>
            <w:tcW w:w="0" w:type="auto"/>
          </w:tcPr>
          <w:p w14:paraId="0C6350A7" w14:textId="77777777" w:rsidR="00C90237" w:rsidRDefault="00000000" w:rsidP="00EE76F5">
            <w:pPr>
              <w:pStyle w:val="af"/>
            </w:pPr>
            <w:r>
              <w:t>90.708</w:t>
            </w:r>
          </w:p>
        </w:tc>
      </w:tr>
      <w:tr w:rsidR="00C90237" w14:paraId="102365F5" w14:textId="77777777" w:rsidTr="00EE76F5">
        <w:trPr>
          <w:jc w:val="center"/>
        </w:trPr>
        <w:tc>
          <w:tcPr>
            <w:tcW w:w="0" w:type="auto"/>
          </w:tcPr>
          <w:p w14:paraId="4C13CEA2" w14:textId="77777777" w:rsidR="00C90237" w:rsidRDefault="00C90237" w:rsidP="00EE76F5">
            <w:pPr>
              <w:pStyle w:val="af"/>
            </w:pPr>
          </w:p>
        </w:tc>
        <w:tc>
          <w:tcPr>
            <w:tcW w:w="0" w:type="auto"/>
          </w:tcPr>
          <w:p w14:paraId="2EEAF20C" w14:textId="77777777" w:rsidR="00C90237" w:rsidRDefault="00C90237" w:rsidP="00EE76F5">
            <w:pPr>
              <w:pStyle w:val="af"/>
            </w:pPr>
          </w:p>
        </w:tc>
        <w:tc>
          <w:tcPr>
            <w:tcW w:w="0" w:type="auto"/>
          </w:tcPr>
          <w:p w14:paraId="06547DFF" w14:textId="77777777" w:rsidR="00C90237" w:rsidRDefault="00C90237" w:rsidP="00EE76F5">
            <w:pPr>
              <w:pStyle w:val="af"/>
            </w:pPr>
          </w:p>
        </w:tc>
        <w:tc>
          <w:tcPr>
            <w:tcW w:w="0" w:type="auto"/>
          </w:tcPr>
          <w:p w14:paraId="7272459F" w14:textId="77777777" w:rsidR="00C90237" w:rsidRDefault="00C90237" w:rsidP="00EE76F5">
            <w:pPr>
              <w:pStyle w:val="af"/>
            </w:pPr>
          </w:p>
        </w:tc>
        <w:tc>
          <w:tcPr>
            <w:tcW w:w="0" w:type="auto"/>
          </w:tcPr>
          <w:p w14:paraId="24E5E87D" w14:textId="77777777" w:rsidR="00C90237" w:rsidRDefault="00C90237" w:rsidP="00EE76F5">
            <w:pPr>
              <w:pStyle w:val="af"/>
            </w:pPr>
          </w:p>
        </w:tc>
        <w:tc>
          <w:tcPr>
            <w:tcW w:w="0" w:type="auto"/>
          </w:tcPr>
          <w:p w14:paraId="2314C353" w14:textId="77777777" w:rsidR="00C90237" w:rsidRDefault="00C90237" w:rsidP="00EE76F5">
            <w:pPr>
              <w:pStyle w:val="af"/>
            </w:pPr>
          </w:p>
        </w:tc>
        <w:tc>
          <w:tcPr>
            <w:tcW w:w="0" w:type="auto"/>
          </w:tcPr>
          <w:p w14:paraId="6E961EAB" w14:textId="77777777" w:rsidR="00C90237" w:rsidRDefault="00C90237" w:rsidP="00EE76F5">
            <w:pPr>
              <w:pStyle w:val="af"/>
            </w:pPr>
          </w:p>
        </w:tc>
      </w:tr>
    </w:tbl>
    <w:p w14:paraId="390B27C5" w14:textId="77777777" w:rsidR="00C90237" w:rsidRDefault="00000000" w:rsidP="00EE76F5">
      <w:pPr>
        <w:ind w:firstLine="480"/>
      </w:p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与</w:t>
      </w:r>
      <m:oMath>
        <m:r>
          <w:rPr>
            <w:rFonts w:ascii="Cambria Math" w:hAnsi="Cambria Math"/>
          </w:rPr>
          <m:t>PriceDelay</m:t>
        </m:r>
      </m:oMath>
      <w:r>
        <w:t>的</w:t>
      </w:r>
      <w:r>
        <w:t>Pearson</w:t>
      </w:r>
      <w:r>
        <w:t>相关系数为</w:t>
      </w:r>
      <w:r>
        <w:t>-0.068</w:t>
      </w:r>
      <w:r>
        <w:t>，初步显示了二者之间的负向关联，但相关系数量级较小，表明股价延迟受多维度因素共同作用。控制变量中，分析师覆盖与机构持股比例的变异系数分别达到</w:t>
      </w:r>
      <w:r>
        <w:t>0.70</w:t>
      </w:r>
      <w:r>
        <w:t>和</w:t>
      </w:r>
      <w:r>
        <w:t>0.58</w:t>
      </w:r>
      <w:r>
        <w:t>，表明样本企业在信息环境维度上具有充分的差异性，为后续回归中识别数据要素利用的净效应提供了良好条件。</w:t>
      </w:r>
    </w:p>
    <w:p w14:paraId="7C017A25" w14:textId="77777777" w:rsidR="00C90237" w:rsidRDefault="00000000" w:rsidP="00EE76F5">
      <w:pPr>
        <w:ind w:firstLine="480"/>
      </w:pPr>
      <w:bookmarkStart w:id="16" w:name="二基准回归结果"/>
      <w:r>
        <w:t>（二）基准回归结果</w:t>
      </w:r>
      <w:bookmarkEnd w:id="16"/>
    </w:p>
    <w:p w14:paraId="5FB7C584" w14:textId="6CDE637B" w:rsidR="00C90237" w:rsidRDefault="00000000" w:rsidP="00EE76F5">
      <w:pPr>
        <w:ind w:firstLine="480"/>
      </w:pPr>
      <w:r>
        <w:t>表</w:t>
      </w:r>
      <w:r w:rsidR="00EE76F5">
        <w:rPr>
          <w:rFonts w:hint="eastAsia"/>
        </w:rPr>
        <w:t>3</w:t>
      </w:r>
      <w:r>
        <w:t>报告了数据要素利用对股价延迟的基准回归结果，采用递进式策略。从仅含核心解释变量和固定效应的简约模型出发，逐步加入控制变量、替换自变量的测度方式和固定效应结构。无论采用何种模型设定，</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及其替代指标的系数均显著为负，这一一致性结论为后续的经济解读奠定了基础。</w:t>
      </w:r>
    </w:p>
    <w:tbl>
      <w:tblPr>
        <w:tblW w:w="0" w:type="pct"/>
        <w:jc w:val="center"/>
        <w:tblLook w:val="07E0" w:firstRow="1" w:lastRow="1" w:firstColumn="1" w:lastColumn="1" w:noHBand="1" w:noVBand="1"/>
      </w:tblPr>
      <w:tblGrid>
        <w:gridCol w:w="638"/>
        <w:gridCol w:w="1211"/>
        <w:gridCol w:w="1791"/>
        <w:gridCol w:w="969"/>
        <w:gridCol w:w="654"/>
        <w:gridCol w:w="1004"/>
      </w:tblGrid>
      <w:tr w:rsidR="00C90237" w14:paraId="424B65BB" w14:textId="77777777" w:rsidTr="00367949">
        <w:trPr>
          <w:jc w:val="center"/>
        </w:trPr>
        <w:tc>
          <w:tcPr>
            <w:tcW w:w="0" w:type="auto"/>
            <w:tcBorders>
              <w:top w:val="single" w:sz="4" w:space="0" w:color="auto"/>
              <w:bottom w:val="single" w:sz="4" w:space="0" w:color="auto"/>
            </w:tcBorders>
            <w:vAlign w:val="bottom"/>
          </w:tcPr>
          <w:p w14:paraId="28213E55" w14:textId="77777777" w:rsidR="00C90237" w:rsidRDefault="00000000" w:rsidP="00EE76F5">
            <w:pPr>
              <w:pStyle w:val="af"/>
            </w:pPr>
            <w:r>
              <w:t>模型</w:t>
            </w:r>
          </w:p>
        </w:tc>
        <w:tc>
          <w:tcPr>
            <w:tcW w:w="0" w:type="auto"/>
            <w:tcBorders>
              <w:top w:val="single" w:sz="4" w:space="0" w:color="auto"/>
              <w:bottom w:val="single" w:sz="4" w:space="0" w:color="auto"/>
            </w:tcBorders>
            <w:vAlign w:val="bottom"/>
          </w:tcPr>
          <w:p w14:paraId="1E611381" w14:textId="77777777" w:rsidR="00C90237" w:rsidRDefault="00000000" w:rsidP="00EE76F5">
            <w:pPr>
              <w:pStyle w:val="af"/>
            </w:pPr>
            <w:r>
              <w:t>固定效应</w:t>
            </w:r>
          </w:p>
        </w:tc>
        <w:tc>
          <w:tcPr>
            <w:tcW w:w="0" w:type="auto"/>
            <w:tcBorders>
              <w:top w:val="single" w:sz="4" w:space="0" w:color="auto"/>
              <w:bottom w:val="single" w:sz="4" w:space="0" w:color="auto"/>
            </w:tcBorders>
            <w:vAlign w:val="bottom"/>
          </w:tcPr>
          <w:p w14:paraId="0D36006D" w14:textId="77777777" w:rsidR="00C90237" w:rsidRDefault="00000000" w:rsidP="00EE76F5">
            <w:pPr>
              <w:pStyle w:val="af"/>
            </w:pPr>
            <w:r>
              <w:t>自变量</w:t>
            </w:r>
          </w:p>
        </w:tc>
        <w:tc>
          <w:tcPr>
            <w:tcW w:w="0" w:type="auto"/>
            <w:tcBorders>
              <w:top w:val="single" w:sz="4" w:space="0" w:color="auto"/>
              <w:bottom w:val="single" w:sz="4" w:space="0" w:color="auto"/>
            </w:tcBorders>
            <w:vAlign w:val="bottom"/>
          </w:tcPr>
          <w:p w14:paraId="6BBB10CA" w14:textId="77777777" w:rsidR="00C90237" w:rsidRDefault="00000000" w:rsidP="00EE76F5">
            <w:pPr>
              <w:pStyle w:val="af"/>
            </w:pPr>
            <w:r>
              <w:t>系数</w:t>
            </w:r>
          </w:p>
        </w:tc>
        <w:tc>
          <w:tcPr>
            <w:tcW w:w="0" w:type="auto"/>
            <w:tcBorders>
              <w:top w:val="single" w:sz="4" w:space="0" w:color="auto"/>
              <w:bottom w:val="single" w:sz="4" w:space="0" w:color="auto"/>
            </w:tcBorders>
            <w:vAlign w:val="bottom"/>
          </w:tcPr>
          <w:p w14:paraId="02800242" w14:textId="77777777" w:rsidR="00C90237" w:rsidRDefault="00000000" w:rsidP="00EE76F5">
            <w:pPr>
              <w:pStyle w:val="af"/>
            </w:pPr>
            <w:r>
              <w:t>t</w:t>
            </w:r>
            <w:r>
              <w:t>值</w:t>
            </w:r>
          </w:p>
        </w:tc>
        <w:tc>
          <w:tcPr>
            <w:tcW w:w="0" w:type="auto"/>
            <w:tcBorders>
              <w:top w:val="single" w:sz="4" w:space="0" w:color="auto"/>
              <w:bottom w:val="single" w:sz="4" w:space="0" w:color="auto"/>
            </w:tcBorders>
            <w:vAlign w:val="bottom"/>
          </w:tcPr>
          <w:p w14:paraId="03E34E9C" w14:textId="77777777" w:rsidR="00C90237" w:rsidRDefault="00000000" w:rsidP="00EE76F5">
            <w:pPr>
              <w:pStyle w:val="af"/>
            </w:pPr>
            <w:r>
              <w:t>p</w:t>
            </w:r>
            <w:r>
              <w:t>值</w:t>
            </w:r>
          </w:p>
        </w:tc>
      </w:tr>
      <w:tr w:rsidR="00C90237" w14:paraId="60E2B8EC" w14:textId="77777777" w:rsidTr="00367949">
        <w:trPr>
          <w:jc w:val="center"/>
        </w:trPr>
        <w:tc>
          <w:tcPr>
            <w:tcW w:w="0" w:type="auto"/>
            <w:tcBorders>
              <w:top w:val="single" w:sz="4" w:space="0" w:color="auto"/>
            </w:tcBorders>
          </w:tcPr>
          <w:p w14:paraId="618A841A" w14:textId="77777777" w:rsidR="00C90237" w:rsidRDefault="00000000" w:rsidP="00EE76F5">
            <w:pPr>
              <w:pStyle w:val="af"/>
            </w:pPr>
            <w:r>
              <w:t>(1)</w:t>
            </w:r>
          </w:p>
        </w:tc>
        <w:tc>
          <w:tcPr>
            <w:tcW w:w="0" w:type="auto"/>
            <w:tcBorders>
              <w:top w:val="single" w:sz="4" w:space="0" w:color="auto"/>
            </w:tcBorders>
          </w:tcPr>
          <w:p w14:paraId="19FAD574" w14:textId="77777777" w:rsidR="00C90237" w:rsidRDefault="00000000" w:rsidP="00EE76F5">
            <w:pPr>
              <w:pStyle w:val="af"/>
            </w:pPr>
            <w:r>
              <w:t>Firm+Year</w:t>
            </w:r>
          </w:p>
        </w:tc>
        <w:tc>
          <w:tcPr>
            <w:tcW w:w="0" w:type="auto"/>
            <w:tcBorders>
              <w:top w:val="single" w:sz="4" w:space="0" w:color="auto"/>
            </w:tcBorders>
          </w:tcPr>
          <w:p w14:paraId="46DB8E38" w14:textId="77777777" w:rsidR="00C90237" w:rsidRDefault="00000000" w:rsidP="00EE76F5">
            <w:pPr>
              <w:pStyle w:val="af"/>
            </w:pPr>
            <w:r>
              <w:t>DU_kw</w:t>
            </w:r>
          </w:p>
        </w:tc>
        <w:tc>
          <w:tcPr>
            <w:tcW w:w="0" w:type="auto"/>
            <w:tcBorders>
              <w:top w:val="single" w:sz="4" w:space="0" w:color="auto"/>
            </w:tcBorders>
          </w:tcPr>
          <w:p w14:paraId="6FEBD454" w14:textId="77777777" w:rsidR="00C90237" w:rsidRDefault="00000000" w:rsidP="00EE76F5">
            <w:pPr>
              <w:pStyle w:val="af"/>
            </w:pPr>
            <w:r>
              <w:t>-0.00489</w:t>
            </w:r>
          </w:p>
        </w:tc>
        <w:tc>
          <w:tcPr>
            <w:tcW w:w="0" w:type="auto"/>
            <w:tcBorders>
              <w:top w:val="single" w:sz="4" w:space="0" w:color="auto"/>
            </w:tcBorders>
          </w:tcPr>
          <w:p w14:paraId="453DA07D" w14:textId="77777777" w:rsidR="00C90237" w:rsidRDefault="00000000" w:rsidP="00EE76F5">
            <w:pPr>
              <w:pStyle w:val="af"/>
            </w:pPr>
            <w:r>
              <w:t>-3.08</w:t>
            </w:r>
          </w:p>
        </w:tc>
        <w:tc>
          <w:tcPr>
            <w:tcW w:w="0" w:type="auto"/>
            <w:tcBorders>
              <w:top w:val="single" w:sz="4" w:space="0" w:color="auto"/>
            </w:tcBorders>
          </w:tcPr>
          <w:p w14:paraId="6842AC8E" w14:textId="77777777" w:rsidR="00C90237" w:rsidRDefault="00000000" w:rsidP="00EE76F5">
            <w:pPr>
              <w:pStyle w:val="af"/>
            </w:pPr>
            <w:r>
              <w:t>0.002***</w:t>
            </w:r>
          </w:p>
        </w:tc>
      </w:tr>
      <w:tr w:rsidR="00C90237" w14:paraId="0214A121" w14:textId="77777777" w:rsidTr="00EE76F5">
        <w:trPr>
          <w:jc w:val="center"/>
        </w:trPr>
        <w:tc>
          <w:tcPr>
            <w:tcW w:w="0" w:type="auto"/>
          </w:tcPr>
          <w:p w14:paraId="74DD20CE" w14:textId="77777777" w:rsidR="00C90237" w:rsidRDefault="00000000" w:rsidP="00EE76F5">
            <w:pPr>
              <w:pStyle w:val="af"/>
            </w:pPr>
            <w:r>
              <w:t>(2)</w:t>
            </w:r>
          </w:p>
        </w:tc>
        <w:tc>
          <w:tcPr>
            <w:tcW w:w="0" w:type="auto"/>
          </w:tcPr>
          <w:p w14:paraId="62406E54" w14:textId="77777777" w:rsidR="00C90237" w:rsidRDefault="00000000" w:rsidP="00EE76F5">
            <w:pPr>
              <w:pStyle w:val="af"/>
            </w:pPr>
            <w:r>
              <w:t>Firm+Year</w:t>
            </w:r>
          </w:p>
        </w:tc>
        <w:tc>
          <w:tcPr>
            <w:tcW w:w="0" w:type="auto"/>
          </w:tcPr>
          <w:p w14:paraId="5CD57125" w14:textId="77777777" w:rsidR="00C90237" w:rsidRDefault="00000000" w:rsidP="00EE76F5">
            <w:pPr>
              <w:pStyle w:val="af"/>
            </w:pPr>
            <w:r>
              <w:t>DU_kw+Controls</w:t>
            </w:r>
          </w:p>
        </w:tc>
        <w:tc>
          <w:tcPr>
            <w:tcW w:w="0" w:type="auto"/>
          </w:tcPr>
          <w:p w14:paraId="0362701D" w14:textId="77777777" w:rsidR="00C90237" w:rsidRDefault="00000000" w:rsidP="00EE76F5">
            <w:pPr>
              <w:pStyle w:val="af"/>
            </w:pPr>
            <w:r>
              <w:t>-0.00364</w:t>
            </w:r>
          </w:p>
        </w:tc>
        <w:tc>
          <w:tcPr>
            <w:tcW w:w="0" w:type="auto"/>
          </w:tcPr>
          <w:p w14:paraId="7273A993" w14:textId="77777777" w:rsidR="00C90237" w:rsidRDefault="00000000" w:rsidP="00EE76F5">
            <w:pPr>
              <w:pStyle w:val="af"/>
            </w:pPr>
            <w:r>
              <w:t>-2.57</w:t>
            </w:r>
          </w:p>
        </w:tc>
        <w:tc>
          <w:tcPr>
            <w:tcW w:w="0" w:type="auto"/>
          </w:tcPr>
          <w:p w14:paraId="5A3D7093" w14:textId="77777777" w:rsidR="00C90237" w:rsidRDefault="00000000" w:rsidP="00EE76F5">
            <w:pPr>
              <w:pStyle w:val="af"/>
            </w:pPr>
            <w:r>
              <w:t>0.011**</w:t>
            </w:r>
          </w:p>
        </w:tc>
      </w:tr>
      <w:tr w:rsidR="00C90237" w14:paraId="074FB37A" w14:textId="77777777" w:rsidTr="00EE76F5">
        <w:trPr>
          <w:jc w:val="center"/>
        </w:trPr>
        <w:tc>
          <w:tcPr>
            <w:tcW w:w="0" w:type="auto"/>
          </w:tcPr>
          <w:p w14:paraId="6C762DC7" w14:textId="77777777" w:rsidR="00C90237" w:rsidRDefault="00C90237" w:rsidP="00EE76F5">
            <w:pPr>
              <w:pStyle w:val="af"/>
            </w:pPr>
          </w:p>
        </w:tc>
        <w:tc>
          <w:tcPr>
            <w:tcW w:w="0" w:type="auto"/>
          </w:tcPr>
          <w:p w14:paraId="0CC70D61" w14:textId="77777777" w:rsidR="00C90237" w:rsidRDefault="00C90237" w:rsidP="00EE76F5">
            <w:pPr>
              <w:pStyle w:val="af"/>
            </w:pPr>
          </w:p>
        </w:tc>
        <w:tc>
          <w:tcPr>
            <w:tcW w:w="0" w:type="auto"/>
          </w:tcPr>
          <w:p w14:paraId="4B5903CD" w14:textId="77777777" w:rsidR="00C90237" w:rsidRDefault="00C90237" w:rsidP="00EE76F5">
            <w:pPr>
              <w:pStyle w:val="af"/>
            </w:pPr>
          </w:p>
        </w:tc>
        <w:tc>
          <w:tcPr>
            <w:tcW w:w="0" w:type="auto"/>
          </w:tcPr>
          <w:p w14:paraId="30F3A6D7" w14:textId="77777777" w:rsidR="00C90237" w:rsidRDefault="00C90237" w:rsidP="00EE76F5">
            <w:pPr>
              <w:pStyle w:val="af"/>
            </w:pPr>
          </w:p>
        </w:tc>
        <w:tc>
          <w:tcPr>
            <w:tcW w:w="0" w:type="auto"/>
          </w:tcPr>
          <w:p w14:paraId="0E545801" w14:textId="77777777" w:rsidR="00C90237" w:rsidRDefault="00C90237" w:rsidP="00EE76F5">
            <w:pPr>
              <w:pStyle w:val="af"/>
            </w:pPr>
          </w:p>
        </w:tc>
        <w:tc>
          <w:tcPr>
            <w:tcW w:w="0" w:type="auto"/>
          </w:tcPr>
          <w:p w14:paraId="54C0E64B" w14:textId="77777777" w:rsidR="00C90237" w:rsidRDefault="00C90237" w:rsidP="00EE76F5">
            <w:pPr>
              <w:pStyle w:val="af"/>
            </w:pPr>
          </w:p>
        </w:tc>
      </w:tr>
      <w:tr w:rsidR="00C90237" w14:paraId="642C3372" w14:textId="77777777" w:rsidTr="00EE76F5">
        <w:trPr>
          <w:jc w:val="center"/>
        </w:trPr>
        <w:tc>
          <w:tcPr>
            <w:tcW w:w="0" w:type="auto"/>
          </w:tcPr>
          <w:p w14:paraId="17A4F5D6" w14:textId="77777777" w:rsidR="00C90237" w:rsidRDefault="00000000" w:rsidP="00EE76F5">
            <w:pPr>
              <w:pStyle w:val="af"/>
            </w:pPr>
            <w:r>
              <w:t>(3)</w:t>
            </w:r>
          </w:p>
        </w:tc>
        <w:tc>
          <w:tcPr>
            <w:tcW w:w="0" w:type="auto"/>
          </w:tcPr>
          <w:p w14:paraId="2E77D428" w14:textId="77777777" w:rsidR="00C90237" w:rsidRDefault="00000000" w:rsidP="00EE76F5">
            <w:pPr>
              <w:pStyle w:val="af"/>
            </w:pPr>
            <w:r>
              <w:t>Firm+Year</w:t>
            </w:r>
          </w:p>
        </w:tc>
        <w:tc>
          <w:tcPr>
            <w:tcW w:w="0" w:type="auto"/>
          </w:tcPr>
          <w:p w14:paraId="4612CBF6" w14:textId="77777777" w:rsidR="00C90237" w:rsidRDefault="00000000" w:rsidP="00EE76F5">
            <w:pPr>
              <w:pStyle w:val="af"/>
            </w:pPr>
            <w:r>
              <w:t>DU_kw_ln</w:t>
            </w:r>
          </w:p>
        </w:tc>
        <w:tc>
          <w:tcPr>
            <w:tcW w:w="0" w:type="auto"/>
          </w:tcPr>
          <w:p w14:paraId="5A277681" w14:textId="77777777" w:rsidR="00C90237" w:rsidRDefault="00000000" w:rsidP="00EE76F5">
            <w:pPr>
              <w:pStyle w:val="af"/>
            </w:pPr>
            <w:r>
              <w:t>-0.00322</w:t>
            </w:r>
          </w:p>
        </w:tc>
        <w:tc>
          <w:tcPr>
            <w:tcW w:w="0" w:type="auto"/>
          </w:tcPr>
          <w:p w14:paraId="36FA2069" w14:textId="77777777" w:rsidR="00C90237" w:rsidRDefault="00000000" w:rsidP="00EE76F5">
            <w:pPr>
              <w:pStyle w:val="af"/>
            </w:pPr>
            <w:r>
              <w:t>-3.13</w:t>
            </w:r>
          </w:p>
        </w:tc>
        <w:tc>
          <w:tcPr>
            <w:tcW w:w="0" w:type="auto"/>
          </w:tcPr>
          <w:p w14:paraId="34BA250D" w14:textId="77777777" w:rsidR="00C90237" w:rsidRDefault="00000000" w:rsidP="00EE76F5">
            <w:pPr>
              <w:pStyle w:val="af"/>
            </w:pPr>
            <w:r>
              <w:t>0.002***</w:t>
            </w:r>
          </w:p>
        </w:tc>
      </w:tr>
      <w:tr w:rsidR="00C90237" w14:paraId="7B4C7999" w14:textId="77777777" w:rsidTr="00EE76F5">
        <w:trPr>
          <w:jc w:val="center"/>
        </w:trPr>
        <w:tc>
          <w:tcPr>
            <w:tcW w:w="0" w:type="auto"/>
          </w:tcPr>
          <w:p w14:paraId="0EBE8072" w14:textId="77777777" w:rsidR="00C90237" w:rsidRDefault="00000000" w:rsidP="00EE76F5">
            <w:pPr>
              <w:pStyle w:val="af"/>
            </w:pPr>
            <w:r>
              <w:lastRenderedPageBreak/>
              <w:t>(4)</w:t>
            </w:r>
          </w:p>
        </w:tc>
        <w:tc>
          <w:tcPr>
            <w:tcW w:w="0" w:type="auto"/>
          </w:tcPr>
          <w:p w14:paraId="3D525BB3" w14:textId="77777777" w:rsidR="00C90237" w:rsidRDefault="00000000" w:rsidP="00EE76F5">
            <w:pPr>
              <w:pStyle w:val="af"/>
            </w:pPr>
            <w:r>
              <w:t>Firm+Year</w:t>
            </w:r>
          </w:p>
        </w:tc>
        <w:tc>
          <w:tcPr>
            <w:tcW w:w="0" w:type="auto"/>
          </w:tcPr>
          <w:p w14:paraId="1B94A40B" w14:textId="77777777" w:rsidR="00C90237" w:rsidRDefault="00000000" w:rsidP="00EE76F5">
            <w:pPr>
              <w:pStyle w:val="af"/>
            </w:pPr>
            <w:r>
              <w:t>DU_sub_ln</w:t>
            </w:r>
          </w:p>
        </w:tc>
        <w:tc>
          <w:tcPr>
            <w:tcW w:w="0" w:type="auto"/>
          </w:tcPr>
          <w:p w14:paraId="3065EE72" w14:textId="77777777" w:rsidR="00C90237" w:rsidRDefault="00000000" w:rsidP="00EE76F5">
            <w:pPr>
              <w:pStyle w:val="af"/>
            </w:pPr>
            <w:r>
              <w:t>-0.00223</w:t>
            </w:r>
          </w:p>
        </w:tc>
        <w:tc>
          <w:tcPr>
            <w:tcW w:w="0" w:type="auto"/>
          </w:tcPr>
          <w:p w14:paraId="51796AF2" w14:textId="77777777" w:rsidR="00C90237" w:rsidRDefault="00000000" w:rsidP="00EE76F5">
            <w:pPr>
              <w:pStyle w:val="af"/>
            </w:pPr>
            <w:r>
              <w:t>-2.64</w:t>
            </w:r>
          </w:p>
        </w:tc>
        <w:tc>
          <w:tcPr>
            <w:tcW w:w="0" w:type="auto"/>
          </w:tcPr>
          <w:p w14:paraId="3A08B675" w14:textId="77777777" w:rsidR="00C90237" w:rsidRDefault="00000000" w:rsidP="00EE76F5">
            <w:pPr>
              <w:pStyle w:val="af"/>
            </w:pPr>
            <w:r>
              <w:t>0.008***</w:t>
            </w:r>
          </w:p>
        </w:tc>
      </w:tr>
      <w:tr w:rsidR="00C90237" w14:paraId="734F118B" w14:textId="77777777" w:rsidTr="00EE76F5">
        <w:trPr>
          <w:jc w:val="center"/>
        </w:trPr>
        <w:tc>
          <w:tcPr>
            <w:tcW w:w="0" w:type="auto"/>
          </w:tcPr>
          <w:p w14:paraId="3FE1CD48" w14:textId="77777777" w:rsidR="00C90237" w:rsidRDefault="00C90237" w:rsidP="00EE76F5">
            <w:pPr>
              <w:pStyle w:val="af"/>
            </w:pPr>
          </w:p>
        </w:tc>
        <w:tc>
          <w:tcPr>
            <w:tcW w:w="0" w:type="auto"/>
          </w:tcPr>
          <w:p w14:paraId="548D0FCF" w14:textId="77777777" w:rsidR="00C90237" w:rsidRDefault="00C90237" w:rsidP="00EE76F5">
            <w:pPr>
              <w:pStyle w:val="af"/>
            </w:pPr>
          </w:p>
        </w:tc>
        <w:tc>
          <w:tcPr>
            <w:tcW w:w="0" w:type="auto"/>
          </w:tcPr>
          <w:p w14:paraId="42A44B12" w14:textId="77777777" w:rsidR="00C90237" w:rsidRDefault="00C90237" w:rsidP="00EE76F5">
            <w:pPr>
              <w:pStyle w:val="af"/>
            </w:pPr>
          </w:p>
        </w:tc>
        <w:tc>
          <w:tcPr>
            <w:tcW w:w="0" w:type="auto"/>
          </w:tcPr>
          <w:p w14:paraId="33E0C755" w14:textId="77777777" w:rsidR="00C90237" w:rsidRDefault="00C90237" w:rsidP="00EE76F5">
            <w:pPr>
              <w:pStyle w:val="af"/>
            </w:pPr>
          </w:p>
        </w:tc>
        <w:tc>
          <w:tcPr>
            <w:tcW w:w="0" w:type="auto"/>
          </w:tcPr>
          <w:p w14:paraId="514BE0E5" w14:textId="77777777" w:rsidR="00C90237" w:rsidRDefault="00C90237" w:rsidP="00EE76F5">
            <w:pPr>
              <w:pStyle w:val="af"/>
            </w:pPr>
          </w:p>
        </w:tc>
        <w:tc>
          <w:tcPr>
            <w:tcW w:w="0" w:type="auto"/>
          </w:tcPr>
          <w:p w14:paraId="66FF82F0" w14:textId="77777777" w:rsidR="00C90237" w:rsidRDefault="00C90237" w:rsidP="00EE76F5">
            <w:pPr>
              <w:pStyle w:val="af"/>
            </w:pPr>
          </w:p>
        </w:tc>
      </w:tr>
      <w:tr w:rsidR="00C90237" w14:paraId="210D4533" w14:textId="77777777" w:rsidTr="00EE76F5">
        <w:trPr>
          <w:jc w:val="center"/>
        </w:trPr>
        <w:tc>
          <w:tcPr>
            <w:tcW w:w="0" w:type="auto"/>
          </w:tcPr>
          <w:p w14:paraId="3B60F1F7" w14:textId="77777777" w:rsidR="00C90237" w:rsidRDefault="00000000" w:rsidP="00EE76F5">
            <w:pPr>
              <w:pStyle w:val="af"/>
            </w:pPr>
            <w:r>
              <w:t>(5)</w:t>
            </w:r>
          </w:p>
        </w:tc>
        <w:tc>
          <w:tcPr>
            <w:tcW w:w="0" w:type="auto"/>
          </w:tcPr>
          <w:p w14:paraId="112F5CF0" w14:textId="77777777" w:rsidR="00C90237" w:rsidRDefault="00000000" w:rsidP="00EE76F5">
            <w:pPr>
              <w:pStyle w:val="af"/>
            </w:pPr>
            <w:r>
              <w:t>Ind+Year</w:t>
            </w:r>
          </w:p>
        </w:tc>
        <w:tc>
          <w:tcPr>
            <w:tcW w:w="0" w:type="auto"/>
          </w:tcPr>
          <w:p w14:paraId="610D0C3F" w14:textId="77777777" w:rsidR="00C90237" w:rsidRDefault="00000000" w:rsidP="00EE76F5">
            <w:pPr>
              <w:pStyle w:val="af"/>
            </w:pPr>
            <w:r>
              <w:t>DU_kw</w:t>
            </w:r>
          </w:p>
        </w:tc>
        <w:tc>
          <w:tcPr>
            <w:tcW w:w="0" w:type="auto"/>
          </w:tcPr>
          <w:p w14:paraId="4C9BBB68" w14:textId="77777777" w:rsidR="00C90237" w:rsidRDefault="00000000" w:rsidP="00EE76F5">
            <w:pPr>
              <w:pStyle w:val="af"/>
            </w:pPr>
            <w:r>
              <w:t>-0.00190</w:t>
            </w:r>
          </w:p>
        </w:tc>
        <w:tc>
          <w:tcPr>
            <w:tcW w:w="0" w:type="auto"/>
          </w:tcPr>
          <w:p w14:paraId="0D715B8D" w14:textId="77777777" w:rsidR="00C90237" w:rsidRDefault="00000000" w:rsidP="00EE76F5">
            <w:pPr>
              <w:pStyle w:val="af"/>
            </w:pPr>
            <w:r>
              <w:t>-3.21</w:t>
            </w:r>
          </w:p>
        </w:tc>
        <w:tc>
          <w:tcPr>
            <w:tcW w:w="0" w:type="auto"/>
          </w:tcPr>
          <w:p w14:paraId="50D1F0BC" w14:textId="77777777" w:rsidR="00C90237" w:rsidRDefault="00000000" w:rsidP="00EE76F5">
            <w:pPr>
              <w:pStyle w:val="af"/>
            </w:pPr>
            <w:r>
              <w:t>0.001***</w:t>
            </w:r>
          </w:p>
        </w:tc>
      </w:tr>
      <w:tr w:rsidR="00C90237" w14:paraId="3F8930D2" w14:textId="77777777" w:rsidTr="00EE76F5">
        <w:trPr>
          <w:jc w:val="center"/>
        </w:trPr>
        <w:tc>
          <w:tcPr>
            <w:tcW w:w="0" w:type="auto"/>
          </w:tcPr>
          <w:p w14:paraId="15247465" w14:textId="77777777" w:rsidR="00C90237" w:rsidRDefault="00000000" w:rsidP="00EE76F5">
            <w:pPr>
              <w:pStyle w:val="af"/>
            </w:pPr>
            <w:r>
              <w:t>(6)</w:t>
            </w:r>
          </w:p>
        </w:tc>
        <w:tc>
          <w:tcPr>
            <w:tcW w:w="0" w:type="auto"/>
          </w:tcPr>
          <w:p w14:paraId="32920961" w14:textId="77777777" w:rsidR="00C90237" w:rsidRDefault="00000000" w:rsidP="00EE76F5">
            <w:pPr>
              <w:pStyle w:val="af"/>
            </w:pPr>
            <w:r>
              <w:t>Ind+Year</w:t>
            </w:r>
          </w:p>
        </w:tc>
        <w:tc>
          <w:tcPr>
            <w:tcW w:w="0" w:type="auto"/>
          </w:tcPr>
          <w:p w14:paraId="277E9B0B" w14:textId="77777777" w:rsidR="00C90237" w:rsidRDefault="00000000" w:rsidP="00EE76F5">
            <w:pPr>
              <w:pStyle w:val="af"/>
            </w:pPr>
            <w:r>
              <w:t>DU_kw_ln</w:t>
            </w:r>
          </w:p>
        </w:tc>
        <w:tc>
          <w:tcPr>
            <w:tcW w:w="0" w:type="auto"/>
          </w:tcPr>
          <w:p w14:paraId="3F0EAF71" w14:textId="77777777" w:rsidR="00C90237" w:rsidRDefault="00000000" w:rsidP="00EE76F5">
            <w:pPr>
              <w:pStyle w:val="af"/>
            </w:pPr>
            <w:r>
              <w:t>-0.00220</w:t>
            </w:r>
          </w:p>
        </w:tc>
        <w:tc>
          <w:tcPr>
            <w:tcW w:w="0" w:type="auto"/>
          </w:tcPr>
          <w:p w14:paraId="316D4F9A" w14:textId="77777777" w:rsidR="00C90237" w:rsidRDefault="00000000" w:rsidP="00EE76F5">
            <w:pPr>
              <w:pStyle w:val="af"/>
            </w:pPr>
            <w:r>
              <w:t>-3.10</w:t>
            </w:r>
          </w:p>
        </w:tc>
        <w:tc>
          <w:tcPr>
            <w:tcW w:w="0" w:type="auto"/>
          </w:tcPr>
          <w:p w14:paraId="4993A0B6" w14:textId="77777777" w:rsidR="00C90237" w:rsidRDefault="00000000" w:rsidP="00EE76F5">
            <w:pPr>
              <w:pStyle w:val="af"/>
            </w:pPr>
            <w:r>
              <w:t>0.002***</w:t>
            </w:r>
          </w:p>
        </w:tc>
      </w:tr>
    </w:tbl>
    <w:p w14:paraId="0D22C5CE" w14:textId="77777777" w:rsidR="00C90237" w:rsidRDefault="00000000" w:rsidP="00EE76F5">
      <w:pPr>
        <w:ind w:firstLine="480"/>
      </w:pPr>
      <w:r>
        <w:t>以加入全部控制变量的模型</w:t>
      </w:r>
      <w:r>
        <w:t>(2)</w:t>
      </w:r>
      <w:r>
        <w:t>为基准，</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每增加一个标准差时，股价延迟预期下降约</w:t>
      </w:r>
      <w:r>
        <w:t>5.6%</w:t>
      </w:r>
      <w:r>
        <w:t>。从模型</w:t>
      </w:r>
      <w:r>
        <w:t>(2)</w:t>
      </w:r>
      <w:r>
        <w:t>中的控制变量看，分析师覆盖的系数绝对值远高于其他变量，证实了信息中介在缩短股价延迟中的核心作用。这个发现为后续传导机制检验中涉及分析师渠道的假说提供了初步线索。模型</w:t>
      </w:r>
      <w:r>
        <w:t>(5)</w:t>
      </w:r>
      <w:r>
        <w:t>和</w:t>
      </w:r>
      <w:r>
        <w:t>(6)</w:t>
      </w:r>
      <w:r>
        <w:t>将固定效应替换为行业与年份，</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绝对值虽有所缩小但统计显著性反而增强，说明该效应在行业间比较中同样稳定，并非仅由企业个体的时不变特征驱动。综合这些结果，信息供给效应占据主导地位。企业数据要素利用的增加有助于提升资本市场的定价效率，</w:t>
      </w:r>
      <w:r>
        <w:t>H1</w:t>
      </w:r>
      <w:r>
        <w:t>得到支持。</w:t>
      </w:r>
    </w:p>
    <w:p w14:paraId="0A0B1754" w14:textId="77777777" w:rsidR="00C90237" w:rsidRDefault="00000000" w:rsidP="00EE76F5">
      <w:pPr>
        <w:pStyle w:val="3"/>
        <w:numPr>
          <w:ilvl w:val="0"/>
          <w:numId w:val="0"/>
        </w:numPr>
      </w:pPr>
      <w:bookmarkStart w:id="17" w:name="三内生性与稳健性检验"/>
      <w:r>
        <w:t>（三）内生性与稳健性检验</w:t>
      </w:r>
      <w:bookmarkEnd w:id="17"/>
    </w:p>
    <w:p w14:paraId="668A9A6D" w14:textId="77777777" w:rsidR="00C90237" w:rsidRDefault="00000000" w:rsidP="00EE76F5">
      <w:pPr>
        <w:ind w:firstLine="480"/>
      </w:pPr>
      <w:r>
        <w:t>基准回归中的内生性风险主要来自两个方面。其一，信息环境好的企业可能同时呈现高数据利用和低股价延迟，构成遗漏变量偏差。其二，市场定价效率较高的企业可能更有动力披露数据利用信息，形成反向因果。下面采用工具变量法和</w:t>
      </w:r>
      <w:r>
        <w:t>Oster</w:t>
      </w:r>
      <w:r>
        <w:t>稳健性界检验加以处理。</w:t>
      </w:r>
    </w:p>
    <w:p w14:paraId="6E53282D" w14:textId="77777777" w:rsidR="00C90237" w:rsidRDefault="00000000" w:rsidP="00EE76F5">
      <w:pPr>
        <w:ind w:firstLine="480"/>
      </w:pPr>
      <w:r>
        <w:t>工具变量采用省级数字基础设施的前定发展程度作为</w:t>
      </w:r>
      <w:r>
        <w:t>IV1</w:t>
      </w:r>
      <w:r>
        <w:t>。该工具变量的逻辑在于，企业所在省份的数字基础设施越发达，其获取和利用数据资源的成本越低、便利性越高，从而促进数据要素利用水平的提升。而省级基础设施的发展轨迹主要由历史和地理因素决定，与单个企业的股价延迟不存在直接的因果关联。</w:t>
      </w:r>
    </w:p>
    <w:p w14:paraId="07394BB9" w14:textId="77777777" w:rsidR="00C90237" w:rsidRDefault="00000000" w:rsidP="00EE76F5">
      <w:pPr>
        <w:ind w:firstLine="480"/>
      </w:pPr>
      <w:r>
        <w:t>一阶段回归的</w:t>
      </w:r>
      <w:r>
        <w:t>F</w:t>
      </w:r>
      <w:r>
        <w:t>统计量为</w:t>
      </w:r>
      <w:r>
        <w:t>92.2</w:t>
      </w:r>
      <w:r>
        <w:t>，远高于</w:t>
      </w:r>
      <w:r>
        <w:t>Stock</w:t>
      </w:r>
      <w:r>
        <w:t>和</w:t>
      </w:r>
      <w:r>
        <w:t>Yogo</w:t>
      </w:r>
      <w:r>
        <w:t>（</w:t>
      </w:r>
      <w:r>
        <w:t>2005</w:t>
      </w:r>
      <w:r>
        <w:t>）提出的弱工具变量临界值，排除了弱工具变量问题。二阶段回归中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w:t>
      </w:r>
      <w:r>
        <w:t>-0.0446</w:t>
      </w:r>
      <w:r>
        <w:t>（</w:t>
      </w:r>
      <w:r>
        <w:t>t=-2.76</w:t>
      </w:r>
      <w:r>
        <w:t>，</w:t>
      </w:r>
      <w:r>
        <w:t>p=0.006</w:t>
      </w:r>
      <w:r>
        <w:t>），在</w:t>
      </w:r>
      <w:r>
        <w:t>1%</w:t>
      </w:r>
      <w:r>
        <w:t>的水平上显著为负。</w:t>
      </w:r>
      <w:r>
        <w:t>IV</w:t>
      </w:r>
      <w:r>
        <w:t>估计的系数绝对值约为</w:t>
      </w:r>
      <w:r>
        <w:t>OLS</w:t>
      </w:r>
      <w:r>
        <w:t>估计的</w:t>
      </w:r>
      <w:r>
        <w:t>12.2</w:t>
      </w:r>
      <w:r>
        <w:t>倍。这一放大效应反映了</w:t>
      </w:r>
      <w:r>
        <w:t>LATE</w:t>
      </w:r>
      <w:r>
        <w:t>（局部平均处理效应）与</w:t>
      </w:r>
      <w:r>
        <w:t>ATE</w:t>
      </w:r>
      <w:r>
        <w:t>（平均处理效应）之间的差异：工具变量识别的是受省级基础设施影响边际响应较强的那部分企业，而这些企业对数据利用改善的敏感性可能高于总体平均水平。</w:t>
      </w:r>
    </w:p>
    <w:p w14:paraId="3C1AB7F9" w14:textId="77777777" w:rsidR="00C90237" w:rsidRDefault="00000000" w:rsidP="00EE76F5">
      <w:pPr>
        <w:ind w:firstLine="480"/>
      </w:pPr>
      <w:r>
        <w:t>简化型回归（</w:t>
      </w:r>
      <w:r>
        <w:t>Reduced Form</w:t>
      </w:r>
      <w:r>
        <w:t>）在两种固定效应设定下均显著（</w:t>
      </w:r>
      <w:r>
        <w:t>Firm+Year: t=-2.56, p=0.011; Firm+Ind×Year: t=-2.43, p=0.015</w:t>
      </w:r>
      <w:r>
        <w:t>），进一步验证了工具变量与因变量之间的传导路径。前置期检验（</w:t>
      </w:r>
      <w:r>
        <w:t>Pre-period test</w:t>
      </w:r>
      <w:r>
        <w:t>）中，</w:t>
      </w:r>
      <w:r>
        <w:t>2017</w:t>
      </w:r>
      <w:r>
        <w:t>年之前工具变量与股价延迟的相关系数接近零（</w:t>
      </w:r>
      <w:r>
        <w:t>t=0.048</w:t>
      </w:r>
      <w:r>
        <w:t>，</w:t>
      </w:r>
      <w:r>
        <w:t>p=0.962</w:t>
      </w:r>
      <w:r>
        <w:t>），表明在数字经济政策全面推行之前，省级数字基础设施并不影响企业的股价延迟，满足前置平行趋势假设。</w:t>
      </w:r>
    </w:p>
    <w:p w14:paraId="68109509" w14:textId="77777777" w:rsidR="00C90237" w:rsidRDefault="00000000" w:rsidP="00EE76F5">
      <w:pPr>
        <w:ind w:firstLine="480"/>
      </w:pPr>
      <w:r>
        <w:t>两个工具变量联合使用的过度识别检验中，</w:t>
      </w:r>
      <w:r>
        <w:t>Hansen J</w:t>
      </w:r>
      <w:r>
        <w:t>统计量为</w:t>
      </w:r>
      <w:r>
        <w:t>21.437</w:t>
      </w:r>
      <w:r>
        <w:lastRenderedPageBreak/>
        <w:t>（</w:t>
      </w:r>
      <w:r>
        <w:t>p&lt;0.001</w:t>
      </w:r>
      <w:r>
        <w:t>），拒绝了联合外生性假设。这可能反映了</w:t>
      </w:r>
      <w:r>
        <w:t>IV2</w:t>
      </w:r>
      <w:r>
        <w:t>（同省跨行业同龄企业平均数据利用）通过信息溢出等渠道对股价延迟产生了独立于企业自身数据利用之外的影响。鉴于此，采用更为保守的单一工具变量</w:t>
      </w:r>
      <w:r>
        <w:t>IV1</w:t>
      </w:r>
      <w:r>
        <w:t>作为主要因果估计，双工具结果列示于附表以供参考。当使用两个工具变量时，样本量降至</w:t>
      </w:r>
      <w:r>
        <w:t>29,288</w:t>
      </w:r>
      <w:r>
        <w:t>个观测，较基准样本减少约</w:t>
      </w:r>
      <w:r>
        <w:t>24%</w:t>
      </w:r>
      <w:r>
        <w:t>，主要因为</w:t>
      </w:r>
      <w:r>
        <w:t>IV2</w:t>
      </w:r>
      <w:r>
        <w:t>的构造需要每个省</w:t>
      </w:r>
      <w:r>
        <w:t>-</w:t>
      </w:r>
      <w:r>
        <w:t>行业</w:t>
      </w:r>
      <w:r>
        <w:t>-</w:t>
      </w:r>
      <w:r>
        <w:t>年份组合至少包含一定数量的同龄企业观测。</w:t>
      </w:r>
    </w:p>
    <w:p w14:paraId="5F326258" w14:textId="77777777" w:rsidR="00C90237" w:rsidRDefault="00000000" w:rsidP="00EE76F5">
      <w:pPr>
        <w:ind w:firstLine="480"/>
      </w:pPr>
      <w:r>
        <w:t>作为工具变量估计的补充证据，采用</w:t>
      </w:r>
      <w:r>
        <w:t>Oster</w:t>
      </w:r>
      <w:r>
        <w:t>（</w:t>
      </w:r>
      <w:r>
        <w:t>2019</w:t>
      </w:r>
      <w:r>
        <w:t>）提出的</w:t>
      </w:r>
      <w:r>
        <w:t>δ</w:t>
      </w:r>
      <w:r>
        <w:t>界检验方法评估遗漏变量的潜在影响。该方法假定遗漏变量与已纳入控制变量对因变量的影响具有可比的比例关系，在此假定下计算使估计系数降为零所需的遗漏变量相对重要性。在企业与年份固定效应设定下，</w:t>
      </w:r>
      <m:oMath>
        <m:sSup>
          <m:sSupPr>
            <m:ctrlPr>
              <w:rPr>
                <w:rFonts w:ascii="Cambria Math" w:hAnsi="Cambria Math"/>
              </w:rPr>
            </m:ctrlPr>
          </m:sSupPr>
          <m:e>
            <m:r>
              <w:rPr>
                <w:rFonts w:ascii="Cambria Math" w:hAnsi="Cambria Math"/>
              </w:rPr>
              <m:t>δ</m:t>
            </m:r>
          </m:e>
          <m:sup>
            <m:r>
              <w:rPr>
                <w:rFonts w:ascii="Cambria Math" w:hAnsi="Cambria Math"/>
              </w:rPr>
              <m:t>*</m:t>
            </m:r>
          </m:sup>
        </m:sSup>
      </m:oMath>
      <w:r>
        <w:t>=9.03</w:t>
      </w:r>
      <w:r>
        <w:t>；在企业与行业</w:t>
      </w:r>
      <w:r>
        <w:t>×</w:t>
      </w:r>
      <w:r>
        <w:t>年份固定效应设定下，</w:t>
      </w:r>
      <m:oMath>
        <m:sSup>
          <m:sSupPr>
            <m:ctrlPr>
              <w:rPr>
                <w:rFonts w:ascii="Cambria Math" w:hAnsi="Cambria Math"/>
              </w:rPr>
            </m:ctrlPr>
          </m:sSupPr>
          <m:e>
            <m:r>
              <w:rPr>
                <w:rFonts w:ascii="Cambria Math" w:hAnsi="Cambria Math"/>
              </w:rPr>
              <m:t>δ</m:t>
            </m:r>
          </m:e>
          <m:sup>
            <m:r>
              <w:rPr>
                <w:rFonts w:ascii="Cambria Math" w:hAnsi="Cambria Math"/>
              </w:rPr>
              <m:t>*</m:t>
            </m:r>
          </m:sup>
        </m:sSup>
      </m:oMath>
      <w:r>
        <w:t>=3.65</w:t>
      </w:r>
      <w:r>
        <w:t>。两个</w:t>
      </w:r>
      <m:oMath>
        <m:sSup>
          <m:sSupPr>
            <m:ctrlPr>
              <w:rPr>
                <w:rFonts w:ascii="Cambria Math" w:hAnsi="Cambria Math"/>
              </w:rPr>
            </m:ctrlPr>
          </m:sSupPr>
          <m:e>
            <m:r>
              <w:rPr>
                <w:rFonts w:ascii="Cambria Math" w:hAnsi="Cambria Math"/>
              </w:rPr>
              <m:t>δ</m:t>
            </m:r>
          </m:e>
          <m:sup>
            <m:r>
              <w:rPr>
                <w:rFonts w:ascii="Cambria Math" w:hAnsi="Cambria Math"/>
              </w:rPr>
              <m:t>*</m:t>
            </m:r>
          </m:sup>
        </m:sSup>
      </m:oMath>
      <w:r>
        <w:t>均超过</w:t>
      </w:r>
      <w:r>
        <w:t>Oster</w:t>
      </w:r>
      <w:r>
        <w:t>建议的经验临界值</w:t>
      </w:r>
      <w:r>
        <w:t>1</w:t>
      </w:r>
      <w:r>
        <w:t>。虽然</w:t>
      </w:r>
      <w:r>
        <w:t>δ</w:t>
      </w:r>
      <w:r>
        <w:t>界检验依赖于不可检验的假定，但结合工具变量估计的强有力证据，基准回归中数据要素利用对股价延迟的负向效应具有合理的因果解释基础。</w:t>
      </w:r>
    </w:p>
    <w:p w14:paraId="2AF3AF46" w14:textId="77777777" w:rsidR="00C90237" w:rsidRDefault="00000000" w:rsidP="00EE76F5">
      <w:pPr>
        <w:ind w:firstLine="480"/>
      </w:pPr>
      <w:r>
        <w:t>除因果识别外，基准回归结论对变量测度方式和样本范围的敏感性同样需要排除。以股价同步性（</w:t>
      </w:r>
      <w:r>
        <w:t>SYNCH</w:t>
      </w:r>
      <w:r>
        <w:t>）替代股价延迟作为定价效率的度量指标，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w:t>
      </w:r>
      <w:r>
        <w:t>+0.011</w:t>
      </w:r>
      <w:r>
        <w:t>（</w:t>
      </w:r>
      <w:r>
        <w:t>t=1.65</w:t>
      </w:r>
      <w:r>
        <w:t>，</w:t>
      </w:r>
      <w:r>
        <w:t>p=0.099</w:t>
      </w:r>
      <w:r>
        <w:t>），使用对数变换的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后系数增至</w:t>
      </w:r>
      <w:r>
        <w:t>+0.015</w:t>
      </w:r>
      <w:r>
        <w:t>（</w:t>
      </w:r>
      <w:r>
        <w:t>t=2.45</w:t>
      </w:r>
      <w:r>
        <w:t>，</w:t>
      </w:r>
      <w:r>
        <w:t>p=0.015</w:t>
      </w:r>
      <w:r>
        <w:t>），在行业与年份固定效应下同样显著为正（</w:t>
      </w:r>
      <w:r>
        <w:t>t=2.32</w:t>
      </w:r>
      <w:r>
        <w:t>）。正向系数表明数据要素利用提高了企业特质信息向价格的融入程度，与基准回归的经济含义一致。将主要自变量分别替换为</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和实质利用指标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sub_ln</m:t>
            </m:r>
          </m:sub>
        </m:sSub>
      </m:oMath>
      <w:r>
        <w:t>，系数分别为</w:t>
      </w:r>
      <w:r>
        <w:t>-0.00322</w:t>
      </w:r>
      <w:r>
        <w:t>（</w:t>
      </w:r>
      <w:r>
        <w:t>t=-3.13</w:t>
      </w:r>
      <w:r>
        <w:t>）和</w:t>
      </w:r>
      <w:r>
        <w:t>-0.00223</w:t>
      </w:r>
      <w:r>
        <w:t>（</w:t>
      </w:r>
      <w:r>
        <w:t>t=-2.64</w:t>
      </w:r>
      <w:r>
        <w:t>），均在</w:t>
      </w:r>
      <w:r>
        <w:t>1%</w:t>
      </w:r>
      <w:r>
        <w:t>的水平上显著为负，排除了结论对特定测度方式的依赖。</w:t>
      </w:r>
    </w:p>
    <w:p w14:paraId="74D6AE2C" w14:textId="4ABD1C47" w:rsidR="00367949" w:rsidRDefault="00000000" w:rsidP="00367949">
      <w:pPr>
        <w:ind w:firstLine="480"/>
      </w:pPr>
      <w:r>
        <w:t>采用倾向得分匹配（</w:t>
      </w:r>
      <w:r>
        <w:t>PSM</w:t>
      </w:r>
      <w:r>
        <w:t>）缓解样本选择偏差，以</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是否高于中位数为处理变量，全部控制变量作为匹配协变量，使用最近邻匹配构造匹配样本（</w:t>
      </w:r>
      <w:r>
        <w:t>N=31,381</w:t>
      </w:r>
      <w:r>
        <w:t>）。匹配样本上</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w:t>
      </w:r>
      <w:r>
        <w:t>-0.00478</w:t>
      </w:r>
      <w:r>
        <w:t>（</w:t>
      </w:r>
      <w:r>
        <w:t>t=-3.70</w:t>
      </w:r>
      <w:r>
        <w:t>，</w:t>
      </w:r>
      <w:r>
        <w:t>p&lt;0.001</w:t>
      </w:r>
      <w:r>
        <w:t>），系数绝对值甚至略大于基准回归，进一步增强了结论的可信度。在子样本层面，剔除</w:t>
      </w:r>
      <w:r>
        <w:t>2024</w:t>
      </w:r>
      <w:r>
        <w:t>年入表新规实施首年的观测后（</w:t>
      </w:r>
      <w:r>
        <w:t>N=33,878</w:t>
      </w:r>
      <w:r>
        <w:t>），</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w:t>
      </w:r>
      <w:r>
        <w:t>-0.00503</w:t>
      </w:r>
      <w:r>
        <w:t>（</w:t>
      </w:r>
      <w:r>
        <w:t>t=-5.23</w:t>
      </w:r>
      <w:r>
        <w:t>），不仅保持高度显著且绝对值增大，表明结论并非由政策冲击年份驱动。仅保留主板上市企业（</w:t>
      </w:r>
      <w:r>
        <w:t>N=29,666</w:t>
      </w:r>
      <w:r>
        <w:t>），系数为</w:t>
      </w:r>
      <w:r>
        <w:t>-0.00389</w:t>
      </w:r>
      <w:r>
        <w:t>（</w:t>
      </w:r>
      <w:r>
        <w:t>t=-2.40</w:t>
      </w:r>
      <w:r>
        <w:t>），同样显著为负。</w:t>
      </w:r>
    </w:p>
    <w:tbl>
      <w:tblPr>
        <w:tblW w:w="0" w:type="auto"/>
        <w:tblInd w:w="108" w:type="dxa"/>
        <w:tblLook w:val="04A0" w:firstRow="1" w:lastRow="0" w:firstColumn="1" w:lastColumn="0" w:noHBand="0" w:noVBand="1"/>
      </w:tblPr>
      <w:tblGrid>
        <w:gridCol w:w="2827"/>
        <w:gridCol w:w="859"/>
        <w:gridCol w:w="1283"/>
        <w:gridCol w:w="654"/>
        <w:gridCol w:w="1124"/>
        <w:gridCol w:w="794"/>
      </w:tblGrid>
      <w:tr w:rsidR="00367949" w:rsidRPr="00367949" w14:paraId="761D7D45" w14:textId="77777777" w:rsidTr="00367949">
        <w:trPr>
          <w:trHeight w:val="320"/>
        </w:trPr>
        <w:tc>
          <w:tcPr>
            <w:tcW w:w="0" w:type="auto"/>
            <w:tcBorders>
              <w:top w:val="single" w:sz="4" w:space="0" w:color="auto"/>
              <w:left w:val="nil"/>
              <w:bottom w:val="single" w:sz="4" w:space="0" w:color="auto"/>
              <w:right w:val="nil"/>
            </w:tcBorders>
            <w:noWrap/>
            <w:vAlign w:val="center"/>
            <w:hideMark/>
          </w:tcPr>
          <w:p w14:paraId="44E54262" w14:textId="77777777" w:rsidR="00367949" w:rsidRPr="00367949" w:rsidRDefault="00367949" w:rsidP="00367949">
            <w:pPr>
              <w:pStyle w:val="af"/>
            </w:pPr>
            <w:r w:rsidRPr="00367949">
              <w:rPr>
                <w:rFonts w:hint="eastAsia"/>
              </w:rPr>
              <w:t>检验项目</w:t>
            </w:r>
          </w:p>
        </w:tc>
        <w:tc>
          <w:tcPr>
            <w:tcW w:w="859" w:type="dxa"/>
            <w:tcBorders>
              <w:top w:val="single" w:sz="4" w:space="0" w:color="auto"/>
              <w:left w:val="nil"/>
              <w:bottom w:val="single" w:sz="4" w:space="0" w:color="auto"/>
              <w:right w:val="nil"/>
            </w:tcBorders>
            <w:noWrap/>
            <w:vAlign w:val="center"/>
            <w:hideMark/>
          </w:tcPr>
          <w:p w14:paraId="2A308FBB" w14:textId="77777777" w:rsidR="00367949" w:rsidRPr="00367949" w:rsidRDefault="00367949" w:rsidP="00367949">
            <w:pPr>
              <w:pStyle w:val="af"/>
              <w:rPr>
                <w:rFonts w:hint="eastAsia"/>
              </w:rPr>
            </w:pPr>
            <w:r w:rsidRPr="00367949">
              <w:rPr>
                <w:rFonts w:hint="eastAsia"/>
              </w:rPr>
              <w:t>自变量</w:t>
            </w:r>
          </w:p>
        </w:tc>
        <w:tc>
          <w:tcPr>
            <w:tcW w:w="1283" w:type="dxa"/>
            <w:tcBorders>
              <w:top w:val="single" w:sz="4" w:space="0" w:color="auto"/>
              <w:left w:val="nil"/>
              <w:bottom w:val="single" w:sz="4" w:space="0" w:color="auto"/>
              <w:right w:val="nil"/>
            </w:tcBorders>
            <w:noWrap/>
            <w:vAlign w:val="center"/>
            <w:hideMark/>
          </w:tcPr>
          <w:p w14:paraId="2406C284" w14:textId="77777777" w:rsidR="00367949" w:rsidRPr="00367949" w:rsidRDefault="00367949" w:rsidP="00367949">
            <w:pPr>
              <w:pStyle w:val="af"/>
              <w:rPr>
                <w:rFonts w:hint="eastAsia"/>
              </w:rPr>
            </w:pPr>
            <w:r w:rsidRPr="00367949">
              <w:rPr>
                <w:rFonts w:hint="eastAsia"/>
              </w:rPr>
              <w:t>系数</w:t>
            </w:r>
          </w:p>
        </w:tc>
        <w:tc>
          <w:tcPr>
            <w:tcW w:w="0" w:type="auto"/>
            <w:tcBorders>
              <w:top w:val="single" w:sz="4" w:space="0" w:color="auto"/>
              <w:left w:val="nil"/>
              <w:bottom w:val="single" w:sz="4" w:space="0" w:color="auto"/>
              <w:right w:val="nil"/>
            </w:tcBorders>
            <w:noWrap/>
            <w:vAlign w:val="center"/>
            <w:hideMark/>
          </w:tcPr>
          <w:p w14:paraId="326103AB" w14:textId="77777777" w:rsidR="00367949" w:rsidRPr="00367949" w:rsidRDefault="00367949" w:rsidP="00367949">
            <w:pPr>
              <w:pStyle w:val="af"/>
              <w:rPr>
                <w:rFonts w:hint="eastAsia"/>
              </w:rPr>
            </w:pPr>
            <w:r w:rsidRPr="00367949">
              <w:rPr>
                <w:rFonts w:hint="eastAsia"/>
              </w:rPr>
              <w:t>t</w:t>
            </w:r>
            <w:r w:rsidRPr="00367949">
              <w:rPr>
                <w:rFonts w:hint="eastAsia"/>
              </w:rPr>
              <w:t>值</w:t>
            </w:r>
          </w:p>
        </w:tc>
        <w:tc>
          <w:tcPr>
            <w:tcW w:w="0" w:type="auto"/>
            <w:tcBorders>
              <w:top w:val="single" w:sz="4" w:space="0" w:color="auto"/>
              <w:left w:val="nil"/>
              <w:bottom w:val="single" w:sz="4" w:space="0" w:color="auto"/>
              <w:right w:val="nil"/>
            </w:tcBorders>
            <w:noWrap/>
            <w:vAlign w:val="center"/>
            <w:hideMark/>
          </w:tcPr>
          <w:p w14:paraId="4ED6760F" w14:textId="77777777" w:rsidR="00367949" w:rsidRPr="00367949" w:rsidRDefault="00367949" w:rsidP="00367949">
            <w:pPr>
              <w:pStyle w:val="af"/>
              <w:rPr>
                <w:rFonts w:hint="eastAsia"/>
              </w:rPr>
            </w:pPr>
            <w:r w:rsidRPr="00367949">
              <w:rPr>
                <w:rFonts w:hint="eastAsia"/>
              </w:rPr>
              <w:t>p</w:t>
            </w:r>
            <w:r w:rsidRPr="00367949">
              <w:rPr>
                <w:rFonts w:hint="eastAsia"/>
              </w:rPr>
              <w:t>值</w:t>
            </w:r>
          </w:p>
        </w:tc>
        <w:tc>
          <w:tcPr>
            <w:tcW w:w="0" w:type="auto"/>
            <w:tcBorders>
              <w:top w:val="single" w:sz="4" w:space="0" w:color="auto"/>
              <w:left w:val="nil"/>
              <w:bottom w:val="single" w:sz="4" w:space="0" w:color="auto"/>
              <w:right w:val="nil"/>
            </w:tcBorders>
            <w:noWrap/>
            <w:vAlign w:val="center"/>
            <w:hideMark/>
          </w:tcPr>
          <w:p w14:paraId="147C0D78" w14:textId="77777777" w:rsidR="00367949" w:rsidRPr="00367949" w:rsidRDefault="00367949" w:rsidP="00367949">
            <w:pPr>
              <w:pStyle w:val="af"/>
              <w:rPr>
                <w:rFonts w:hint="eastAsia"/>
              </w:rPr>
            </w:pPr>
            <w:r w:rsidRPr="00367949">
              <w:rPr>
                <w:rFonts w:hint="eastAsia"/>
              </w:rPr>
              <w:t>N</w:t>
            </w:r>
          </w:p>
        </w:tc>
      </w:tr>
      <w:tr w:rsidR="00367949" w:rsidRPr="00367949" w14:paraId="4B31B107" w14:textId="77777777" w:rsidTr="00367949">
        <w:trPr>
          <w:trHeight w:val="320"/>
        </w:trPr>
        <w:tc>
          <w:tcPr>
            <w:tcW w:w="0" w:type="auto"/>
            <w:tcBorders>
              <w:top w:val="single" w:sz="4" w:space="0" w:color="auto"/>
              <w:left w:val="nil"/>
              <w:bottom w:val="nil"/>
              <w:right w:val="nil"/>
            </w:tcBorders>
            <w:noWrap/>
            <w:vAlign w:val="center"/>
            <w:hideMark/>
          </w:tcPr>
          <w:p w14:paraId="645BC79C" w14:textId="77777777" w:rsidR="00367949" w:rsidRPr="00367949" w:rsidRDefault="00367949" w:rsidP="00367949">
            <w:pPr>
              <w:pStyle w:val="af"/>
              <w:rPr>
                <w:rFonts w:hint="eastAsia"/>
              </w:rPr>
            </w:pPr>
            <w:r w:rsidRPr="00367949">
              <w:rPr>
                <w:rFonts w:hint="eastAsia"/>
              </w:rPr>
              <w:t>替换</w:t>
            </w:r>
            <w:r w:rsidRPr="00367949">
              <w:rPr>
                <w:rFonts w:hint="eastAsia"/>
              </w:rPr>
              <w:t>DV: SYNCH</w:t>
            </w:r>
          </w:p>
        </w:tc>
        <w:tc>
          <w:tcPr>
            <w:tcW w:w="859" w:type="dxa"/>
            <w:tcBorders>
              <w:top w:val="single" w:sz="4" w:space="0" w:color="auto"/>
              <w:left w:val="nil"/>
              <w:bottom w:val="nil"/>
              <w:right w:val="nil"/>
            </w:tcBorders>
            <w:noWrap/>
            <w:vAlign w:val="center"/>
            <w:hideMark/>
          </w:tcPr>
          <w:p w14:paraId="30059C24" w14:textId="3BB810AB"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1283" w:type="dxa"/>
            <w:tcBorders>
              <w:top w:val="single" w:sz="4" w:space="0" w:color="auto"/>
              <w:left w:val="nil"/>
              <w:bottom w:val="nil"/>
              <w:right w:val="nil"/>
            </w:tcBorders>
            <w:noWrap/>
            <w:vAlign w:val="center"/>
            <w:hideMark/>
          </w:tcPr>
          <w:p w14:paraId="6243DD34" w14:textId="77777777" w:rsidR="00367949" w:rsidRPr="00367949" w:rsidRDefault="00367949" w:rsidP="00367949">
            <w:pPr>
              <w:pStyle w:val="af"/>
              <w:rPr>
                <w:rFonts w:hint="eastAsia"/>
              </w:rPr>
            </w:pPr>
            <w:r w:rsidRPr="00367949">
              <w:rPr>
                <w:rFonts w:hint="eastAsia"/>
              </w:rPr>
              <w:t>0.011</w:t>
            </w:r>
          </w:p>
        </w:tc>
        <w:tc>
          <w:tcPr>
            <w:tcW w:w="0" w:type="auto"/>
            <w:tcBorders>
              <w:top w:val="single" w:sz="4" w:space="0" w:color="auto"/>
              <w:left w:val="nil"/>
              <w:bottom w:val="nil"/>
              <w:right w:val="nil"/>
            </w:tcBorders>
            <w:noWrap/>
            <w:vAlign w:val="center"/>
            <w:hideMark/>
          </w:tcPr>
          <w:p w14:paraId="608A02B5" w14:textId="77777777" w:rsidR="00367949" w:rsidRPr="00367949" w:rsidRDefault="00367949" w:rsidP="00367949">
            <w:pPr>
              <w:pStyle w:val="af"/>
              <w:rPr>
                <w:rFonts w:hint="eastAsia"/>
              </w:rPr>
            </w:pPr>
            <w:r w:rsidRPr="00367949">
              <w:rPr>
                <w:rFonts w:hint="eastAsia"/>
              </w:rPr>
              <w:t>1.65</w:t>
            </w:r>
          </w:p>
        </w:tc>
        <w:tc>
          <w:tcPr>
            <w:tcW w:w="0" w:type="auto"/>
            <w:tcBorders>
              <w:top w:val="single" w:sz="4" w:space="0" w:color="auto"/>
              <w:left w:val="nil"/>
              <w:bottom w:val="nil"/>
              <w:right w:val="nil"/>
            </w:tcBorders>
            <w:noWrap/>
            <w:vAlign w:val="center"/>
            <w:hideMark/>
          </w:tcPr>
          <w:p w14:paraId="2996CC65" w14:textId="77777777" w:rsidR="00367949" w:rsidRPr="00367949" w:rsidRDefault="00367949" w:rsidP="00367949">
            <w:pPr>
              <w:pStyle w:val="af"/>
              <w:rPr>
                <w:rFonts w:hint="eastAsia"/>
              </w:rPr>
            </w:pPr>
            <w:r w:rsidRPr="00367949">
              <w:rPr>
                <w:rFonts w:hint="eastAsia"/>
              </w:rPr>
              <w:t>0.099</w:t>
            </w:r>
          </w:p>
        </w:tc>
        <w:tc>
          <w:tcPr>
            <w:tcW w:w="0" w:type="auto"/>
            <w:tcBorders>
              <w:top w:val="single" w:sz="4" w:space="0" w:color="auto"/>
              <w:left w:val="nil"/>
              <w:bottom w:val="nil"/>
              <w:right w:val="nil"/>
            </w:tcBorders>
            <w:noWrap/>
            <w:vAlign w:val="center"/>
            <w:hideMark/>
          </w:tcPr>
          <w:p w14:paraId="192C1516" w14:textId="77777777" w:rsidR="00367949" w:rsidRPr="00367949" w:rsidRDefault="00367949" w:rsidP="00367949">
            <w:pPr>
              <w:pStyle w:val="af"/>
              <w:rPr>
                <w:rFonts w:hint="eastAsia"/>
              </w:rPr>
            </w:pPr>
            <w:r w:rsidRPr="00367949">
              <w:rPr>
                <w:rFonts w:hint="eastAsia"/>
              </w:rPr>
              <w:t>29,444</w:t>
            </w:r>
          </w:p>
        </w:tc>
      </w:tr>
      <w:tr w:rsidR="00367949" w:rsidRPr="00367949" w14:paraId="160FA742" w14:textId="77777777" w:rsidTr="00367949">
        <w:trPr>
          <w:trHeight w:val="320"/>
        </w:trPr>
        <w:tc>
          <w:tcPr>
            <w:tcW w:w="0" w:type="auto"/>
            <w:tcBorders>
              <w:top w:val="nil"/>
              <w:left w:val="nil"/>
              <w:bottom w:val="nil"/>
              <w:right w:val="nil"/>
            </w:tcBorders>
            <w:noWrap/>
            <w:vAlign w:val="center"/>
            <w:hideMark/>
          </w:tcPr>
          <w:p w14:paraId="4C6130AF" w14:textId="77777777" w:rsidR="00367949" w:rsidRPr="00367949" w:rsidRDefault="00367949" w:rsidP="00367949">
            <w:pPr>
              <w:pStyle w:val="af"/>
              <w:rPr>
                <w:rFonts w:hint="eastAsia"/>
              </w:rPr>
            </w:pPr>
            <w:r w:rsidRPr="00367949">
              <w:rPr>
                <w:rFonts w:hint="eastAsia"/>
              </w:rPr>
              <w:t>替换</w:t>
            </w:r>
            <w:r w:rsidRPr="00367949">
              <w:rPr>
                <w:rFonts w:hint="eastAsia"/>
              </w:rPr>
              <w:t>DV: SYNCH</w:t>
            </w:r>
          </w:p>
        </w:tc>
        <w:tc>
          <w:tcPr>
            <w:tcW w:w="859" w:type="dxa"/>
            <w:tcBorders>
              <w:top w:val="nil"/>
              <w:left w:val="nil"/>
              <w:bottom w:val="nil"/>
              <w:right w:val="nil"/>
            </w:tcBorders>
            <w:noWrap/>
            <w:vAlign w:val="center"/>
            <w:hideMark/>
          </w:tcPr>
          <w:p w14:paraId="47958CEE" w14:textId="672B2061"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kwln</w:t>
            </w:r>
            <w:proofErr w:type="spellEnd"/>
          </w:p>
        </w:tc>
        <w:tc>
          <w:tcPr>
            <w:tcW w:w="1283" w:type="dxa"/>
            <w:tcBorders>
              <w:top w:val="nil"/>
              <w:left w:val="nil"/>
              <w:bottom w:val="nil"/>
              <w:right w:val="nil"/>
            </w:tcBorders>
            <w:noWrap/>
            <w:vAlign w:val="center"/>
            <w:hideMark/>
          </w:tcPr>
          <w:p w14:paraId="4F4C5AC1" w14:textId="77777777" w:rsidR="00367949" w:rsidRPr="00367949" w:rsidRDefault="00367949" w:rsidP="00367949">
            <w:pPr>
              <w:pStyle w:val="af"/>
              <w:rPr>
                <w:rFonts w:hint="eastAsia"/>
              </w:rPr>
            </w:pPr>
            <w:r w:rsidRPr="00367949">
              <w:rPr>
                <w:rFonts w:hint="eastAsia"/>
              </w:rPr>
              <w:t>0.015</w:t>
            </w:r>
          </w:p>
        </w:tc>
        <w:tc>
          <w:tcPr>
            <w:tcW w:w="0" w:type="auto"/>
            <w:tcBorders>
              <w:top w:val="nil"/>
              <w:left w:val="nil"/>
              <w:bottom w:val="nil"/>
              <w:right w:val="nil"/>
            </w:tcBorders>
            <w:noWrap/>
            <w:vAlign w:val="center"/>
            <w:hideMark/>
          </w:tcPr>
          <w:p w14:paraId="3F428537" w14:textId="77777777" w:rsidR="00367949" w:rsidRPr="00367949" w:rsidRDefault="00367949" w:rsidP="00367949">
            <w:pPr>
              <w:pStyle w:val="af"/>
              <w:rPr>
                <w:rFonts w:hint="eastAsia"/>
              </w:rPr>
            </w:pPr>
            <w:r w:rsidRPr="00367949">
              <w:rPr>
                <w:rFonts w:hint="eastAsia"/>
              </w:rPr>
              <w:t>2.45</w:t>
            </w:r>
          </w:p>
        </w:tc>
        <w:tc>
          <w:tcPr>
            <w:tcW w:w="0" w:type="auto"/>
            <w:tcBorders>
              <w:top w:val="nil"/>
              <w:left w:val="nil"/>
              <w:bottom w:val="nil"/>
              <w:right w:val="nil"/>
            </w:tcBorders>
            <w:noWrap/>
            <w:vAlign w:val="center"/>
            <w:hideMark/>
          </w:tcPr>
          <w:p w14:paraId="75FD666B" w14:textId="77777777" w:rsidR="00367949" w:rsidRPr="00367949" w:rsidRDefault="00367949" w:rsidP="00367949">
            <w:pPr>
              <w:pStyle w:val="af"/>
              <w:rPr>
                <w:rFonts w:hint="eastAsia"/>
              </w:rPr>
            </w:pPr>
            <w:r w:rsidRPr="00367949">
              <w:rPr>
                <w:rFonts w:hint="eastAsia"/>
              </w:rPr>
              <w:t>0.015**</w:t>
            </w:r>
          </w:p>
        </w:tc>
        <w:tc>
          <w:tcPr>
            <w:tcW w:w="0" w:type="auto"/>
            <w:tcBorders>
              <w:top w:val="nil"/>
              <w:left w:val="nil"/>
              <w:bottom w:val="nil"/>
              <w:right w:val="nil"/>
            </w:tcBorders>
            <w:noWrap/>
            <w:vAlign w:val="center"/>
            <w:hideMark/>
          </w:tcPr>
          <w:p w14:paraId="154F161A" w14:textId="77777777" w:rsidR="00367949" w:rsidRPr="00367949" w:rsidRDefault="00367949" w:rsidP="00367949">
            <w:pPr>
              <w:pStyle w:val="af"/>
              <w:rPr>
                <w:rFonts w:hint="eastAsia"/>
              </w:rPr>
            </w:pPr>
            <w:r w:rsidRPr="00367949">
              <w:rPr>
                <w:rFonts w:hint="eastAsia"/>
              </w:rPr>
              <w:t>29,444</w:t>
            </w:r>
          </w:p>
        </w:tc>
      </w:tr>
      <w:tr w:rsidR="00367949" w:rsidRPr="00367949" w14:paraId="2CC486D6" w14:textId="77777777" w:rsidTr="00367949">
        <w:trPr>
          <w:trHeight w:val="320"/>
        </w:trPr>
        <w:tc>
          <w:tcPr>
            <w:tcW w:w="0" w:type="auto"/>
            <w:tcBorders>
              <w:top w:val="nil"/>
              <w:left w:val="nil"/>
              <w:bottom w:val="nil"/>
              <w:right w:val="nil"/>
            </w:tcBorders>
            <w:noWrap/>
            <w:vAlign w:val="center"/>
            <w:hideMark/>
          </w:tcPr>
          <w:p w14:paraId="71905136" w14:textId="77777777" w:rsidR="00367949" w:rsidRPr="00367949" w:rsidRDefault="00367949" w:rsidP="00367949">
            <w:pPr>
              <w:pStyle w:val="af"/>
              <w:rPr>
                <w:rFonts w:hint="eastAsia"/>
              </w:rPr>
            </w:pPr>
            <w:r w:rsidRPr="00367949">
              <w:rPr>
                <w:rFonts w:hint="eastAsia"/>
              </w:rPr>
              <w:t>替换</w:t>
            </w:r>
            <w:r w:rsidRPr="00367949">
              <w:rPr>
                <w:rFonts w:hint="eastAsia"/>
              </w:rPr>
              <w:t>DV: SYNCH(</w:t>
            </w:r>
            <w:proofErr w:type="spellStart"/>
            <w:r w:rsidRPr="00367949">
              <w:rPr>
                <w:rFonts w:hint="eastAsia"/>
              </w:rPr>
              <w:t>Ind+Year</w:t>
            </w:r>
            <w:proofErr w:type="spellEnd"/>
            <w:r w:rsidRPr="00367949">
              <w:rPr>
                <w:rFonts w:hint="eastAsia"/>
              </w:rPr>
              <w:t>)</w:t>
            </w:r>
          </w:p>
        </w:tc>
        <w:tc>
          <w:tcPr>
            <w:tcW w:w="859" w:type="dxa"/>
            <w:tcBorders>
              <w:top w:val="nil"/>
              <w:left w:val="nil"/>
              <w:bottom w:val="nil"/>
              <w:right w:val="nil"/>
            </w:tcBorders>
            <w:noWrap/>
            <w:vAlign w:val="center"/>
            <w:hideMark/>
          </w:tcPr>
          <w:p w14:paraId="48887456" w14:textId="7C861C66"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1283" w:type="dxa"/>
            <w:tcBorders>
              <w:top w:val="nil"/>
              <w:left w:val="nil"/>
              <w:bottom w:val="nil"/>
              <w:right w:val="nil"/>
            </w:tcBorders>
            <w:noWrap/>
            <w:vAlign w:val="center"/>
            <w:hideMark/>
          </w:tcPr>
          <w:p w14:paraId="35E3DA7D" w14:textId="77777777" w:rsidR="00367949" w:rsidRPr="00367949" w:rsidRDefault="00367949" w:rsidP="00367949">
            <w:pPr>
              <w:pStyle w:val="af"/>
              <w:rPr>
                <w:rFonts w:hint="eastAsia"/>
              </w:rPr>
            </w:pPr>
            <w:r w:rsidRPr="00367949">
              <w:rPr>
                <w:rFonts w:hint="eastAsia"/>
              </w:rPr>
              <w:t>0.011</w:t>
            </w:r>
          </w:p>
        </w:tc>
        <w:tc>
          <w:tcPr>
            <w:tcW w:w="0" w:type="auto"/>
            <w:tcBorders>
              <w:top w:val="nil"/>
              <w:left w:val="nil"/>
              <w:bottom w:val="nil"/>
              <w:right w:val="nil"/>
            </w:tcBorders>
            <w:noWrap/>
            <w:vAlign w:val="center"/>
            <w:hideMark/>
          </w:tcPr>
          <w:p w14:paraId="0141BFB0" w14:textId="77777777" w:rsidR="00367949" w:rsidRPr="00367949" w:rsidRDefault="00367949" w:rsidP="00367949">
            <w:pPr>
              <w:pStyle w:val="af"/>
              <w:rPr>
                <w:rFonts w:hint="eastAsia"/>
              </w:rPr>
            </w:pPr>
            <w:r w:rsidRPr="00367949">
              <w:rPr>
                <w:rFonts w:hint="eastAsia"/>
              </w:rPr>
              <w:t>2.32</w:t>
            </w:r>
          </w:p>
        </w:tc>
        <w:tc>
          <w:tcPr>
            <w:tcW w:w="0" w:type="auto"/>
            <w:tcBorders>
              <w:top w:val="nil"/>
              <w:left w:val="nil"/>
              <w:bottom w:val="nil"/>
              <w:right w:val="nil"/>
            </w:tcBorders>
            <w:noWrap/>
            <w:vAlign w:val="center"/>
            <w:hideMark/>
          </w:tcPr>
          <w:p w14:paraId="526360FC" w14:textId="77777777" w:rsidR="00367949" w:rsidRPr="00367949" w:rsidRDefault="00367949" w:rsidP="00367949">
            <w:pPr>
              <w:pStyle w:val="af"/>
              <w:rPr>
                <w:rFonts w:hint="eastAsia"/>
              </w:rPr>
            </w:pPr>
            <w:r w:rsidRPr="00367949">
              <w:rPr>
                <w:rFonts w:hint="eastAsia"/>
              </w:rPr>
              <w:t>0.021**</w:t>
            </w:r>
          </w:p>
        </w:tc>
        <w:tc>
          <w:tcPr>
            <w:tcW w:w="0" w:type="auto"/>
            <w:tcBorders>
              <w:top w:val="nil"/>
              <w:left w:val="nil"/>
              <w:bottom w:val="nil"/>
              <w:right w:val="nil"/>
            </w:tcBorders>
            <w:noWrap/>
            <w:vAlign w:val="center"/>
            <w:hideMark/>
          </w:tcPr>
          <w:p w14:paraId="498C772B" w14:textId="77777777" w:rsidR="00367949" w:rsidRPr="00367949" w:rsidRDefault="00367949" w:rsidP="00367949">
            <w:pPr>
              <w:pStyle w:val="af"/>
              <w:rPr>
                <w:rFonts w:hint="eastAsia"/>
              </w:rPr>
            </w:pPr>
            <w:r w:rsidRPr="00367949">
              <w:rPr>
                <w:rFonts w:hint="eastAsia"/>
              </w:rPr>
              <w:t>29,924</w:t>
            </w:r>
          </w:p>
        </w:tc>
      </w:tr>
      <w:tr w:rsidR="00367949" w:rsidRPr="00367949" w14:paraId="43DEDF92" w14:textId="77777777" w:rsidTr="00367949">
        <w:trPr>
          <w:trHeight w:val="320"/>
        </w:trPr>
        <w:tc>
          <w:tcPr>
            <w:tcW w:w="0" w:type="auto"/>
            <w:tcBorders>
              <w:top w:val="nil"/>
              <w:left w:val="nil"/>
              <w:bottom w:val="nil"/>
              <w:right w:val="nil"/>
            </w:tcBorders>
            <w:noWrap/>
            <w:vAlign w:val="center"/>
            <w:hideMark/>
          </w:tcPr>
          <w:p w14:paraId="0A758DE5" w14:textId="77777777" w:rsidR="00367949" w:rsidRPr="00367949" w:rsidRDefault="00367949" w:rsidP="00367949">
            <w:pPr>
              <w:pStyle w:val="af"/>
              <w:rPr>
                <w:rFonts w:hint="eastAsia"/>
              </w:rPr>
            </w:pPr>
            <w:r w:rsidRPr="00367949">
              <w:rPr>
                <w:rFonts w:hint="eastAsia"/>
              </w:rPr>
              <w:t>替换</w:t>
            </w:r>
            <w:r w:rsidRPr="00367949">
              <w:rPr>
                <w:rFonts w:hint="eastAsia"/>
              </w:rPr>
              <w:t xml:space="preserve">IV: </w:t>
            </w:r>
            <w:proofErr w:type="spellStart"/>
            <w:r w:rsidRPr="00367949">
              <w:rPr>
                <w:rFonts w:hint="eastAsia"/>
              </w:rPr>
              <w:t>DU_kw_ln</w:t>
            </w:r>
            <w:proofErr w:type="spellEnd"/>
          </w:p>
        </w:tc>
        <w:tc>
          <w:tcPr>
            <w:tcW w:w="859" w:type="dxa"/>
            <w:tcBorders>
              <w:top w:val="nil"/>
              <w:left w:val="nil"/>
              <w:bottom w:val="nil"/>
              <w:right w:val="nil"/>
            </w:tcBorders>
            <w:noWrap/>
            <w:vAlign w:val="center"/>
            <w:hideMark/>
          </w:tcPr>
          <w:p w14:paraId="5AD14EF9" w14:textId="54368A9F"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kwln</w:t>
            </w:r>
            <w:proofErr w:type="spellEnd"/>
          </w:p>
        </w:tc>
        <w:tc>
          <w:tcPr>
            <w:tcW w:w="1283" w:type="dxa"/>
            <w:tcBorders>
              <w:top w:val="nil"/>
              <w:left w:val="nil"/>
              <w:bottom w:val="nil"/>
              <w:right w:val="nil"/>
            </w:tcBorders>
            <w:noWrap/>
            <w:vAlign w:val="center"/>
            <w:hideMark/>
          </w:tcPr>
          <w:p w14:paraId="2ACF9CEC" w14:textId="77777777" w:rsidR="00367949" w:rsidRPr="00367949" w:rsidRDefault="00367949" w:rsidP="00367949">
            <w:pPr>
              <w:pStyle w:val="af"/>
              <w:rPr>
                <w:rFonts w:hint="eastAsia"/>
              </w:rPr>
            </w:pPr>
            <w:r w:rsidRPr="00367949">
              <w:rPr>
                <w:rFonts w:hint="eastAsia"/>
              </w:rPr>
              <w:t>-0.00322</w:t>
            </w:r>
          </w:p>
        </w:tc>
        <w:tc>
          <w:tcPr>
            <w:tcW w:w="0" w:type="auto"/>
            <w:tcBorders>
              <w:top w:val="nil"/>
              <w:left w:val="nil"/>
              <w:bottom w:val="nil"/>
              <w:right w:val="nil"/>
            </w:tcBorders>
            <w:noWrap/>
            <w:vAlign w:val="center"/>
            <w:hideMark/>
          </w:tcPr>
          <w:p w14:paraId="79C3C3E0" w14:textId="77777777" w:rsidR="00367949" w:rsidRPr="00367949" w:rsidRDefault="00367949" w:rsidP="00367949">
            <w:pPr>
              <w:pStyle w:val="af"/>
              <w:rPr>
                <w:rFonts w:hint="eastAsia"/>
              </w:rPr>
            </w:pPr>
            <w:r w:rsidRPr="00367949">
              <w:rPr>
                <w:rFonts w:hint="eastAsia"/>
              </w:rPr>
              <w:t>-3.13</w:t>
            </w:r>
          </w:p>
        </w:tc>
        <w:tc>
          <w:tcPr>
            <w:tcW w:w="0" w:type="auto"/>
            <w:tcBorders>
              <w:top w:val="nil"/>
              <w:left w:val="nil"/>
              <w:bottom w:val="nil"/>
              <w:right w:val="nil"/>
            </w:tcBorders>
            <w:noWrap/>
            <w:vAlign w:val="center"/>
            <w:hideMark/>
          </w:tcPr>
          <w:p w14:paraId="663E66C7" w14:textId="77777777" w:rsidR="00367949" w:rsidRPr="00367949" w:rsidRDefault="00367949" w:rsidP="00367949">
            <w:pPr>
              <w:pStyle w:val="af"/>
              <w:rPr>
                <w:rFonts w:hint="eastAsia"/>
              </w:rPr>
            </w:pPr>
            <w:r w:rsidRPr="00367949">
              <w:rPr>
                <w:rFonts w:hint="eastAsia"/>
              </w:rPr>
              <w:t>0.002***</w:t>
            </w:r>
          </w:p>
        </w:tc>
        <w:tc>
          <w:tcPr>
            <w:tcW w:w="0" w:type="auto"/>
            <w:tcBorders>
              <w:top w:val="nil"/>
              <w:left w:val="nil"/>
              <w:bottom w:val="nil"/>
              <w:right w:val="nil"/>
            </w:tcBorders>
            <w:noWrap/>
            <w:vAlign w:val="center"/>
            <w:hideMark/>
          </w:tcPr>
          <w:p w14:paraId="02F9CA9F" w14:textId="77777777" w:rsidR="00367949" w:rsidRPr="00367949" w:rsidRDefault="00367949" w:rsidP="00367949">
            <w:pPr>
              <w:pStyle w:val="af"/>
              <w:rPr>
                <w:rFonts w:hint="eastAsia"/>
              </w:rPr>
            </w:pPr>
            <w:r w:rsidRPr="00367949">
              <w:rPr>
                <w:rFonts w:hint="eastAsia"/>
              </w:rPr>
              <w:t>38,614</w:t>
            </w:r>
          </w:p>
        </w:tc>
      </w:tr>
      <w:tr w:rsidR="00367949" w:rsidRPr="00367949" w14:paraId="186F3B9C" w14:textId="77777777" w:rsidTr="00367949">
        <w:trPr>
          <w:trHeight w:val="320"/>
        </w:trPr>
        <w:tc>
          <w:tcPr>
            <w:tcW w:w="0" w:type="auto"/>
            <w:tcBorders>
              <w:top w:val="nil"/>
              <w:left w:val="nil"/>
              <w:bottom w:val="nil"/>
              <w:right w:val="nil"/>
            </w:tcBorders>
            <w:noWrap/>
            <w:vAlign w:val="center"/>
            <w:hideMark/>
          </w:tcPr>
          <w:p w14:paraId="5833CB84" w14:textId="77777777" w:rsidR="00367949" w:rsidRPr="00367949" w:rsidRDefault="00367949" w:rsidP="00367949">
            <w:pPr>
              <w:pStyle w:val="af"/>
              <w:rPr>
                <w:rFonts w:hint="eastAsia"/>
              </w:rPr>
            </w:pPr>
            <w:r w:rsidRPr="00367949">
              <w:rPr>
                <w:rFonts w:hint="eastAsia"/>
              </w:rPr>
              <w:t>PSM</w:t>
            </w:r>
            <w:r w:rsidRPr="00367949">
              <w:rPr>
                <w:rFonts w:hint="eastAsia"/>
              </w:rPr>
              <w:t>匹配</w:t>
            </w:r>
          </w:p>
        </w:tc>
        <w:tc>
          <w:tcPr>
            <w:tcW w:w="859" w:type="dxa"/>
            <w:tcBorders>
              <w:top w:val="nil"/>
              <w:left w:val="nil"/>
              <w:bottom w:val="nil"/>
              <w:right w:val="nil"/>
            </w:tcBorders>
            <w:noWrap/>
            <w:vAlign w:val="center"/>
            <w:hideMark/>
          </w:tcPr>
          <w:p w14:paraId="561371E0" w14:textId="4B70CF87"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1283" w:type="dxa"/>
            <w:tcBorders>
              <w:top w:val="nil"/>
              <w:left w:val="nil"/>
              <w:bottom w:val="nil"/>
              <w:right w:val="nil"/>
            </w:tcBorders>
            <w:noWrap/>
            <w:vAlign w:val="center"/>
            <w:hideMark/>
          </w:tcPr>
          <w:p w14:paraId="43047FEF" w14:textId="77777777" w:rsidR="00367949" w:rsidRPr="00367949" w:rsidRDefault="00367949" w:rsidP="00367949">
            <w:pPr>
              <w:pStyle w:val="af"/>
              <w:rPr>
                <w:rFonts w:hint="eastAsia"/>
              </w:rPr>
            </w:pPr>
            <w:r w:rsidRPr="00367949">
              <w:rPr>
                <w:rFonts w:hint="eastAsia"/>
              </w:rPr>
              <w:t>-0.00478</w:t>
            </w:r>
          </w:p>
        </w:tc>
        <w:tc>
          <w:tcPr>
            <w:tcW w:w="0" w:type="auto"/>
            <w:tcBorders>
              <w:top w:val="nil"/>
              <w:left w:val="nil"/>
              <w:bottom w:val="nil"/>
              <w:right w:val="nil"/>
            </w:tcBorders>
            <w:noWrap/>
            <w:vAlign w:val="center"/>
            <w:hideMark/>
          </w:tcPr>
          <w:p w14:paraId="1EACBA56" w14:textId="77777777" w:rsidR="00367949" w:rsidRPr="00367949" w:rsidRDefault="00367949" w:rsidP="00367949">
            <w:pPr>
              <w:pStyle w:val="af"/>
              <w:rPr>
                <w:rFonts w:hint="eastAsia"/>
              </w:rPr>
            </w:pPr>
            <w:r w:rsidRPr="00367949">
              <w:rPr>
                <w:rFonts w:hint="eastAsia"/>
              </w:rPr>
              <w:t>-3.7</w:t>
            </w:r>
          </w:p>
        </w:tc>
        <w:tc>
          <w:tcPr>
            <w:tcW w:w="0" w:type="auto"/>
            <w:tcBorders>
              <w:top w:val="nil"/>
              <w:left w:val="nil"/>
              <w:bottom w:val="nil"/>
              <w:right w:val="nil"/>
            </w:tcBorders>
            <w:noWrap/>
            <w:vAlign w:val="center"/>
            <w:hideMark/>
          </w:tcPr>
          <w:p w14:paraId="637525CB" w14:textId="77777777" w:rsidR="00367949" w:rsidRPr="00367949" w:rsidRDefault="00367949" w:rsidP="00367949">
            <w:pPr>
              <w:pStyle w:val="af"/>
              <w:rPr>
                <w:rFonts w:hint="eastAsia"/>
              </w:rPr>
            </w:pPr>
            <w:r w:rsidRPr="00367949">
              <w:rPr>
                <w:rFonts w:hint="eastAsia"/>
              </w:rPr>
              <w:t>&lt;0.001***</w:t>
            </w:r>
          </w:p>
        </w:tc>
        <w:tc>
          <w:tcPr>
            <w:tcW w:w="0" w:type="auto"/>
            <w:tcBorders>
              <w:top w:val="nil"/>
              <w:left w:val="nil"/>
              <w:bottom w:val="nil"/>
              <w:right w:val="nil"/>
            </w:tcBorders>
            <w:noWrap/>
            <w:vAlign w:val="center"/>
            <w:hideMark/>
          </w:tcPr>
          <w:p w14:paraId="2037D190" w14:textId="77777777" w:rsidR="00367949" w:rsidRPr="00367949" w:rsidRDefault="00367949" w:rsidP="00367949">
            <w:pPr>
              <w:pStyle w:val="af"/>
              <w:rPr>
                <w:rFonts w:hint="eastAsia"/>
              </w:rPr>
            </w:pPr>
            <w:r w:rsidRPr="00367949">
              <w:rPr>
                <w:rFonts w:hint="eastAsia"/>
              </w:rPr>
              <w:t>31,381</w:t>
            </w:r>
          </w:p>
        </w:tc>
      </w:tr>
      <w:tr w:rsidR="00367949" w:rsidRPr="00367949" w14:paraId="19EC4FFB" w14:textId="77777777" w:rsidTr="00367949">
        <w:trPr>
          <w:trHeight w:val="320"/>
        </w:trPr>
        <w:tc>
          <w:tcPr>
            <w:tcW w:w="0" w:type="auto"/>
            <w:tcBorders>
              <w:top w:val="nil"/>
              <w:left w:val="nil"/>
              <w:bottom w:val="nil"/>
              <w:right w:val="nil"/>
            </w:tcBorders>
            <w:noWrap/>
            <w:vAlign w:val="center"/>
            <w:hideMark/>
          </w:tcPr>
          <w:p w14:paraId="7E4E8F48" w14:textId="77777777" w:rsidR="00367949" w:rsidRPr="00367949" w:rsidRDefault="00367949" w:rsidP="00367949">
            <w:pPr>
              <w:pStyle w:val="af"/>
              <w:rPr>
                <w:rFonts w:hint="eastAsia"/>
              </w:rPr>
            </w:pPr>
            <w:r w:rsidRPr="00367949">
              <w:rPr>
                <w:rFonts w:hint="eastAsia"/>
              </w:rPr>
              <w:t>剔除</w:t>
            </w:r>
            <w:r w:rsidRPr="00367949">
              <w:rPr>
                <w:rFonts w:hint="eastAsia"/>
              </w:rPr>
              <w:t>2024</w:t>
            </w:r>
            <w:r w:rsidRPr="00367949">
              <w:rPr>
                <w:rFonts w:hint="eastAsia"/>
              </w:rPr>
              <w:t>年</w:t>
            </w:r>
          </w:p>
        </w:tc>
        <w:tc>
          <w:tcPr>
            <w:tcW w:w="859" w:type="dxa"/>
            <w:tcBorders>
              <w:top w:val="nil"/>
              <w:left w:val="nil"/>
              <w:bottom w:val="nil"/>
              <w:right w:val="nil"/>
            </w:tcBorders>
            <w:noWrap/>
            <w:vAlign w:val="center"/>
            <w:hideMark/>
          </w:tcPr>
          <w:p w14:paraId="26DBC587" w14:textId="41D638BF"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1283" w:type="dxa"/>
            <w:tcBorders>
              <w:top w:val="nil"/>
              <w:left w:val="nil"/>
              <w:bottom w:val="nil"/>
              <w:right w:val="nil"/>
            </w:tcBorders>
            <w:noWrap/>
            <w:vAlign w:val="center"/>
            <w:hideMark/>
          </w:tcPr>
          <w:p w14:paraId="583595FF" w14:textId="77777777" w:rsidR="00367949" w:rsidRPr="00367949" w:rsidRDefault="00367949" w:rsidP="00367949">
            <w:pPr>
              <w:pStyle w:val="af"/>
              <w:rPr>
                <w:rFonts w:hint="eastAsia"/>
              </w:rPr>
            </w:pPr>
            <w:r w:rsidRPr="00367949">
              <w:rPr>
                <w:rFonts w:hint="eastAsia"/>
              </w:rPr>
              <w:t>-0.00503</w:t>
            </w:r>
          </w:p>
        </w:tc>
        <w:tc>
          <w:tcPr>
            <w:tcW w:w="0" w:type="auto"/>
            <w:tcBorders>
              <w:top w:val="nil"/>
              <w:left w:val="nil"/>
              <w:bottom w:val="nil"/>
              <w:right w:val="nil"/>
            </w:tcBorders>
            <w:noWrap/>
            <w:vAlign w:val="center"/>
            <w:hideMark/>
          </w:tcPr>
          <w:p w14:paraId="1AC83C31" w14:textId="77777777" w:rsidR="00367949" w:rsidRPr="00367949" w:rsidRDefault="00367949" w:rsidP="00367949">
            <w:pPr>
              <w:pStyle w:val="af"/>
              <w:rPr>
                <w:rFonts w:hint="eastAsia"/>
              </w:rPr>
            </w:pPr>
            <w:r w:rsidRPr="00367949">
              <w:rPr>
                <w:rFonts w:hint="eastAsia"/>
              </w:rPr>
              <w:t>-5.23</w:t>
            </w:r>
          </w:p>
        </w:tc>
        <w:tc>
          <w:tcPr>
            <w:tcW w:w="0" w:type="auto"/>
            <w:tcBorders>
              <w:top w:val="nil"/>
              <w:left w:val="nil"/>
              <w:bottom w:val="nil"/>
              <w:right w:val="nil"/>
            </w:tcBorders>
            <w:noWrap/>
            <w:vAlign w:val="center"/>
            <w:hideMark/>
          </w:tcPr>
          <w:p w14:paraId="0EB9F480" w14:textId="77777777" w:rsidR="00367949" w:rsidRPr="00367949" w:rsidRDefault="00367949" w:rsidP="00367949">
            <w:pPr>
              <w:pStyle w:val="af"/>
              <w:rPr>
                <w:rFonts w:hint="eastAsia"/>
              </w:rPr>
            </w:pPr>
            <w:r w:rsidRPr="00367949">
              <w:rPr>
                <w:rFonts w:hint="eastAsia"/>
              </w:rPr>
              <w:t>&lt;0.001***</w:t>
            </w:r>
          </w:p>
        </w:tc>
        <w:tc>
          <w:tcPr>
            <w:tcW w:w="0" w:type="auto"/>
            <w:tcBorders>
              <w:top w:val="nil"/>
              <w:left w:val="nil"/>
              <w:bottom w:val="nil"/>
              <w:right w:val="nil"/>
            </w:tcBorders>
            <w:noWrap/>
            <w:vAlign w:val="center"/>
            <w:hideMark/>
          </w:tcPr>
          <w:p w14:paraId="0EE59E08" w14:textId="77777777" w:rsidR="00367949" w:rsidRPr="00367949" w:rsidRDefault="00367949" w:rsidP="00367949">
            <w:pPr>
              <w:pStyle w:val="af"/>
              <w:rPr>
                <w:rFonts w:hint="eastAsia"/>
              </w:rPr>
            </w:pPr>
            <w:r w:rsidRPr="00367949">
              <w:rPr>
                <w:rFonts w:hint="eastAsia"/>
              </w:rPr>
              <w:t>33,878</w:t>
            </w:r>
          </w:p>
        </w:tc>
      </w:tr>
      <w:tr w:rsidR="00367949" w:rsidRPr="00367949" w14:paraId="5BD51BC1" w14:textId="77777777" w:rsidTr="00367949">
        <w:trPr>
          <w:trHeight w:val="320"/>
        </w:trPr>
        <w:tc>
          <w:tcPr>
            <w:tcW w:w="0" w:type="auto"/>
            <w:tcBorders>
              <w:top w:val="nil"/>
              <w:left w:val="nil"/>
              <w:bottom w:val="nil"/>
              <w:right w:val="nil"/>
            </w:tcBorders>
            <w:noWrap/>
            <w:vAlign w:val="center"/>
            <w:hideMark/>
          </w:tcPr>
          <w:p w14:paraId="19C51712" w14:textId="77777777" w:rsidR="00367949" w:rsidRPr="00367949" w:rsidRDefault="00367949" w:rsidP="00367949">
            <w:pPr>
              <w:pStyle w:val="af"/>
              <w:rPr>
                <w:rFonts w:hint="eastAsia"/>
              </w:rPr>
            </w:pPr>
            <w:r w:rsidRPr="00367949">
              <w:rPr>
                <w:rFonts w:hint="eastAsia"/>
              </w:rPr>
              <w:t>仅主板样本</w:t>
            </w:r>
          </w:p>
        </w:tc>
        <w:tc>
          <w:tcPr>
            <w:tcW w:w="859" w:type="dxa"/>
            <w:tcBorders>
              <w:top w:val="nil"/>
              <w:left w:val="nil"/>
              <w:bottom w:val="nil"/>
              <w:right w:val="nil"/>
            </w:tcBorders>
            <w:noWrap/>
            <w:vAlign w:val="center"/>
            <w:hideMark/>
          </w:tcPr>
          <w:p w14:paraId="3912BA92" w14:textId="524BD4E5"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1283" w:type="dxa"/>
            <w:tcBorders>
              <w:top w:val="nil"/>
              <w:left w:val="nil"/>
              <w:bottom w:val="nil"/>
              <w:right w:val="nil"/>
            </w:tcBorders>
            <w:noWrap/>
            <w:vAlign w:val="center"/>
            <w:hideMark/>
          </w:tcPr>
          <w:p w14:paraId="1E8C5340" w14:textId="77777777" w:rsidR="00367949" w:rsidRPr="00367949" w:rsidRDefault="00367949" w:rsidP="00367949">
            <w:pPr>
              <w:pStyle w:val="af"/>
              <w:rPr>
                <w:rFonts w:hint="eastAsia"/>
              </w:rPr>
            </w:pPr>
            <w:r w:rsidRPr="00367949">
              <w:rPr>
                <w:rFonts w:hint="eastAsia"/>
              </w:rPr>
              <w:t>-0.00389</w:t>
            </w:r>
          </w:p>
        </w:tc>
        <w:tc>
          <w:tcPr>
            <w:tcW w:w="0" w:type="auto"/>
            <w:tcBorders>
              <w:top w:val="nil"/>
              <w:left w:val="nil"/>
              <w:bottom w:val="nil"/>
              <w:right w:val="nil"/>
            </w:tcBorders>
            <w:noWrap/>
            <w:vAlign w:val="center"/>
            <w:hideMark/>
          </w:tcPr>
          <w:p w14:paraId="08627A6C" w14:textId="77777777" w:rsidR="00367949" w:rsidRPr="00367949" w:rsidRDefault="00367949" w:rsidP="00367949">
            <w:pPr>
              <w:pStyle w:val="af"/>
              <w:rPr>
                <w:rFonts w:hint="eastAsia"/>
              </w:rPr>
            </w:pPr>
            <w:r w:rsidRPr="00367949">
              <w:rPr>
                <w:rFonts w:hint="eastAsia"/>
              </w:rPr>
              <w:t>-2.4</w:t>
            </w:r>
          </w:p>
        </w:tc>
        <w:tc>
          <w:tcPr>
            <w:tcW w:w="0" w:type="auto"/>
            <w:tcBorders>
              <w:top w:val="nil"/>
              <w:left w:val="nil"/>
              <w:bottom w:val="nil"/>
              <w:right w:val="nil"/>
            </w:tcBorders>
            <w:noWrap/>
            <w:vAlign w:val="center"/>
            <w:hideMark/>
          </w:tcPr>
          <w:p w14:paraId="44FF2F3E" w14:textId="77777777" w:rsidR="00367949" w:rsidRPr="00367949" w:rsidRDefault="00367949" w:rsidP="00367949">
            <w:pPr>
              <w:pStyle w:val="af"/>
              <w:rPr>
                <w:rFonts w:hint="eastAsia"/>
              </w:rPr>
            </w:pPr>
            <w:r w:rsidRPr="00367949">
              <w:rPr>
                <w:rFonts w:hint="eastAsia"/>
              </w:rPr>
              <w:t>0.016**</w:t>
            </w:r>
          </w:p>
        </w:tc>
        <w:tc>
          <w:tcPr>
            <w:tcW w:w="0" w:type="auto"/>
            <w:tcBorders>
              <w:top w:val="nil"/>
              <w:left w:val="nil"/>
              <w:bottom w:val="nil"/>
              <w:right w:val="nil"/>
            </w:tcBorders>
            <w:noWrap/>
            <w:vAlign w:val="center"/>
            <w:hideMark/>
          </w:tcPr>
          <w:p w14:paraId="0CC4253C" w14:textId="77777777" w:rsidR="00367949" w:rsidRPr="00367949" w:rsidRDefault="00367949" w:rsidP="00367949">
            <w:pPr>
              <w:pStyle w:val="af"/>
              <w:rPr>
                <w:rFonts w:hint="eastAsia"/>
              </w:rPr>
            </w:pPr>
            <w:r w:rsidRPr="00367949">
              <w:rPr>
                <w:rFonts w:hint="eastAsia"/>
              </w:rPr>
              <w:t>29,666</w:t>
            </w:r>
          </w:p>
        </w:tc>
      </w:tr>
    </w:tbl>
    <w:p w14:paraId="46FC1745" w14:textId="77777777" w:rsidR="00367949" w:rsidRDefault="00367949" w:rsidP="00EE76F5">
      <w:pPr>
        <w:ind w:firstLine="480"/>
      </w:pPr>
    </w:p>
    <w:p w14:paraId="6ED8EA03" w14:textId="332C566B" w:rsidR="00C90237" w:rsidRDefault="00000000" w:rsidP="00EE76F5">
      <w:pPr>
        <w:ind w:firstLine="480"/>
      </w:pPr>
      <w:r>
        <w:t>综合工具变量估计、</w:t>
      </w:r>
      <w:r>
        <w:t>Oster</w:t>
      </w:r>
      <w:r>
        <w:t>界检验、替换变量、倾向得分匹配和子样本检验，数据要素利用对资本市场定价效率的正向影响在多重框架下均保持稳健。</w:t>
      </w:r>
    </w:p>
    <w:p w14:paraId="12967884" w14:textId="77777777" w:rsidR="00C90237" w:rsidRDefault="00000000" w:rsidP="00EE76F5">
      <w:pPr>
        <w:ind w:firstLine="480"/>
      </w:pPr>
      <w:bookmarkStart w:id="18" w:name="四投资组合检验"/>
      <w:r>
        <w:t>（四）投资组合检验</w:t>
      </w:r>
      <w:bookmarkEnd w:id="18"/>
    </w:p>
    <w:p w14:paraId="319A2A5C" w14:textId="77777777" w:rsidR="00C90237" w:rsidRDefault="00000000" w:rsidP="00EE76F5">
      <w:pPr>
        <w:ind w:firstLine="480"/>
      </w:pPr>
      <w:r>
        <w:t>基准回归和工具变量估计从面板数据角度提供了数据要素利用影响定价效率的证据。进一步从资产定价的角度，通过构造投资组合直接检验数据要素利用是否与股票收益率的异常模式相关。</w:t>
      </w:r>
    </w:p>
    <w:p w14:paraId="0257CD10" w14:textId="77777777" w:rsidR="00C90237" w:rsidRDefault="00000000" w:rsidP="00EE76F5">
      <w:pPr>
        <w:ind w:firstLine="480"/>
      </w:pPr>
      <w:r>
        <w:t>具体而言，每年</w:t>
      </w:r>
      <w:r>
        <w:t>6</w:t>
      </w:r>
      <w:r>
        <w:t>月末根据</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的大小将样本企业等分为五组（</w:t>
      </w:r>
      <w:r>
        <w:t>Q1</w:t>
      </w:r>
      <w:r>
        <w:t>为最低组，</w:t>
      </w:r>
      <w:r>
        <w:t>Q5</w:t>
      </w:r>
      <w:r>
        <w:t>为最高组），从当年</w:t>
      </w:r>
      <w:r>
        <w:t>7</w:t>
      </w:r>
      <w:r>
        <w:t>月持有至次年</w:t>
      </w:r>
      <w:r>
        <w:t>6</w:t>
      </w:r>
      <w:r>
        <w:t>月，计算各组合的月度超额收益率。在此基础上，使用</w:t>
      </w:r>
      <w:r>
        <w:t>CAPM</w:t>
      </w:r>
      <w:r>
        <w:t>、</w:t>
      </w:r>
      <w:r>
        <w:t>Fama-French</w:t>
      </w:r>
      <w:r>
        <w:t>三因子模型（</w:t>
      </w:r>
      <w:r>
        <w:t>FF3</w:t>
      </w:r>
      <w:r>
        <w:t>）和五因子加动量模型（</w:t>
      </w:r>
      <w:r>
        <w:t>FF5+MOM</w:t>
      </w:r>
      <w:r>
        <w:t>）估计各组合的异常收益率</w:t>
      </w:r>
      <m:oMath>
        <m:r>
          <w:rPr>
            <w:rFonts w:ascii="Cambria Math" w:hAnsi="Cambria Math"/>
          </w:rPr>
          <m:t>α</m:t>
        </m:r>
      </m:oMath>
      <w:r>
        <w:t>。样本期间共计</w:t>
      </w:r>
      <w:r>
        <w:t>156</w:t>
      </w:r>
      <w:r>
        <w:t>个月。</w:t>
      </w:r>
    </w:p>
    <w:tbl>
      <w:tblPr>
        <w:tblW w:w="7193" w:type="dxa"/>
        <w:jc w:val="center"/>
        <w:tblLook w:val="04A0" w:firstRow="1" w:lastRow="0" w:firstColumn="1" w:lastColumn="0" w:noHBand="0" w:noVBand="1"/>
      </w:tblPr>
      <w:tblGrid>
        <w:gridCol w:w="1689"/>
        <w:gridCol w:w="1617"/>
        <w:gridCol w:w="1894"/>
        <w:gridCol w:w="1993"/>
      </w:tblGrid>
      <w:tr w:rsidR="00367949" w:rsidRPr="00367949" w14:paraId="67C9F635" w14:textId="77777777" w:rsidTr="00367949">
        <w:trPr>
          <w:trHeight w:val="320"/>
          <w:jc w:val="center"/>
        </w:trPr>
        <w:tc>
          <w:tcPr>
            <w:tcW w:w="1689" w:type="dxa"/>
            <w:tcBorders>
              <w:top w:val="single" w:sz="4" w:space="0" w:color="auto"/>
              <w:left w:val="nil"/>
              <w:bottom w:val="single" w:sz="4" w:space="0" w:color="auto"/>
              <w:right w:val="nil"/>
            </w:tcBorders>
            <w:noWrap/>
            <w:vAlign w:val="center"/>
            <w:hideMark/>
          </w:tcPr>
          <w:p w14:paraId="67ED159B" w14:textId="77777777" w:rsidR="00367949" w:rsidRPr="00367949" w:rsidRDefault="00367949" w:rsidP="00367949">
            <w:pPr>
              <w:pStyle w:val="af"/>
            </w:pPr>
            <w:r w:rsidRPr="00367949">
              <w:rPr>
                <w:rFonts w:hint="eastAsia"/>
              </w:rPr>
              <w:t>组合</w:t>
            </w:r>
          </w:p>
        </w:tc>
        <w:tc>
          <w:tcPr>
            <w:tcW w:w="1617" w:type="dxa"/>
            <w:tcBorders>
              <w:top w:val="single" w:sz="4" w:space="0" w:color="auto"/>
              <w:left w:val="nil"/>
              <w:bottom w:val="single" w:sz="4" w:space="0" w:color="auto"/>
              <w:right w:val="nil"/>
            </w:tcBorders>
            <w:noWrap/>
            <w:vAlign w:val="center"/>
            <w:hideMark/>
          </w:tcPr>
          <w:p w14:paraId="0D62C735" w14:textId="77777777" w:rsidR="00367949" w:rsidRPr="00367949" w:rsidRDefault="00367949" w:rsidP="00367949">
            <w:pPr>
              <w:pStyle w:val="af"/>
              <w:rPr>
                <w:rFonts w:hint="eastAsia"/>
              </w:rPr>
            </w:pPr>
            <w:r w:rsidRPr="00367949">
              <w:rPr>
                <w:rFonts w:hint="eastAsia"/>
              </w:rPr>
              <w:t xml:space="preserve">CAPM </w:t>
            </w:r>
            <w:r w:rsidRPr="00367949">
              <w:rPr>
                <w:rFonts w:hint="eastAsia"/>
              </w:rPr>
              <w:t>α</w:t>
            </w:r>
          </w:p>
        </w:tc>
        <w:tc>
          <w:tcPr>
            <w:tcW w:w="1894" w:type="dxa"/>
            <w:tcBorders>
              <w:top w:val="single" w:sz="4" w:space="0" w:color="auto"/>
              <w:left w:val="nil"/>
              <w:bottom w:val="single" w:sz="4" w:space="0" w:color="auto"/>
              <w:right w:val="nil"/>
            </w:tcBorders>
            <w:noWrap/>
            <w:vAlign w:val="center"/>
            <w:hideMark/>
          </w:tcPr>
          <w:p w14:paraId="21810550" w14:textId="77777777" w:rsidR="00367949" w:rsidRPr="00367949" w:rsidRDefault="00367949" w:rsidP="00367949">
            <w:pPr>
              <w:pStyle w:val="af"/>
              <w:rPr>
                <w:rFonts w:hint="eastAsia"/>
              </w:rPr>
            </w:pPr>
            <w:r w:rsidRPr="00367949">
              <w:rPr>
                <w:rFonts w:hint="eastAsia"/>
              </w:rPr>
              <w:t xml:space="preserve">FF3 </w:t>
            </w:r>
            <w:r w:rsidRPr="00367949">
              <w:rPr>
                <w:rFonts w:hint="eastAsia"/>
              </w:rPr>
              <w:t>α</w:t>
            </w:r>
          </w:p>
        </w:tc>
        <w:tc>
          <w:tcPr>
            <w:tcW w:w="1993" w:type="dxa"/>
            <w:tcBorders>
              <w:top w:val="single" w:sz="4" w:space="0" w:color="auto"/>
              <w:left w:val="nil"/>
              <w:bottom w:val="single" w:sz="4" w:space="0" w:color="auto"/>
              <w:right w:val="nil"/>
            </w:tcBorders>
            <w:noWrap/>
            <w:vAlign w:val="center"/>
            <w:hideMark/>
          </w:tcPr>
          <w:p w14:paraId="6DB5855B" w14:textId="77777777" w:rsidR="00367949" w:rsidRPr="00367949" w:rsidRDefault="00367949" w:rsidP="00367949">
            <w:pPr>
              <w:pStyle w:val="af"/>
              <w:rPr>
                <w:rFonts w:hint="eastAsia"/>
              </w:rPr>
            </w:pPr>
            <w:r w:rsidRPr="00367949">
              <w:rPr>
                <w:rFonts w:hint="eastAsia"/>
              </w:rPr>
              <w:t xml:space="preserve">FF5+MOM </w:t>
            </w:r>
            <w:r w:rsidRPr="00367949">
              <w:rPr>
                <w:rFonts w:hint="eastAsia"/>
              </w:rPr>
              <w:t>α</w:t>
            </w:r>
          </w:p>
        </w:tc>
      </w:tr>
      <w:tr w:rsidR="00367949" w:rsidRPr="00367949" w14:paraId="2C41EDF8" w14:textId="77777777" w:rsidTr="00367949">
        <w:trPr>
          <w:trHeight w:val="320"/>
          <w:jc w:val="center"/>
        </w:trPr>
        <w:tc>
          <w:tcPr>
            <w:tcW w:w="1689" w:type="dxa"/>
            <w:tcBorders>
              <w:top w:val="single" w:sz="4" w:space="0" w:color="auto"/>
              <w:left w:val="nil"/>
              <w:bottom w:val="nil"/>
              <w:right w:val="nil"/>
            </w:tcBorders>
            <w:noWrap/>
            <w:vAlign w:val="center"/>
            <w:hideMark/>
          </w:tcPr>
          <w:p w14:paraId="49F73CB9" w14:textId="77777777" w:rsidR="00367949" w:rsidRPr="00367949" w:rsidRDefault="00367949" w:rsidP="00367949">
            <w:pPr>
              <w:pStyle w:val="af"/>
              <w:rPr>
                <w:rFonts w:hint="eastAsia"/>
              </w:rPr>
            </w:pPr>
            <w:r w:rsidRPr="00367949">
              <w:rPr>
                <w:rFonts w:hint="eastAsia"/>
              </w:rPr>
              <w:t>Q1</w:t>
            </w:r>
          </w:p>
        </w:tc>
        <w:tc>
          <w:tcPr>
            <w:tcW w:w="1617" w:type="dxa"/>
            <w:tcBorders>
              <w:top w:val="single" w:sz="4" w:space="0" w:color="auto"/>
              <w:left w:val="nil"/>
              <w:bottom w:val="nil"/>
              <w:right w:val="nil"/>
            </w:tcBorders>
            <w:noWrap/>
            <w:vAlign w:val="center"/>
            <w:hideMark/>
          </w:tcPr>
          <w:p w14:paraId="2CE16D82" w14:textId="77777777" w:rsidR="00367949" w:rsidRPr="00367949" w:rsidRDefault="00367949" w:rsidP="00367949">
            <w:pPr>
              <w:pStyle w:val="af"/>
              <w:rPr>
                <w:rFonts w:hint="eastAsia"/>
              </w:rPr>
            </w:pPr>
            <w:r w:rsidRPr="00367949">
              <w:rPr>
                <w:rFonts w:hint="eastAsia"/>
              </w:rPr>
              <w:t>+0.25% (t=0.81)</w:t>
            </w:r>
          </w:p>
        </w:tc>
        <w:tc>
          <w:tcPr>
            <w:tcW w:w="1894" w:type="dxa"/>
            <w:tcBorders>
              <w:top w:val="single" w:sz="4" w:space="0" w:color="auto"/>
              <w:left w:val="nil"/>
              <w:bottom w:val="nil"/>
              <w:right w:val="nil"/>
            </w:tcBorders>
            <w:noWrap/>
            <w:vAlign w:val="center"/>
            <w:hideMark/>
          </w:tcPr>
          <w:p w14:paraId="5F32E812" w14:textId="77777777" w:rsidR="00367949" w:rsidRPr="00367949" w:rsidRDefault="00367949" w:rsidP="00367949">
            <w:pPr>
              <w:pStyle w:val="af"/>
              <w:rPr>
                <w:rFonts w:hint="eastAsia"/>
              </w:rPr>
            </w:pPr>
            <w:r w:rsidRPr="00367949">
              <w:rPr>
                <w:rFonts w:hint="eastAsia"/>
              </w:rPr>
              <w:t>-0.29% (t=-2.08**)</w:t>
            </w:r>
          </w:p>
        </w:tc>
        <w:tc>
          <w:tcPr>
            <w:tcW w:w="1993" w:type="dxa"/>
            <w:tcBorders>
              <w:top w:val="single" w:sz="4" w:space="0" w:color="auto"/>
              <w:left w:val="nil"/>
              <w:bottom w:val="nil"/>
              <w:right w:val="nil"/>
            </w:tcBorders>
            <w:noWrap/>
            <w:vAlign w:val="center"/>
            <w:hideMark/>
          </w:tcPr>
          <w:p w14:paraId="79132113" w14:textId="77777777" w:rsidR="00367949" w:rsidRDefault="00367949" w:rsidP="00367949">
            <w:pPr>
              <w:pStyle w:val="af"/>
            </w:pPr>
            <w:r w:rsidRPr="00367949">
              <w:rPr>
                <w:rFonts w:hint="eastAsia"/>
              </w:rPr>
              <w:t xml:space="preserve">-0.64% </w:t>
            </w:r>
          </w:p>
          <w:p w14:paraId="3EFDDE32" w14:textId="5EA4F335" w:rsidR="00367949" w:rsidRPr="00367949" w:rsidRDefault="00367949" w:rsidP="00367949">
            <w:pPr>
              <w:pStyle w:val="af"/>
              <w:rPr>
                <w:rFonts w:hint="eastAsia"/>
              </w:rPr>
            </w:pPr>
            <w:r w:rsidRPr="00367949">
              <w:rPr>
                <w:rFonts w:hint="eastAsia"/>
              </w:rPr>
              <w:t>(t=-3.81***)</w:t>
            </w:r>
          </w:p>
        </w:tc>
      </w:tr>
      <w:tr w:rsidR="00367949" w:rsidRPr="00367949" w14:paraId="1B7553D8" w14:textId="77777777" w:rsidTr="00367949">
        <w:trPr>
          <w:trHeight w:val="320"/>
          <w:jc w:val="center"/>
        </w:trPr>
        <w:tc>
          <w:tcPr>
            <w:tcW w:w="1689" w:type="dxa"/>
            <w:tcBorders>
              <w:top w:val="nil"/>
              <w:left w:val="nil"/>
              <w:bottom w:val="nil"/>
              <w:right w:val="nil"/>
            </w:tcBorders>
            <w:noWrap/>
            <w:vAlign w:val="center"/>
            <w:hideMark/>
          </w:tcPr>
          <w:p w14:paraId="785319B5" w14:textId="77777777" w:rsidR="00367949" w:rsidRPr="00367949" w:rsidRDefault="00367949" w:rsidP="00367949">
            <w:pPr>
              <w:pStyle w:val="af"/>
              <w:rPr>
                <w:rFonts w:hint="eastAsia"/>
              </w:rPr>
            </w:pPr>
            <w:r w:rsidRPr="00367949">
              <w:rPr>
                <w:rFonts w:hint="eastAsia"/>
              </w:rPr>
              <w:t>Q2</w:t>
            </w:r>
          </w:p>
        </w:tc>
        <w:tc>
          <w:tcPr>
            <w:tcW w:w="1617" w:type="dxa"/>
            <w:tcBorders>
              <w:top w:val="nil"/>
              <w:left w:val="nil"/>
              <w:bottom w:val="nil"/>
              <w:right w:val="nil"/>
            </w:tcBorders>
            <w:noWrap/>
            <w:vAlign w:val="center"/>
            <w:hideMark/>
          </w:tcPr>
          <w:p w14:paraId="270E340F" w14:textId="77777777" w:rsidR="00367949" w:rsidRPr="00367949" w:rsidRDefault="00367949" w:rsidP="00367949">
            <w:pPr>
              <w:pStyle w:val="af"/>
              <w:rPr>
                <w:rFonts w:hint="eastAsia"/>
              </w:rPr>
            </w:pPr>
            <w:r w:rsidRPr="00367949">
              <w:rPr>
                <w:rFonts w:hint="eastAsia"/>
              </w:rPr>
              <w:t>+0.27% (t=0.84)</w:t>
            </w:r>
          </w:p>
        </w:tc>
        <w:tc>
          <w:tcPr>
            <w:tcW w:w="1894" w:type="dxa"/>
            <w:tcBorders>
              <w:top w:val="nil"/>
              <w:left w:val="nil"/>
              <w:bottom w:val="nil"/>
              <w:right w:val="nil"/>
            </w:tcBorders>
            <w:noWrap/>
            <w:vAlign w:val="center"/>
            <w:hideMark/>
          </w:tcPr>
          <w:p w14:paraId="66EFEE4D" w14:textId="77777777" w:rsidR="00367949" w:rsidRPr="00367949" w:rsidRDefault="00367949" w:rsidP="00367949">
            <w:pPr>
              <w:pStyle w:val="af"/>
              <w:rPr>
                <w:rFonts w:hint="eastAsia"/>
              </w:rPr>
            </w:pPr>
            <w:r w:rsidRPr="00367949">
              <w:rPr>
                <w:rFonts w:hint="eastAsia"/>
              </w:rPr>
              <w:t>-0.17% (t=-1.58)</w:t>
            </w:r>
          </w:p>
        </w:tc>
        <w:tc>
          <w:tcPr>
            <w:tcW w:w="1993" w:type="dxa"/>
            <w:tcBorders>
              <w:top w:val="nil"/>
              <w:left w:val="nil"/>
              <w:bottom w:val="nil"/>
              <w:right w:val="nil"/>
            </w:tcBorders>
            <w:noWrap/>
            <w:vAlign w:val="center"/>
            <w:hideMark/>
          </w:tcPr>
          <w:p w14:paraId="191433DA" w14:textId="77777777" w:rsidR="00367949" w:rsidRDefault="00367949" w:rsidP="00367949">
            <w:pPr>
              <w:pStyle w:val="af"/>
            </w:pPr>
            <w:r w:rsidRPr="00367949">
              <w:rPr>
                <w:rFonts w:hint="eastAsia"/>
              </w:rPr>
              <w:t xml:space="preserve">-0.55% </w:t>
            </w:r>
          </w:p>
          <w:p w14:paraId="1D95EB6C" w14:textId="6DE8DA86" w:rsidR="00367949" w:rsidRPr="00367949" w:rsidRDefault="00367949" w:rsidP="00367949">
            <w:pPr>
              <w:pStyle w:val="af"/>
              <w:rPr>
                <w:rFonts w:hint="eastAsia"/>
              </w:rPr>
            </w:pPr>
            <w:r w:rsidRPr="00367949">
              <w:rPr>
                <w:rFonts w:hint="eastAsia"/>
              </w:rPr>
              <w:t>(t=-3.64***)</w:t>
            </w:r>
          </w:p>
        </w:tc>
      </w:tr>
      <w:tr w:rsidR="00367949" w:rsidRPr="00367949" w14:paraId="23D11BC0" w14:textId="77777777" w:rsidTr="00367949">
        <w:trPr>
          <w:trHeight w:val="320"/>
          <w:jc w:val="center"/>
        </w:trPr>
        <w:tc>
          <w:tcPr>
            <w:tcW w:w="1689" w:type="dxa"/>
            <w:tcBorders>
              <w:top w:val="nil"/>
              <w:left w:val="nil"/>
              <w:bottom w:val="nil"/>
              <w:right w:val="nil"/>
            </w:tcBorders>
            <w:noWrap/>
            <w:vAlign w:val="center"/>
            <w:hideMark/>
          </w:tcPr>
          <w:p w14:paraId="7F1E557D" w14:textId="77777777" w:rsidR="00367949" w:rsidRPr="00367949" w:rsidRDefault="00367949" w:rsidP="00367949">
            <w:pPr>
              <w:pStyle w:val="af"/>
              <w:rPr>
                <w:rFonts w:hint="eastAsia"/>
              </w:rPr>
            </w:pPr>
            <w:r w:rsidRPr="00367949">
              <w:rPr>
                <w:rFonts w:hint="eastAsia"/>
              </w:rPr>
              <w:t>Q3</w:t>
            </w:r>
          </w:p>
        </w:tc>
        <w:tc>
          <w:tcPr>
            <w:tcW w:w="1617" w:type="dxa"/>
            <w:tcBorders>
              <w:top w:val="nil"/>
              <w:left w:val="nil"/>
              <w:bottom w:val="nil"/>
              <w:right w:val="nil"/>
            </w:tcBorders>
            <w:noWrap/>
            <w:vAlign w:val="center"/>
            <w:hideMark/>
          </w:tcPr>
          <w:p w14:paraId="49C29C50" w14:textId="77777777" w:rsidR="00367949" w:rsidRPr="00367949" w:rsidRDefault="00367949" w:rsidP="00367949">
            <w:pPr>
              <w:pStyle w:val="af"/>
              <w:rPr>
                <w:rFonts w:hint="eastAsia"/>
              </w:rPr>
            </w:pPr>
            <w:r w:rsidRPr="00367949">
              <w:rPr>
                <w:rFonts w:hint="eastAsia"/>
              </w:rPr>
              <w:t>+0.37% (t=1.16)</w:t>
            </w:r>
          </w:p>
        </w:tc>
        <w:tc>
          <w:tcPr>
            <w:tcW w:w="1894" w:type="dxa"/>
            <w:tcBorders>
              <w:top w:val="nil"/>
              <w:left w:val="nil"/>
              <w:bottom w:val="nil"/>
              <w:right w:val="nil"/>
            </w:tcBorders>
            <w:noWrap/>
            <w:vAlign w:val="center"/>
            <w:hideMark/>
          </w:tcPr>
          <w:p w14:paraId="49F3854D" w14:textId="77777777" w:rsidR="00367949" w:rsidRPr="00367949" w:rsidRDefault="00367949" w:rsidP="00367949">
            <w:pPr>
              <w:pStyle w:val="af"/>
              <w:rPr>
                <w:rFonts w:hint="eastAsia"/>
              </w:rPr>
            </w:pPr>
            <w:r w:rsidRPr="00367949">
              <w:rPr>
                <w:rFonts w:hint="eastAsia"/>
              </w:rPr>
              <w:t>-0.04% (t=-0.43)</w:t>
            </w:r>
          </w:p>
        </w:tc>
        <w:tc>
          <w:tcPr>
            <w:tcW w:w="1993" w:type="dxa"/>
            <w:tcBorders>
              <w:top w:val="nil"/>
              <w:left w:val="nil"/>
              <w:bottom w:val="nil"/>
              <w:right w:val="nil"/>
            </w:tcBorders>
            <w:noWrap/>
            <w:vAlign w:val="center"/>
            <w:hideMark/>
          </w:tcPr>
          <w:p w14:paraId="61D8DDF6" w14:textId="77777777" w:rsidR="00367949" w:rsidRDefault="00367949" w:rsidP="00367949">
            <w:pPr>
              <w:pStyle w:val="af"/>
            </w:pPr>
            <w:r w:rsidRPr="00367949">
              <w:rPr>
                <w:rFonts w:hint="eastAsia"/>
              </w:rPr>
              <w:t xml:space="preserve">-0.44% </w:t>
            </w:r>
          </w:p>
          <w:p w14:paraId="1E4DA574" w14:textId="3715FEB3" w:rsidR="00367949" w:rsidRPr="00367949" w:rsidRDefault="00367949" w:rsidP="00367949">
            <w:pPr>
              <w:pStyle w:val="af"/>
              <w:rPr>
                <w:rFonts w:hint="eastAsia"/>
              </w:rPr>
            </w:pPr>
            <w:r w:rsidRPr="00367949">
              <w:rPr>
                <w:rFonts w:hint="eastAsia"/>
              </w:rPr>
              <w:t>(t=-3.40***)</w:t>
            </w:r>
          </w:p>
        </w:tc>
      </w:tr>
      <w:tr w:rsidR="00367949" w:rsidRPr="00367949" w14:paraId="64C4D0E4" w14:textId="77777777" w:rsidTr="00367949">
        <w:trPr>
          <w:trHeight w:val="320"/>
          <w:jc w:val="center"/>
        </w:trPr>
        <w:tc>
          <w:tcPr>
            <w:tcW w:w="1689" w:type="dxa"/>
            <w:tcBorders>
              <w:top w:val="nil"/>
              <w:left w:val="nil"/>
              <w:bottom w:val="nil"/>
              <w:right w:val="nil"/>
            </w:tcBorders>
            <w:noWrap/>
            <w:vAlign w:val="center"/>
            <w:hideMark/>
          </w:tcPr>
          <w:p w14:paraId="2822489A" w14:textId="77777777" w:rsidR="00367949" w:rsidRPr="00367949" w:rsidRDefault="00367949" w:rsidP="00367949">
            <w:pPr>
              <w:pStyle w:val="af"/>
              <w:rPr>
                <w:rFonts w:hint="eastAsia"/>
              </w:rPr>
            </w:pPr>
            <w:r w:rsidRPr="00367949">
              <w:rPr>
                <w:rFonts w:hint="eastAsia"/>
              </w:rPr>
              <w:t>Q4</w:t>
            </w:r>
          </w:p>
        </w:tc>
        <w:tc>
          <w:tcPr>
            <w:tcW w:w="1617" w:type="dxa"/>
            <w:tcBorders>
              <w:top w:val="nil"/>
              <w:left w:val="nil"/>
              <w:bottom w:val="nil"/>
              <w:right w:val="nil"/>
            </w:tcBorders>
            <w:noWrap/>
            <w:vAlign w:val="center"/>
            <w:hideMark/>
          </w:tcPr>
          <w:p w14:paraId="46480A18" w14:textId="77777777" w:rsidR="00367949" w:rsidRPr="00367949" w:rsidRDefault="00367949" w:rsidP="00367949">
            <w:pPr>
              <w:pStyle w:val="af"/>
              <w:rPr>
                <w:rFonts w:hint="eastAsia"/>
              </w:rPr>
            </w:pPr>
            <w:r w:rsidRPr="00367949">
              <w:rPr>
                <w:rFonts w:hint="eastAsia"/>
              </w:rPr>
              <w:t>+0.45% (t=1.23)</w:t>
            </w:r>
          </w:p>
        </w:tc>
        <w:tc>
          <w:tcPr>
            <w:tcW w:w="1894" w:type="dxa"/>
            <w:tcBorders>
              <w:top w:val="nil"/>
              <w:left w:val="nil"/>
              <w:bottom w:val="nil"/>
              <w:right w:val="nil"/>
            </w:tcBorders>
            <w:noWrap/>
            <w:vAlign w:val="center"/>
            <w:hideMark/>
          </w:tcPr>
          <w:p w14:paraId="54B825DE" w14:textId="77777777" w:rsidR="00367949" w:rsidRPr="00367949" w:rsidRDefault="00367949" w:rsidP="00367949">
            <w:pPr>
              <w:pStyle w:val="af"/>
              <w:rPr>
                <w:rFonts w:hint="eastAsia"/>
              </w:rPr>
            </w:pPr>
            <w:r w:rsidRPr="00367949">
              <w:rPr>
                <w:rFonts w:hint="eastAsia"/>
              </w:rPr>
              <w:t>+0.08% (t=0.81)</w:t>
            </w:r>
          </w:p>
        </w:tc>
        <w:tc>
          <w:tcPr>
            <w:tcW w:w="1993" w:type="dxa"/>
            <w:tcBorders>
              <w:top w:val="nil"/>
              <w:left w:val="nil"/>
              <w:bottom w:val="nil"/>
              <w:right w:val="nil"/>
            </w:tcBorders>
            <w:noWrap/>
            <w:vAlign w:val="center"/>
            <w:hideMark/>
          </w:tcPr>
          <w:p w14:paraId="2D9F2FFE" w14:textId="77777777" w:rsidR="00367949" w:rsidRDefault="00367949" w:rsidP="00367949">
            <w:pPr>
              <w:pStyle w:val="af"/>
            </w:pPr>
            <w:r w:rsidRPr="00367949">
              <w:rPr>
                <w:rFonts w:hint="eastAsia"/>
              </w:rPr>
              <w:t xml:space="preserve">-0.33% </w:t>
            </w:r>
          </w:p>
          <w:p w14:paraId="379185BF" w14:textId="39F6015D" w:rsidR="00367949" w:rsidRPr="00367949" w:rsidRDefault="00367949" w:rsidP="00367949">
            <w:pPr>
              <w:pStyle w:val="af"/>
              <w:rPr>
                <w:rFonts w:hint="eastAsia"/>
              </w:rPr>
            </w:pPr>
            <w:r w:rsidRPr="00367949">
              <w:rPr>
                <w:rFonts w:hint="eastAsia"/>
              </w:rPr>
              <w:t>(t=-2.31**)</w:t>
            </w:r>
          </w:p>
        </w:tc>
      </w:tr>
      <w:tr w:rsidR="00367949" w:rsidRPr="00367949" w14:paraId="05070761" w14:textId="77777777" w:rsidTr="00367949">
        <w:trPr>
          <w:trHeight w:val="320"/>
          <w:jc w:val="center"/>
        </w:trPr>
        <w:tc>
          <w:tcPr>
            <w:tcW w:w="1689" w:type="dxa"/>
            <w:tcBorders>
              <w:top w:val="nil"/>
              <w:left w:val="nil"/>
              <w:bottom w:val="nil"/>
              <w:right w:val="nil"/>
            </w:tcBorders>
            <w:noWrap/>
            <w:vAlign w:val="center"/>
            <w:hideMark/>
          </w:tcPr>
          <w:p w14:paraId="6D8EB93B" w14:textId="77777777" w:rsidR="00367949" w:rsidRPr="00367949" w:rsidRDefault="00367949" w:rsidP="00367949">
            <w:pPr>
              <w:pStyle w:val="af"/>
              <w:rPr>
                <w:rFonts w:hint="eastAsia"/>
              </w:rPr>
            </w:pPr>
            <w:r w:rsidRPr="00367949">
              <w:rPr>
                <w:rFonts w:hint="eastAsia"/>
              </w:rPr>
              <w:t>Q5</w:t>
            </w:r>
          </w:p>
        </w:tc>
        <w:tc>
          <w:tcPr>
            <w:tcW w:w="1617" w:type="dxa"/>
            <w:tcBorders>
              <w:top w:val="nil"/>
              <w:left w:val="nil"/>
              <w:bottom w:val="nil"/>
              <w:right w:val="nil"/>
            </w:tcBorders>
            <w:noWrap/>
            <w:vAlign w:val="center"/>
            <w:hideMark/>
          </w:tcPr>
          <w:p w14:paraId="1764F6AF" w14:textId="77777777" w:rsidR="00367949" w:rsidRPr="00367949" w:rsidRDefault="00367949" w:rsidP="00367949">
            <w:pPr>
              <w:pStyle w:val="af"/>
              <w:rPr>
                <w:rFonts w:hint="eastAsia"/>
              </w:rPr>
            </w:pPr>
            <w:r w:rsidRPr="00367949">
              <w:rPr>
                <w:rFonts w:hint="eastAsia"/>
              </w:rPr>
              <w:t>+0.54% (t=1.04)</w:t>
            </w:r>
          </w:p>
        </w:tc>
        <w:tc>
          <w:tcPr>
            <w:tcW w:w="1894" w:type="dxa"/>
            <w:tcBorders>
              <w:top w:val="nil"/>
              <w:left w:val="nil"/>
              <w:bottom w:val="nil"/>
              <w:right w:val="nil"/>
            </w:tcBorders>
            <w:noWrap/>
            <w:vAlign w:val="center"/>
            <w:hideMark/>
          </w:tcPr>
          <w:p w14:paraId="175860C8" w14:textId="77777777" w:rsidR="00367949" w:rsidRPr="00367949" w:rsidRDefault="00367949" w:rsidP="00367949">
            <w:pPr>
              <w:pStyle w:val="af"/>
              <w:rPr>
                <w:rFonts w:hint="eastAsia"/>
              </w:rPr>
            </w:pPr>
            <w:r w:rsidRPr="00367949">
              <w:rPr>
                <w:rFonts w:hint="eastAsia"/>
              </w:rPr>
              <w:t>+0.09% (t=0.38)</w:t>
            </w:r>
          </w:p>
        </w:tc>
        <w:tc>
          <w:tcPr>
            <w:tcW w:w="1993" w:type="dxa"/>
            <w:tcBorders>
              <w:top w:val="nil"/>
              <w:left w:val="nil"/>
              <w:bottom w:val="nil"/>
              <w:right w:val="nil"/>
            </w:tcBorders>
            <w:noWrap/>
            <w:vAlign w:val="center"/>
            <w:hideMark/>
          </w:tcPr>
          <w:p w14:paraId="710FB4D4" w14:textId="77777777" w:rsidR="00367949" w:rsidRDefault="00367949" w:rsidP="00367949">
            <w:pPr>
              <w:pStyle w:val="af"/>
            </w:pPr>
            <w:r w:rsidRPr="00367949">
              <w:rPr>
                <w:rFonts w:hint="eastAsia"/>
              </w:rPr>
              <w:t xml:space="preserve">-0.41% </w:t>
            </w:r>
          </w:p>
          <w:p w14:paraId="34859DE4" w14:textId="4F00E9A1" w:rsidR="00367949" w:rsidRPr="00367949" w:rsidRDefault="00367949" w:rsidP="00367949">
            <w:pPr>
              <w:pStyle w:val="af"/>
              <w:rPr>
                <w:rFonts w:hint="eastAsia"/>
              </w:rPr>
            </w:pPr>
            <w:r w:rsidRPr="00367949">
              <w:rPr>
                <w:rFonts w:hint="eastAsia"/>
              </w:rPr>
              <w:t>(t=-1.60)</w:t>
            </w:r>
          </w:p>
        </w:tc>
      </w:tr>
      <w:tr w:rsidR="00367949" w:rsidRPr="00367949" w14:paraId="14DFA611" w14:textId="77777777" w:rsidTr="00367949">
        <w:trPr>
          <w:trHeight w:val="320"/>
          <w:jc w:val="center"/>
        </w:trPr>
        <w:tc>
          <w:tcPr>
            <w:tcW w:w="1689" w:type="dxa"/>
            <w:tcBorders>
              <w:top w:val="nil"/>
              <w:left w:val="nil"/>
              <w:bottom w:val="nil"/>
              <w:right w:val="nil"/>
            </w:tcBorders>
            <w:noWrap/>
            <w:vAlign w:val="center"/>
            <w:hideMark/>
          </w:tcPr>
          <w:p w14:paraId="79B2B5A7" w14:textId="77777777" w:rsidR="00367949" w:rsidRPr="00367949" w:rsidRDefault="00367949" w:rsidP="00367949">
            <w:pPr>
              <w:pStyle w:val="af"/>
              <w:rPr>
                <w:rFonts w:hint="eastAsia"/>
              </w:rPr>
            </w:pPr>
            <w:r w:rsidRPr="00367949">
              <w:rPr>
                <w:rFonts w:hint="eastAsia"/>
              </w:rPr>
              <w:t>DAT</w:t>
            </w:r>
            <w:r w:rsidRPr="00367949">
              <w:rPr>
                <w:rFonts w:hint="eastAsia"/>
              </w:rPr>
              <w:t>（</w:t>
            </w:r>
            <w:r w:rsidRPr="00367949">
              <w:rPr>
                <w:rFonts w:hint="eastAsia"/>
              </w:rPr>
              <w:t>Q5-Q1</w:t>
            </w:r>
            <w:r w:rsidRPr="00367949">
              <w:rPr>
                <w:rFonts w:hint="eastAsia"/>
              </w:rPr>
              <w:t>）</w:t>
            </w:r>
          </w:p>
        </w:tc>
        <w:tc>
          <w:tcPr>
            <w:tcW w:w="1617" w:type="dxa"/>
            <w:tcBorders>
              <w:top w:val="nil"/>
              <w:left w:val="nil"/>
              <w:bottom w:val="nil"/>
              <w:right w:val="nil"/>
            </w:tcBorders>
            <w:noWrap/>
            <w:vAlign w:val="center"/>
            <w:hideMark/>
          </w:tcPr>
          <w:p w14:paraId="57EFC852" w14:textId="77777777" w:rsidR="00367949" w:rsidRPr="00367949" w:rsidRDefault="00367949" w:rsidP="00367949">
            <w:pPr>
              <w:pStyle w:val="af"/>
              <w:rPr>
                <w:rFonts w:hint="eastAsia"/>
              </w:rPr>
            </w:pPr>
            <w:r w:rsidRPr="00367949">
              <w:rPr>
                <w:rFonts w:hint="eastAsia"/>
              </w:rPr>
              <w:t>+0.29% (t=0.77)</w:t>
            </w:r>
          </w:p>
        </w:tc>
        <w:tc>
          <w:tcPr>
            <w:tcW w:w="1894" w:type="dxa"/>
            <w:tcBorders>
              <w:top w:val="nil"/>
              <w:left w:val="nil"/>
              <w:bottom w:val="nil"/>
              <w:right w:val="nil"/>
            </w:tcBorders>
            <w:noWrap/>
            <w:vAlign w:val="center"/>
            <w:hideMark/>
          </w:tcPr>
          <w:p w14:paraId="24E4C6FC" w14:textId="77777777" w:rsidR="00367949" w:rsidRPr="00367949" w:rsidRDefault="00367949" w:rsidP="00367949">
            <w:pPr>
              <w:pStyle w:val="af"/>
              <w:rPr>
                <w:rFonts w:hint="eastAsia"/>
              </w:rPr>
            </w:pPr>
            <w:r w:rsidRPr="00367949">
              <w:rPr>
                <w:rFonts w:hint="eastAsia"/>
              </w:rPr>
              <w:t>+0.37% (t=1.17)</w:t>
            </w:r>
          </w:p>
        </w:tc>
        <w:tc>
          <w:tcPr>
            <w:tcW w:w="1993" w:type="dxa"/>
            <w:tcBorders>
              <w:top w:val="nil"/>
              <w:left w:val="nil"/>
              <w:bottom w:val="nil"/>
              <w:right w:val="nil"/>
            </w:tcBorders>
            <w:noWrap/>
            <w:vAlign w:val="center"/>
            <w:hideMark/>
          </w:tcPr>
          <w:p w14:paraId="48566086" w14:textId="77777777" w:rsidR="00367949" w:rsidRDefault="00367949" w:rsidP="00367949">
            <w:pPr>
              <w:pStyle w:val="af"/>
            </w:pPr>
            <w:r w:rsidRPr="00367949">
              <w:rPr>
                <w:rFonts w:hint="eastAsia"/>
              </w:rPr>
              <w:t xml:space="preserve">+0.23% </w:t>
            </w:r>
          </w:p>
          <w:p w14:paraId="77B2792D" w14:textId="02992613" w:rsidR="00367949" w:rsidRPr="00367949" w:rsidRDefault="00367949" w:rsidP="00367949">
            <w:pPr>
              <w:pStyle w:val="af"/>
              <w:rPr>
                <w:rFonts w:hint="eastAsia"/>
              </w:rPr>
            </w:pPr>
            <w:r w:rsidRPr="00367949">
              <w:rPr>
                <w:rFonts w:hint="eastAsia"/>
              </w:rPr>
              <w:t>(t=0.71)</w:t>
            </w:r>
          </w:p>
        </w:tc>
      </w:tr>
    </w:tbl>
    <w:p w14:paraId="1D23B4CD" w14:textId="77777777" w:rsidR="00367949" w:rsidRDefault="00367949" w:rsidP="00EE76F5">
      <w:pPr>
        <w:ind w:firstLine="480"/>
      </w:pPr>
    </w:p>
    <w:p w14:paraId="0271D7EF" w14:textId="524FF06B" w:rsidR="00C90237" w:rsidRDefault="00000000" w:rsidP="00EE76F5">
      <w:pPr>
        <w:ind w:firstLine="480"/>
      </w:pPr>
      <w:r>
        <w:t>表</w:t>
      </w:r>
      <w:r>
        <w:t>3</w:t>
      </w:r>
      <w:r>
        <w:t>的结果揭示了一个非对称定价模式。在</w:t>
      </w:r>
      <w:r>
        <w:t>FF3</w:t>
      </w:r>
      <w:r>
        <w:t>模型下，</w:t>
      </w:r>
      <w:r>
        <w:t>Q1</w:t>
      </w:r>
      <w:r>
        <w:t>组合的月度</w:t>
      </w:r>
      <m:oMath>
        <m:r>
          <w:rPr>
            <w:rFonts w:ascii="Cambria Math" w:hAnsi="Cambria Math"/>
          </w:rPr>
          <m:t>α</m:t>
        </m:r>
      </m:oMath>
      <w:r>
        <w:t>为</w:t>
      </w:r>
      <w:r>
        <w:t>-0.29%</w:t>
      </w:r>
      <w:r>
        <w:t>（</w:t>
      </w:r>
      <w:r>
        <w:t>t=-2.08</w:t>
      </w:r>
      <w:r>
        <w:t>，</w:t>
      </w:r>
      <w:r>
        <w:t>p=0.039</w:t>
      </w:r>
      <w:r>
        <w:t>），在</w:t>
      </w:r>
      <w:r>
        <w:t>5%</w:t>
      </w:r>
      <w:r>
        <w:t>的水平上显著为负。在</w:t>
      </w:r>
      <w:r>
        <w:t>FF5+MOM</w:t>
      </w:r>
      <w:r>
        <w:t>模型下，</w:t>
      </w:r>
      <w:r>
        <w:t>Q1</w:t>
      </w:r>
      <w:r>
        <w:t>的</w:t>
      </w:r>
      <m:oMath>
        <m:r>
          <w:rPr>
            <w:rFonts w:ascii="Cambria Math" w:hAnsi="Cambria Math"/>
          </w:rPr>
          <m:t>α</m:t>
        </m:r>
      </m:oMath>
      <w:r>
        <w:t>进一步扩大至</w:t>
      </w:r>
      <w:r>
        <w:t>-0.64%</w:t>
      </w:r>
      <w:r>
        <w:t>（</w:t>
      </w:r>
      <w:r>
        <w:t>t=-3.81</w:t>
      </w:r>
      <w:r>
        <w:t>），在</w:t>
      </w:r>
      <w:r>
        <w:t>1%</w:t>
      </w:r>
      <w:r>
        <w:t>的水平上高度显著。两个模型的结果共同表明，即便控制了市场风险、规模、价值、盈利能力、投资倾向和动量等已知定价因子，数据要素利用最低的企业仍然系统性地承受了负异常收益。</w:t>
      </w:r>
    </w:p>
    <w:p w14:paraId="64758F57" w14:textId="77777777" w:rsidR="00C90237" w:rsidRDefault="00000000" w:rsidP="00EE76F5">
      <w:pPr>
        <w:ind w:firstLine="480"/>
      </w:pPr>
      <w:r>
        <w:t>对比之下，</w:t>
      </w:r>
      <w:r>
        <w:t>Q5</w:t>
      </w:r>
      <w:r>
        <w:t>组合（数据要素利用最高）在</w:t>
      </w:r>
      <w:r>
        <w:t>FF3</w:t>
      </w:r>
      <w:r>
        <w:t>模型下的</w:t>
      </w:r>
      <m:oMath>
        <m:r>
          <w:rPr>
            <w:rFonts w:ascii="Cambria Math" w:hAnsi="Cambria Math"/>
          </w:rPr>
          <m:t>α</m:t>
        </m:r>
      </m:oMath>
      <w:r>
        <w:t>为</w:t>
      </w:r>
      <w:r>
        <w:t>+0.09%</w:t>
      </w:r>
      <w:r>
        <w:t>（</w:t>
      </w:r>
      <w:r>
        <w:t>t=0.38</w:t>
      </w:r>
      <w:r>
        <w:t>），在统计上不显著。这一非对称性表明定价偏差主要体现在低数据利用企业的价值折扣上，而非高数据利用企业的估值溢价。市场对数据要素利用不足的企业存在系统性的信息模糊定价折扣，而充分利用数据要素的企业其信息环境的改善使之回归至合理估值水平。</w:t>
      </w:r>
    </w:p>
    <w:p w14:paraId="0D08DA32" w14:textId="77777777" w:rsidR="00C90237" w:rsidRDefault="00000000" w:rsidP="00EE76F5">
      <w:pPr>
        <w:ind w:firstLine="480"/>
      </w:pPr>
      <w:r>
        <w:t>基于</w:t>
      </w:r>
      <w:r>
        <w:t>Q5-Q1</w:t>
      </w:r>
      <w:r>
        <w:t>构造的数据资产因子（</w:t>
      </w:r>
      <w:r>
        <w:t>DAT</w:t>
      </w:r>
      <w:r>
        <w:t>）在</w:t>
      </w:r>
      <w:r>
        <w:t>FF3</w:t>
      </w:r>
      <w:r>
        <w:t>模型下的月度收益率为</w:t>
      </w:r>
      <w:r>
        <w:t>0.37%</w:t>
      </w:r>
      <w:r>
        <w:t>（</w:t>
      </w:r>
      <w:r>
        <w:t>t=1.17</w:t>
      </w:r>
      <w:r>
        <w:t>），未达到统计显著水平。这一结果反映了非对称定价的自然推论：市场对低数据利用企业的折价明显，但对高数据利用企业的溢价有限。数</w:t>
      </w:r>
      <w:r>
        <w:lastRenderedPageBreak/>
        <w:t>据要素利用的改善主要体现为信息模糊风险折扣的消解，而非创造正向超额收益因子。数据要素利用程度较低的企业面临更为严重的信息融入障碍，市场在为这些企业定价时表现出系统性的低效。这一发现从资产定价的角度印证了基准回归的结论。</w:t>
      </w:r>
    </w:p>
    <w:p w14:paraId="27A775A0" w14:textId="77777777" w:rsidR="00C90237" w:rsidRDefault="00000000" w:rsidP="00367949">
      <w:pPr>
        <w:pStyle w:val="2"/>
      </w:pPr>
      <w:bookmarkStart w:id="19" w:name="五机制分析"/>
      <w:r>
        <w:t>五、机制分析</w:t>
      </w:r>
      <w:bookmarkEnd w:id="19"/>
    </w:p>
    <w:p w14:paraId="5E583D36" w14:textId="77777777" w:rsidR="00C90237" w:rsidRDefault="00000000" w:rsidP="00EE76F5">
      <w:pPr>
        <w:ind w:firstLine="480"/>
      </w:pPr>
      <w:r>
        <w:t>基准回归确认了数据要素利用对股价延迟的显著负向影响，但这一总效应背后的信息传导路径仍有待厘清。数据要素利用信息从企业年报向股票价格的转化，必须经由市场信息中介和资本配置者的处理与响应。以下通过检验三条潜在的传导渠道，深入刻画信息供给效应的微观机制。</w:t>
      </w:r>
    </w:p>
    <w:p w14:paraId="7A312265" w14:textId="77777777" w:rsidR="00C90237" w:rsidRDefault="00000000" w:rsidP="00EE76F5">
      <w:pPr>
        <w:ind w:firstLine="480"/>
      </w:pPr>
      <w:r>
        <w:t>机制检验的模型设定为：以中介变量</w:t>
      </w:r>
      <w:r>
        <w:t>M</w:t>
      </w:r>
      <w:r>
        <w:t>为因变量，</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kw,i,t-1</m:t>
            </m:r>
          </m:sub>
        </m:sSub>
      </m:oMath>
      <w:r>
        <w:t>及控制变量为自变量，保持企业</w:t>
      </w:r>
      <w:r>
        <w:t>+</w:t>
      </w:r>
      <w:r>
        <w:t>年份固定效应与行业</w:t>
      </w:r>
      <w:r>
        <w:t>×</w:t>
      </w:r>
      <w:r>
        <w:t>年份聚类标准误。采用路径系数的直接呈现来识别传导渠道的存在性，而非传统的</w:t>
      </w:r>
      <w:r>
        <w:t>Sobel</w:t>
      </w:r>
      <w:r>
        <w:t>检验或</w:t>
      </w:r>
      <w:r>
        <w:t>Bootstrap</w:t>
      </w:r>
      <w:r>
        <w:t>分解，原因在于因果识别主要依赖固定效应设计，机制分析的目的在于确认关键信息传导路径是否存在，而非精确量化间接效应比例。</w:t>
      </w:r>
    </w:p>
    <w:p w14:paraId="4A017E78" w14:textId="77777777" w:rsidR="00C90237" w:rsidRDefault="00000000" w:rsidP="00EE76F5">
      <w:pPr>
        <w:ind w:firstLine="480"/>
      </w:pPr>
      <w:r>
        <w:t>分析师覆盖是连接企业披露与市场定价的关键枢纽。当企业在年报中披露数据驱动战略、数字化转型进展和数据应用实践时，具有信息技术含量的增量信息更容易吸引专业分析师的关注。分析师对这些信息的独立研究和广泛传播，加速了数据要素利用信息向股票价格的融合。检验结果显示，</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对分析师覆盖（取对数）的系数为</w:t>
      </w:r>
      <w:r>
        <w:t>+0.0363</w:t>
      </w:r>
      <w:r>
        <w:t>（</w:t>
      </w:r>
      <w:r>
        <w:t>t=3.94</w:t>
      </w:r>
      <w:r>
        <w:t>，</w:t>
      </w:r>
      <w:r>
        <w:t>p&lt;0.001</w:t>
      </w:r>
      <w:r>
        <w:t>），在</w:t>
      </w:r>
      <w:r>
        <w:t>1%</w:t>
      </w:r>
      <w:r>
        <w:t>的水平上高度显著。这表明数据要素利用确实吸引了分析师的主动跟踪，验证了</w:t>
      </w:r>
      <w:r>
        <w:t>H2a</w:t>
      </w:r>
      <w:r>
        <w:t>的预期。分析师覆盖的增加构成了数据要素利用信息向定价效率传导的核心中介渠道。</w:t>
      </w:r>
    </w:p>
    <w:p w14:paraId="365D8C26" w14:textId="77777777" w:rsidR="00C90237" w:rsidRDefault="00000000" w:rsidP="00EE76F5">
      <w:pPr>
        <w:ind w:firstLine="480"/>
      </w:pPr>
      <w:r>
        <w:t>数据驱动的商业能力在企业的财务行为中同样有所体现。具备较强数据利用能力的企业，在风险评估和资产选择上拥有信息优势，其金融资产配置决策的变化都会在财务报表中得到呈现，向市场传递关于企业经营能力和风险管理水平的隐含信号（朱康和汤甬，</w:t>
      </w:r>
      <w:r>
        <w:t>2025</w:t>
      </w:r>
      <w:r>
        <w:t>）。</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对金融资产占比（</w:t>
      </w:r>
      <w:r>
        <w:t>FinAsset</w:t>
      </w:r>
      <w:r>
        <w:t>）的系数为</w:t>
      </w:r>
      <w:r>
        <w:t>+0.00119</w:t>
      </w:r>
      <w:r>
        <w:t>（</w:t>
      </w:r>
      <w:r>
        <w:t>t=2.71</w:t>
      </w:r>
      <w:r>
        <w:t>，</w:t>
      </w:r>
      <w:r>
        <w:t>p=0.007</w:t>
      </w:r>
      <w:r>
        <w:t>），在</w:t>
      </w:r>
      <w:r>
        <w:t>1%</w:t>
      </w:r>
      <w:r>
        <w:t>的水平上显著为正。虽然经济规模相对温和（</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每增加</w:t>
      </w:r>
      <w:r>
        <w:t>1</w:t>
      </w:r>
      <w:r>
        <w:t>个标准差对应金融资产占比上升</w:t>
      </w:r>
      <w:r>
        <w:t>0.12</w:t>
      </w:r>
      <w:r>
        <w:t>个百分点），但其统计显著性确认了金融资产配置渠道的存在性。企业数据利用能力的提升通过可观测的资产配置变化实现了信号化传递。</w:t>
      </w:r>
    </w:p>
    <w:p w14:paraId="3DD65D61" w14:textId="77777777" w:rsidR="00C90237" w:rsidRDefault="00000000" w:rsidP="00EE76F5">
      <w:pPr>
        <w:ind w:firstLine="480"/>
      </w:pPr>
      <w:r>
        <w:t>与前两条渠道不同，机构投资者的持股决策面临着理论上相互对冲的作用力。一方面，数据要素利用传递了竞争力提升的积极信号；另一方面，数据驱动商业模式的技术复杂性和估值不确定性可能增加了机构投资者进行价值评估的难度。实证结果揭示了一个需要审慎解读的现象：</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对机构投资者持股比例（</w:t>
      </w:r>
      <w:r>
        <w:t>InstHold</w:t>
      </w:r>
      <w:r>
        <w:t>）的系数为</w:t>
      </w:r>
      <w:r>
        <w:t>-0.234</w:t>
      </w:r>
      <w:r>
        <w:t>（</w:t>
      </w:r>
      <w:r>
        <w:t>t=-2.73</w:t>
      </w:r>
      <w:r>
        <w:t>，</w:t>
      </w:r>
      <w:r>
        <w:t>p=0.007</w:t>
      </w:r>
      <w:r>
        <w:t>），显著为负。这一负向系数</w:t>
      </w:r>
      <w:r>
        <w:lastRenderedPageBreak/>
        <w:t>的最直接解释指向信息模糊效应对特定市场参与者的影响。尽管基准回归已证实信息供给效应总体占优，但机构投资者在进行持股决策时不仅关注信息的丰富度，更关注信息的可确定性与估值的清晰度。数据资产价值的非线性增长、应用效果的滞后显现、商业模式的路径依赖，都具有较高的内在不确定性。在会计准则对数据资产估值的指引仍不完备的阶段，风险规避程度较高的机构投资者对高数据利用企业表现出谨慎态度。因此，负向的机构持股系数不应理解为反驳信息供给效应，而应理解为信息供给与信息模糊效应在不同市场参与者中的差异化表现。</w:t>
      </w:r>
    </w:p>
    <w:tbl>
      <w:tblPr>
        <w:tblW w:w="0" w:type="pct"/>
        <w:jc w:val="center"/>
        <w:tblLook w:val="07E0" w:firstRow="1" w:lastRow="1" w:firstColumn="1" w:lastColumn="1" w:noHBand="1" w:noVBand="1"/>
      </w:tblPr>
      <w:tblGrid>
        <w:gridCol w:w="1360"/>
        <w:gridCol w:w="1229"/>
        <w:gridCol w:w="1322"/>
        <w:gridCol w:w="1074"/>
      </w:tblGrid>
      <w:tr w:rsidR="00C90237" w14:paraId="29634694" w14:textId="77777777" w:rsidTr="000C6EF8">
        <w:trPr>
          <w:jc w:val="center"/>
        </w:trPr>
        <w:tc>
          <w:tcPr>
            <w:tcW w:w="0" w:type="auto"/>
            <w:tcBorders>
              <w:top w:val="single" w:sz="4" w:space="0" w:color="auto"/>
              <w:bottom w:val="single" w:sz="4" w:space="0" w:color="auto"/>
            </w:tcBorders>
            <w:vAlign w:val="bottom"/>
          </w:tcPr>
          <w:p w14:paraId="63C92854" w14:textId="77777777" w:rsidR="00C90237" w:rsidRDefault="00000000" w:rsidP="00367949">
            <w:pPr>
              <w:pStyle w:val="af"/>
            </w:pPr>
            <w:r>
              <w:t>因变量</w:t>
            </w:r>
          </w:p>
        </w:tc>
        <w:tc>
          <w:tcPr>
            <w:tcW w:w="0" w:type="auto"/>
            <w:tcBorders>
              <w:top w:val="single" w:sz="4" w:space="0" w:color="auto"/>
              <w:bottom w:val="single" w:sz="4" w:space="0" w:color="auto"/>
            </w:tcBorders>
            <w:vAlign w:val="bottom"/>
          </w:tcPr>
          <w:p w14:paraId="371D1368" w14:textId="77777777" w:rsidR="00C90237" w:rsidRDefault="00000000" w:rsidP="00367949">
            <w:pPr>
              <w:pStyle w:val="af"/>
            </w:pPr>
            <w:r>
              <w:t>Analyst</w:t>
            </w:r>
          </w:p>
        </w:tc>
        <w:tc>
          <w:tcPr>
            <w:tcW w:w="0" w:type="auto"/>
            <w:tcBorders>
              <w:top w:val="single" w:sz="4" w:space="0" w:color="auto"/>
              <w:bottom w:val="single" w:sz="4" w:space="0" w:color="auto"/>
            </w:tcBorders>
            <w:vAlign w:val="bottom"/>
          </w:tcPr>
          <w:p w14:paraId="717E3E0B" w14:textId="77777777" w:rsidR="00C90237" w:rsidRDefault="00000000" w:rsidP="00367949">
            <w:pPr>
              <w:pStyle w:val="af"/>
            </w:pPr>
            <w:r>
              <w:t>FinAsset</w:t>
            </w:r>
          </w:p>
        </w:tc>
        <w:tc>
          <w:tcPr>
            <w:tcW w:w="0" w:type="auto"/>
            <w:tcBorders>
              <w:top w:val="single" w:sz="4" w:space="0" w:color="auto"/>
              <w:bottom w:val="single" w:sz="4" w:space="0" w:color="auto"/>
            </w:tcBorders>
            <w:vAlign w:val="bottom"/>
          </w:tcPr>
          <w:p w14:paraId="131F0DDB" w14:textId="77777777" w:rsidR="00C90237" w:rsidRDefault="00000000" w:rsidP="00367949">
            <w:pPr>
              <w:pStyle w:val="af"/>
            </w:pPr>
            <w:r>
              <w:t>InstHold</w:t>
            </w:r>
          </w:p>
        </w:tc>
      </w:tr>
      <w:tr w:rsidR="00C90237" w14:paraId="4072CAAC" w14:textId="77777777" w:rsidTr="000C6EF8">
        <w:trPr>
          <w:jc w:val="center"/>
        </w:trPr>
        <w:tc>
          <w:tcPr>
            <w:tcW w:w="0" w:type="auto"/>
            <w:tcBorders>
              <w:top w:val="single" w:sz="4" w:space="0" w:color="auto"/>
            </w:tcBorders>
          </w:tcPr>
          <w:p w14:paraId="60976232" w14:textId="77777777" w:rsidR="00C90237" w:rsidRDefault="00000000" w:rsidP="00367949">
            <w:pPr>
              <w:pStyle w:val="af"/>
            </w:pPr>
            <w:r>
              <w:t>DU_kw</w:t>
            </w:r>
            <w:r>
              <w:t>系数</w:t>
            </w:r>
          </w:p>
        </w:tc>
        <w:tc>
          <w:tcPr>
            <w:tcW w:w="0" w:type="auto"/>
            <w:tcBorders>
              <w:top w:val="single" w:sz="4" w:space="0" w:color="auto"/>
            </w:tcBorders>
          </w:tcPr>
          <w:p w14:paraId="2A9F0E7A" w14:textId="77777777" w:rsidR="00C90237" w:rsidRDefault="00000000" w:rsidP="00367949">
            <w:pPr>
              <w:pStyle w:val="af"/>
            </w:pPr>
            <w:r>
              <w:t>+0.0363***</w:t>
            </w:r>
          </w:p>
        </w:tc>
        <w:tc>
          <w:tcPr>
            <w:tcW w:w="0" w:type="auto"/>
            <w:tcBorders>
              <w:top w:val="single" w:sz="4" w:space="0" w:color="auto"/>
            </w:tcBorders>
          </w:tcPr>
          <w:p w14:paraId="32FB30E4" w14:textId="77777777" w:rsidR="00C90237" w:rsidRDefault="00000000" w:rsidP="00367949">
            <w:pPr>
              <w:pStyle w:val="af"/>
            </w:pPr>
            <w:r>
              <w:t>+0.00119***</w:t>
            </w:r>
          </w:p>
        </w:tc>
        <w:tc>
          <w:tcPr>
            <w:tcW w:w="0" w:type="auto"/>
            <w:tcBorders>
              <w:top w:val="single" w:sz="4" w:space="0" w:color="auto"/>
            </w:tcBorders>
          </w:tcPr>
          <w:p w14:paraId="698F7B1C" w14:textId="77777777" w:rsidR="00C90237" w:rsidRDefault="00000000" w:rsidP="00367949">
            <w:pPr>
              <w:pStyle w:val="af"/>
            </w:pPr>
            <w:r>
              <w:t>-0.234***</w:t>
            </w:r>
          </w:p>
        </w:tc>
      </w:tr>
      <w:tr w:rsidR="00C90237" w14:paraId="436FEA3A" w14:textId="77777777" w:rsidTr="00367949">
        <w:trPr>
          <w:jc w:val="center"/>
        </w:trPr>
        <w:tc>
          <w:tcPr>
            <w:tcW w:w="0" w:type="auto"/>
          </w:tcPr>
          <w:p w14:paraId="0ED5F8BC" w14:textId="77777777" w:rsidR="00C90237" w:rsidRDefault="00000000" w:rsidP="00367949">
            <w:pPr>
              <w:pStyle w:val="af"/>
            </w:pPr>
            <w:r>
              <w:t>t</w:t>
            </w:r>
            <w:r>
              <w:t>值</w:t>
            </w:r>
          </w:p>
        </w:tc>
        <w:tc>
          <w:tcPr>
            <w:tcW w:w="0" w:type="auto"/>
          </w:tcPr>
          <w:p w14:paraId="41B40C61" w14:textId="77777777" w:rsidR="00C90237" w:rsidRDefault="00000000" w:rsidP="00367949">
            <w:pPr>
              <w:pStyle w:val="af"/>
            </w:pPr>
            <w:r>
              <w:t>3.94</w:t>
            </w:r>
          </w:p>
        </w:tc>
        <w:tc>
          <w:tcPr>
            <w:tcW w:w="0" w:type="auto"/>
          </w:tcPr>
          <w:p w14:paraId="334BB50A" w14:textId="77777777" w:rsidR="00C90237" w:rsidRDefault="00000000" w:rsidP="00367949">
            <w:pPr>
              <w:pStyle w:val="af"/>
            </w:pPr>
            <w:r>
              <w:t>2.71</w:t>
            </w:r>
          </w:p>
        </w:tc>
        <w:tc>
          <w:tcPr>
            <w:tcW w:w="0" w:type="auto"/>
          </w:tcPr>
          <w:p w14:paraId="7A6D0544" w14:textId="77777777" w:rsidR="00C90237" w:rsidRDefault="00000000" w:rsidP="00367949">
            <w:pPr>
              <w:pStyle w:val="af"/>
            </w:pPr>
            <w:r>
              <w:t>-2.73</w:t>
            </w:r>
          </w:p>
        </w:tc>
      </w:tr>
      <w:tr w:rsidR="00C90237" w14:paraId="698A59B8" w14:textId="77777777" w:rsidTr="00367949">
        <w:trPr>
          <w:jc w:val="center"/>
        </w:trPr>
        <w:tc>
          <w:tcPr>
            <w:tcW w:w="0" w:type="auto"/>
          </w:tcPr>
          <w:p w14:paraId="37799BE5" w14:textId="77777777" w:rsidR="00C90237" w:rsidRDefault="00000000" w:rsidP="00367949">
            <w:pPr>
              <w:pStyle w:val="af"/>
            </w:pPr>
            <w:r>
              <w:t>p</w:t>
            </w:r>
            <w:r>
              <w:t>值</w:t>
            </w:r>
          </w:p>
        </w:tc>
        <w:tc>
          <w:tcPr>
            <w:tcW w:w="0" w:type="auto"/>
          </w:tcPr>
          <w:p w14:paraId="4F5E7E73" w14:textId="77777777" w:rsidR="00C90237" w:rsidRDefault="00000000" w:rsidP="00367949">
            <w:pPr>
              <w:pStyle w:val="af"/>
            </w:pPr>
            <w:r>
              <w:t>&lt;0.001</w:t>
            </w:r>
          </w:p>
        </w:tc>
        <w:tc>
          <w:tcPr>
            <w:tcW w:w="0" w:type="auto"/>
          </w:tcPr>
          <w:p w14:paraId="7725EEF2" w14:textId="77777777" w:rsidR="00C90237" w:rsidRDefault="00000000" w:rsidP="00367949">
            <w:pPr>
              <w:pStyle w:val="af"/>
            </w:pPr>
            <w:r>
              <w:t>0.007</w:t>
            </w:r>
          </w:p>
        </w:tc>
        <w:tc>
          <w:tcPr>
            <w:tcW w:w="0" w:type="auto"/>
          </w:tcPr>
          <w:p w14:paraId="054CACB5" w14:textId="77777777" w:rsidR="00C90237" w:rsidRDefault="00000000" w:rsidP="00367949">
            <w:pPr>
              <w:pStyle w:val="af"/>
            </w:pPr>
            <w:r>
              <w:t>0.007</w:t>
            </w:r>
          </w:p>
        </w:tc>
      </w:tr>
      <w:tr w:rsidR="00C90237" w14:paraId="7FE3A36A" w14:textId="77777777" w:rsidTr="00367949">
        <w:trPr>
          <w:jc w:val="center"/>
        </w:trPr>
        <w:tc>
          <w:tcPr>
            <w:tcW w:w="0" w:type="auto"/>
          </w:tcPr>
          <w:p w14:paraId="7BA0C9FF" w14:textId="77777777" w:rsidR="00C90237" w:rsidRDefault="00000000" w:rsidP="00367949">
            <w:pPr>
              <w:pStyle w:val="af"/>
            </w:pPr>
            <w:r>
              <w:t>N</w:t>
            </w:r>
          </w:p>
        </w:tc>
        <w:tc>
          <w:tcPr>
            <w:tcW w:w="0" w:type="auto"/>
          </w:tcPr>
          <w:p w14:paraId="627239E4" w14:textId="77777777" w:rsidR="00C90237" w:rsidRDefault="00000000" w:rsidP="00367949">
            <w:pPr>
              <w:pStyle w:val="af"/>
            </w:pPr>
            <w:r>
              <w:t>38,614</w:t>
            </w:r>
          </w:p>
        </w:tc>
        <w:tc>
          <w:tcPr>
            <w:tcW w:w="0" w:type="auto"/>
          </w:tcPr>
          <w:p w14:paraId="5323BC37" w14:textId="77777777" w:rsidR="00C90237" w:rsidRDefault="00000000" w:rsidP="00367949">
            <w:pPr>
              <w:pStyle w:val="af"/>
            </w:pPr>
            <w:r>
              <w:t>38,614</w:t>
            </w:r>
          </w:p>
        </w:tc>
        <w:tc>
          <w:tcPr>
            <w:tcW w:w="0" w:type="auto"/>
          </w:tcPr>
          <w:p w14:paraId="1CF86266" w14:textId="77777777" w:rsidR="00C90237" w:rsidRDefault="00000000" w:rsidP="00367949">
            <w:pPr>
              <w:pStyle w:val="af"/>
            </w:pPr>
            <w:r>
              <w:t>38,614</w:t>
            </w:r>
          </w:p>
        </w:tc>
      </w:tr>
    </w:tbl>
    <w:p w14:paraId="5B011AD5" w14:textId="77777777" w:rsidR="00C90237" w:rsidRDefault="00000000" w:rsidP="00367949">
      <w:pPr>
        <w:pStyle w:val="afd"/>
      </w:pPr>
      <w:r>
        <w:t>注：固定效应为企业+年份，标准误按行业×年份聚类。Analyst为分析师覆盖对数，FinAsset为金融资产占比，InstHold为机构持股比例。</w:t>
      </w:r>
    </w:p>
    <w:p w14:paraId="546F4AD9" w14:textId="77777777" w:rsidR="00C90237" w:rsidRDefault="00000000" w:rsidP="00EE76F5">
      <w:pPr>
        <w:ind w:firstLine="480"/>
      </w:pPr>
      <w:r>
        <w:t>三条渠道的检验结果表明，数据要素利用信息向定价效率的传导围绕信息的供给、加工与吸收这一完整的市场价格发现流程展开。分析师中介渠道是核心传导机制，金融资产配置渠道提供了企业行为层面的补充证据，机构投资者的负向响应则揭示了信息模糊效应在专业投资者群体中的持续制约。</w:t>
      </w:r>
    </w:p>
    <w:p w14:paraId="4C974F22" w14:textId="77777777" w:rsidR="00C90237" w:rsidRDefault="00000000" w:rsidP="00367949">
      <w:pPr>
        <w:pStyle w:val="2"/>
      </w:pPr>
      <w:bookmarkStart w:id="20" w:name="六异质性分析"/>
      <w:r>
        <w:t>六、异质性分析</w:t>
      </w:r>
      <w:bookmarkEnd w:id="20"/>
    </w:p>
    <w:p w14:paraId="63C39F32" w14:textId="77777777" w:rsidR="00C90237" w:rsidRDefault="00000000" w:rsidP="00EE76F5">
      <w:pPr>
        <w:ind w:firstLine="480"/>
      </w:pPr>
      <w:r>
        <w:t>在确认传导机制之后，一个自然的延伸问题是：数据要素利用对定价效率的改善是否在不同企业特征下表现一致？以下从产权性质、信息中介活跃度和行业属性三个维度展开分组回归。</w:t>
      </w:r>
    </w:p>
    <w:p w14:paraId="62BF24D1" w14:textId="77777777" w:rsidR="00C90237" w:rsidRDefault="00000000" w:rsidP="00EE76F5">
      <w:pPr>
        <w:ind w:firstLine="480"/>
      </w:pPr>
      <w:r>
        <w:t>国有企业与民营企业在信息披露的可信度上存在本质差异。国有企业受到更严格的监管约束和社会责任监督，其披露的非财务信息通常被市场视为更具权威性，信息模糊风险相对较低，信息供给效应因此被放大。在国有企业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w:t>
      </w:r>
      <w:r>
        <w:t>-0.00543</w:t>
      </w:r>
      <w:r>
        <w:t>（</w:t>
      </w:r>
      <w:r>
        <w:t>t=-2.30</w:t>
      </w:r>
      <w:r>
        <w:t>，</w:t>
      </w:r>
      <w:r>
        <w:t>p=0.022</w:t>
      </w:r>
      <w:r>
        <w:t>），达到</w:t>
      </w:r>
      <w:r>
        <w:t>5%</w:t>
      </w:r>
      <w:r>
        <w:t>的显著性水平。在民营企业样本中，系数为</w:t>
      </w:r>
      <w:r>
        <w:t>-0.00286</w:t>
      </w:r>
      <w:r>
        <w:t>（</w:t>
      </w:r>
      <w:r>
        <w:t>t=-2.37</w:t>
      </w:r>
      <w:r>
        <w:t>，</w:t>
      </w:r>
      <w:r>
        <w:t>p=0.018</w:t>
      </w:r>
      <w:r>
        <w:t>），也显著但绝对值略小。两个子样本的系数比值约为</w:t>
      </w:r>
      <w:r>
        <w:t>1.9:1</w:t>
      </w:r>
      <w:r>
        <w:t>，表明国有企业的效应强度高于民营企业。</w:t>
      </w:r>
      <w:r>
        <w:t>Fisher</w:t>
      </w:r>
      <w:r>
        <w:t>交叉组检验的</w:t>
      </w:r>
      <w:r>
        <w:t>z</w:t>
      </w:r>
      <w:r>
        <w:t>统计量为</w:t>
      </w:r>
      <w:r>
        <w:t>-0.97</w:t>
      </w:r>
      <w:r>
        <w:t>（</w:t>
      </w:r>
      <w:r>
        <w:t>p=0.33</w:t>
      </w:r>
      <w:r>
        <w:t>），两个系数之间的差异在统计上不显著。从经济意义的角度，产权性质调节定价效率改善的强弱程度，但不改变数据要素利用的基本方向和显著性。</w:t>
      </w:r>
    </w:p>
    <w:p w14:paraId="59F45618" w14:textId="77777777" w:rsidR="00C90237" w:rsidRDefault="00000000" w:rsidP="00EE76F5">
      <w:pPr>
        <w:ind w:firstLine="480"/>
      </w:pPr>
      <w:r>
        <w:t>信息中介活跃度呈现出最为清晰的异质性模式。高分析师覆盖企业的样本（分析师跟踪数</w:t>
      </w:r>
      <w:r>
        <w:t>≥</w:t>
      </w:r>
      <w:r>
        <w:t>中位数）中，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w:t>
      </w:r>
      <w:r>
        <w:t>-0.00461</w:t>
      </w:r>
      <w:r>
        <w:t>（</w:t>
      </w:r>
      <w:r>
        <w:t>t=-4.09</w:t>
      </w:r>
      <w:r>
        <w:t>，</w:t>
      </w:r>
      <w:r>
        <w:t>p&lt;0.001</w:t>
      </w:r>
      <w:r>
        <w:t>），在</w:t>
      </w:r>
      <w:r>
        <w:t>1%</w:t>
      </w:r>
      <w:r>
        <w:t>水平上高度显著，这是异质性分析中最强的一组效应。低分析师覆盖企业样本中，系数仅为</w:t>
      </w:r>
      <w:r>
        <w:t>-0.00243</w:t>
      </w:r>
      <w:r>
        <w:t>（</w:t>
      </w:r>
      <w:r>
        <w:t>t=-1.28</w:t>
      </w:r>
      <w:r>
        <w:t>，</w:t>
      </w:r>
      <w:r>
        <w:t>p=0.203</w:t>
      </w:r>
      <w:r>
        <w:t>），未达到常规的</w:t>
      </w:r>
      <w:r>
        <w:t>5%</w:t>
      </w:r>
      <w:r>
        <w:t>显著性水平。</w:t>
      </w:r>
      <w:r>
        <w:lastRenderedPageBreak/>
        <w:t>高覆盖企业中数据要素利用的显著效应，与传导机制检验中分析师渠道的显著系数相互印证，形成了逻辑闭环：数据披露之所以改善定价效率，在很大程度上是因为分析师将这些信息有效地中介给了市场。低覆盖组中效应的消失，进一步说明数据的信息特性需要市场中介的激活才能转化为定价影响。信息供给效应和信息模糊效应的相对强弱，关键上取决于信息中介的活跃程度。</w:t>
      </w:r>
    </w:p>
    <w:p w14:paraId="0D97AD57" w14:textId="77777777" w:rsidR="00C90237" w:rsidRDefault="00000000" w:rsidP="00EE76F5">
      <w:pPr>
        <w:ind w:firstLine="480"/>
      </w:pPr>
      <w:r>
        <w:t>数据要素利用的定价效应是否局限于技术密集型行业，对理论的普遍性具有重要意义。高科技行业样本中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w:t>
      </w:r>
      <w:r>
        <w:t>-0.00398</w:t>
      </w:r>
      <w:r>
        <w:t>（</w:t>
      </w:r>
      <w:r>
        <w:t>t=-2.96</w:t>
      </w:r>
      <w:r>
        <w:t>，</w:t>
      </w:r>
      <w:r>
        <w:t>p=0.005</w:t>
      </w:r>
      <w:r>
        <w:t>），传统行业样本中系数为</w:t>
      </w:r>
      <w:r>
        <w:t>-0.00382</w:t>
      </w:r>
      <w:r>
        <w:t>（</w:t>
      </w:r>
      <w:r>
        <w:t>t=-2.06</w:t>
      </w:r>
      <w:r>
        <w:t>，</w:t>
      </w:r>
      <w:r>
        <w:t>p=0.040</w:t>
      </w:r>
      <w:r>
        <w:t>），两个系数的绝对值极为接近。</w:t>
      </w:r>
      <w:r>
        <w:t>Fisher</w:t>
      </w:r>
      <w:r>
        <w:t>检验的</w:t>
      </w:r>
      <w:r>
        <w:t>z</w:t>
      </w:r>
      <w:r>
        <w:t>值为</w:t>
      </w:r>
      <w:r>
        <w:t>-0.07</w:t>
      </w:r>
      <w:r>
        <w:t>（</w:t>
      </w:r>
      <w:r>
        <w:t>p=0.95</w:t>
      </w:r>
      <w:r>
        <w:t>），完全没有统计显著的差异。这一结果有力地表明，数据要素利用的定价效应具有普遍的跨行业适用性。传统行业企业的数据应用虽然在外观上不如科技企业显眼，但在信息不对称的消解这一核心经济功能上同样具有定价意义。</w:t>
      </w:r>
    </w:p>
    <w:tbl>
      <w:tblPr>
        <w:tblW w:w="5000" w:type="pct"/>
        <w:tblLook w:val="04A0" w:firstRow="1" w:lastRow="0" w:firstColumn="1" w:lastColumn="0" w:noHBand="0" w:noVBand="1"/>
      </w:tblPr>
      <w:tblGrid>
        <w:gridCol w:w="1781"/>
        <w:gridCol w:w="1074"/>
        <w:gridCol w:w="1166"/>
        <w:gridCol w:w="787"/>
        <w:gridCol w:w="1113"/>
        <w:gridCol w:w="954"/>
        <w:gridCol w:w="1021"/>
        <w:gridCol w:w="626"/>
      </w:tblGrid>
      <w:tr w:rsidR="00367949" w:rsidRPr="00367949" w14:paraId="780E6B68" w14:textId="77777777" w:rsidTr="000C6EF8">
        <w:trPr>
          <w:trHeight w:val="320"/>
        </w:trPr>
        <w:tc>
          <w:tcPr>
            <w:tcW w:w="1045" w:type="pct"/>
            <w:tcBorders>
              <w:top w:val="single" w:sz="4" w:space="0" w:color="auto"/>
              <w:left w:val="nil"/>
              <w:bottom w:val="nil"/>
              <w:right w:val="nil"/>
            </w:tcBorders>
            <w:noWrap/>
            <w:vAlign w:val="center"/>
            <w:hideMark/>
          </w:tcPr>
          <w:p w14:paraId="5E05D211" w14:textId="77777777" w:rsidR="00367949" w:rsidRPr="00367949" w:rsidRDefault="00367949" w:rsidP="00367949">
            <w:pPr>
              <w:pStyle w:val="af"/>
            </w:pPr>
            <w:r w:rsidRPr="00367949">
              <w:rPr>
                <w:rFonts w:hint="eastAsia"/>
              </w:rPr>
              <w:t>子样本</w:t>
            </w:r>
          </w:p>
        </w:tc>
        <w:tc>
          <w:tcPr>
            <w:tcW w:w="630" w:type="pct"/>
            <w:tcBorders>
              <w:top w:val="single" w:sz="4" w:space="0" w:color="auto"/>
              <w:left w:val="nil"/>
              <w:bottom w:val="nil"/>
              <w:right w:val="nil"/>
            </w:tcBorders>
            <w:noWrap/>
            <w:vAlign w:val="center"/>
            <w:hideMark/>
          </w:tcPr>
          <w:p w14:paraId="2058CB37" w14:textId="77777777" w:rsidR="00367949" w:rsidRPr="00367949" w:rsidRDefault="00367949" w:rsidP="00367949">
            <w:pPr>
              <w:pStyle w:val="af"/>
              <w:rPr>
                <w:rFonts w:hint="eastAsia"/>
              </w:rPr>
            </w:pPr>
            <w:r w:rsidRPr="00367949">
              <w:rPr>
                <w:rFonts w:hint="eastAsia"/>
              </w:rPr>
              <w:t>变量</w:t>
            </w:r>
          </w:p>
        </w:tc>
        <w:tc>
          <w:tcPr>
            <w:tcW w:w="684" w:type="pct"/>
            <w:tcBorders>
              <w:top w:val="single" w:sz="4" w:space="0" w:color="auto"/>
              <w:left w:val="nil"/>
              <w:bottom w:val="nil"/>
              <w:right w:val="nil"/>
            </w:tcBorders>
            <w:noWrap/>
            <w:vAlign w:val="center"/>
            <w:hideMark/>
          </w:tcPr>
          <w:p w14:paraId="0978CC2F" w14:textId="77777777" w:rsidR="00367949" w:rsidRPr="00367949" w:rsidRDefault="00367949" w:rsidP="00367949">
            <w:pPr>
              <w:pStyle w:val="af"/>
              <w:rPr>
                <w:rFonts w:hint="eastAsia"/>
              </w:rPr>
            </w:pPr>
            <w:r w:rsidRPr="00367949">
              <w:rPr>
                <w:rFonts w:hint="eastAsia"/>
              </w:rPr>
              <w:t>系数</w:t>
            </w:r>
          </w:p>
        </w:tc>
        <w:tc>
          <w:tcPr>
            <w:tcW w:w="462" w:type="pct"/>
            <w:tcBorders>
              <w:top w:val="single" w:sz="4" w:space="0" w:color="auto"/>
              <w:left w:val="nil"/>
              <w:bottom w:val="nil"/>
              <w:right w:val="nil"/>
            </w:tcBorders>
            <w:noWrap/>
            <w:vAlign w:val="center"/>
            <w:hideMark/>
          </w:tcPr>
          <w:p w14:paraId="7A3DDA52" w14:textId="77777777" w:rsidR="00367949" w:rsidRPr="00367949" w:rsidRDefault="00367949" w:rsidP="00367949">
            <w:pPr>
              <w:pStyle w:val="af"/>
              <w:rPr>
                <w:rFonts w:hint="eastAsia"/>
              </w:rPr>
            </w:pPr>
            <w:r w:rsidRPr="00367949">
              <w:rPr>
                <w:rFonts w:hint="eastAsia"/>
              </w:rPr>
              <w:t>t</w:t>
            </w:r>
            <w:r w:rsidRPr="00367949">
              <w:rPr>
                <w:rFonts w:hint="eastAsia"/>
              </w:rPr>
              <w:t>值</w:t>
            </w:r>
          </w:p>
        </w:tc>
        <w:tc>
          <w:tcPr>
            <w:tcW w:w="653" w:type="pct"/>
            <w:tcBorders>
              <w:top w:val="single" w:sz="4" w:space="0" w:color="auto"/>
              <w:left w:val="nil"/>
              <w:bottom w:val="nil"/>
              <w:right w:val="nil"/>
            </w:tcBorders>
            <w:noWrap/>
            <w:vAlign w:val="center"/>
            <w:hideMark/>
          </w:tcPr>
          <w:p w14:paraId="31ED8549" w14:textId="77777777" w:rsidR="00367949" w:rsidRPr="00367949" w:rsidRDefault="00367949" w:rsidP="00367949">
            <w:pPr>
              <w:pStyle w:val="af"/>
              <w:rPr>
                <w:rFonts w:hint="eastAsia"/>
              </w:rPr>
            </w:pPr>
            <w:r w:rsidRPr="00367949">
              <w:rPr>
                <w:rFonts w:hint="eastAsia"/>
              </w:rPr>
              <w:t>p</w:t>
            </w:r>
            <w:r w:rsidRPr="00367949">
              <w:rPr>
                <w:rFonts w:hint="eastAsia"/>
              </w:rPr>
              <w:t>值</w:t>
            </w:r>
          </w:p>
        </w:tc>
        <w:tc>
          <w:tcPr>
            <w:tcW w:w="560" w:type="pct"/>
            <w:tcBorders>
              <w:top w:val="single" w:sz="4" w:space="0" w:color="auto"/>
              <w:left w:val="nil"/>
              <w:bottom w:val="nil"/>
              <w:right w:val="nil"/>
            </w:tcBorders>
            <w:noWrap/>
            <w:vAlign w:val="center"/>
            <w:hideMark/>
          </w:tcPr>
          <w:p w14:paraId="001F00FD" w14:textId="77777777" w:rsidR="00367949" w:rsidRPr="00367949" w:rsidRDefault="00367949" w:rsidP="00367949">
            <w:pPr>
              <w:pStyle w:val="af"/>
              <w:rPr>
                <w:rFonts w:hint="eastAsia"/>
              </w:rPr>
            </w:pPr>
            <w:r w:rsidRPr="00367949">
              <w:rPr>
                <w:rFonts w:hint="eastAsia"/>
              </w:rPr>
              <w:t>N</w:t>
            </w:r>
          </w:p>
        </w:tc>
        <w:tc>
          <w:tcPr>
            <w:tcW w:w="599" w:type="pct"/>
            <w:tcBorders>
              <w:top w:val="single" w:sz="4" w:space="0" w:color="auto"/>
              <w:left w:val="nil"/>
              <w:bottom w:val="nil"/>
              <w:right w:val="nil"/>
            </w:tcBorders>
            <w:noWrap/>
            <w:vAlign w:val="center"/>
            <w:hideMark/>
          </w:tcPr>
          <w:p w14:paraId="4075979E" w14:textId="77777777" w:rsidR="00367949" w:rsidRPr="00367949" w:rsidRDefault="00367949" w:rsidP="00367949">
            <w:pPr>
              <w:pStyle w:val="af"/>
              <w:rPr>
                <w:rFonts w:hint="eastAsia"/>
              </w:rPr>
            </w:pPr>
            <w:r w:rsidRPr="00367949">
              <w:rPr>
                <w:rFonts w:hint="eastAsia"/>
              </w:rPr>
              <w:t>显著性</w:t>
            </w:r>
          </w:p>
        </w:tc>
        <w:tc>
          <w:tcPr>
            <w:tcW w:w="367" w:type="pct"/>
            <w:tcBorders>
              <w:top w:val="single" w:sz="4" w:space="0" w:color="auto"/>
              <w:left w:val="nil"/>
              <w:bottom w:val="nil"/>
              <w:right w:val="nil"/>
            </w:tcBorders>
            <w:noWrap/>
            <w:vAlign w:val="center"/>
            <w:hideMark/>
          </w:tcPr>
          <w:p w14:paraId="7A465A98" w14:textId="77777777" w:rsidR="00367949" w:rsidRPr="00367949" w:rsidRDefault="00367949" w:rsidP="00367949">
            <w:pPr>
              <w:pStyle w:val="af"/>
              <w:rPr>
                <w:rFonts w:hint="eastAsia"/>
              </w:rPr>
            </w:pPr>
          </w:p>
        </w:tc>
      </w:tr>
      <w:tr w:rsidR="00367949" w:rsidRPr="00367949" w14:paraId="536D0E6E" w14:textId="77777777" w:rsidTr="000C6EF8">
        <w:trPr>
          <w:trHeight w:val="320"/>
        </w:trPr>
        <w:tc>
          <w:tcPr>
            <w:tcW w:w="1045" w:type="pct"/>
            <w:tcBorders>
              <w:top w:val="single" w:sz="4" w:space="0" w:color="auto"/>
              <w:left w:val="nil"/>
              <w:bottom w:val="nil"/>
              <w:right w:val="nil"/>
            </w:tcBorders>
            <w:noWrap/>
            <w:vAlign w:val="center"/>
            <w:hideMark/>
          </w:tcPr>
          <w:p w14:paraId="5C3B6E17" w14:textId="77777777" w:rsidR="00367949" w:rsidRPr="00367949" w:rsidRDefault="00367949" w:rsidP="00367949">
            <w:pPr>
              <w:pStyle w:val="af"/>
            </w:pPr>
            <w:r w:rsidRPr="00367949">
              <w:rPr>
                <w:rFonts w:hint="eastAsia"/>
              </w:rPr>
              <w:t>国有企业</w:t>
            </w:r>
          </w:p>
        </w:tc>
        <w:tc>
          <w:tcPr>
            <w:tcW w:w="630" w:type="pct"/>
            <w:tcBorders>
              <w:top w:val="single" w:sz="4" w:space="0" w:color="auto"/>
              <w:left w:val="nil"/>
              <w:bottom w:val="nil"/>
              <w:right w:val="nil"/>
            </w:tcBorders>
            <w:noWrap/>
            <w:vAlign w:val="center"/>
            <w:hideMark/>
          </w:tcPr>
          <w:p w14:paraId="6EFB4530" w14:textId="4BE4C0FF"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684" w:type="pct"/>
            <w:tcBorders>
              <w:top w:val="single" w:sz="4" w:space="0" w:color="auto"/>
              <w:left w:val="nil"/>
              <w:bottom w:val="nil"/>
              <w:right w:val="nil"/>
            </w:tcBorders>
            <w:noWrap/>
            <w:vAlign w:val="center"/>
            <w:hideMark/>
          </w:tcPr>
          <w:p w14:paraId="389A44AA" w14:textId="77777777" w:rsidR="00367949" w:rsidRPr="00367949" w:rsidRDefault="00367949" w:rsidP="00367949">
            <w:pPr>
              <w:pStyle w:val="af"/>
              <w:rPr>
                <w:rFonts w:hint="eastAsia"/>
              </w:rPr>
            </w:pPr>
            <w:r w:rsidRPr="00367949">
              <w:rPr>
                <w:rFonts w:hint="eastAsia"/>
              </w:rPr>
              <w:t>-0.00543</w:t>
            </w:r>
          </w:p>
        </w:tc>
        <w:tc>
          <w:tcPr>
            <w:tcW w:w="462" w:type="pct"/>
            <w:tcBorders>
              <w:top w:val="single" w:sz="4" w:space="0" w:color="auto"/>
              <w:left w:val="nil"/>
              <w:bottom w:val="nil"/>
              <w:right w:val="nil"/>
            </w:tcBorders>
            <w:noWrap/>
            <w:vAlign w:val="center"/>
            <w:hideMark/>
          </w:tcPr>
          <w:p w14:paraId="1148FBC3" w14:textId="77777777" w:rsidR="00367949" w:rsidRPr="00367949" w:rsidRDefault="00367949" w:rsidP="00367949">
            <w:pPr>
              <w:pStyle w:val="af"/>
              <w:rPr>
                <w:rFonts w:hint="eastAsia"/>
              </w:rPr>
            </w:pPr>
            <w:r w:rsidRPr="00367949">
              <w:rPr>
                <w:rFonts w:hint="eastAsia"/>
              </w:rPr>
              <w:t>-2.3</w:t>
            </w:r>
          </w:p>
        </w:tc>
        <w:tc>
          <w:tcPr>
            <w:tcW w:w="653" w:type="pct"/>
            <w:tcBorders>
              <w:top w:val="single" w:sz="4" w:space="0" w:color="auto"/>
              <w:left w:val="nil"/>
              <w:bottom w:val="nil"/>
              <w:right w:val="nil"/>
            </w:tcBorders>
            <w:noWrap/>
            <w:vAlign w:val="center"/>
            <w:hideMark/>
          </w:tcPr>
          <w:p w14:paraId="37EF1EB0" w14:textId="77777777" w:rsidR="00367949" w:rsidRPr="00367949" w:rsidRDefault="00367949" w:rsidP="00367949">
            <w:pPr>
              <w:pStyle w:val="af"/>
              <w:rPr>
                <w:rFonts w:hint="eastAsia"/>
              </w:rPr>
            </w:pPr>
            <w:r w:rsidRPr="00367949">
              <w:rPr>
                <w:rFonts w:hint="eastAsia"/>
              </w:rPr>
              <w:t>0.022</w:t>
            </w:r>
          </w:p>
        </w:tc>
        <w:tc>
          <w:tcPr>
            <w:tcW w:w="560" w:type="pct"/>
            <w:tcBorders>
              <w:top w:val="single" w:sz="4" w:space="0" w:color="auto"/>
              <w:left w:val="nil"/>
              <w:bottom w:val="nil"/>
              <w:right w:val="nil"/>
            </w:tcBorders>
            <w:noWrap/>
            <w:vAlign w:val="center"/>
            <w:hideMark/>
          </w:tcPr>
          <w:p w14:paraId="6B791E47" w14:textId="77777777" w:rsidR="00367949" w:rsidRPr="00367949" w:rsidRDefault="00367949" w:rsidP="00367949">
            <w:pPr>
              <w:pStyle w:val="af"/>
              <w:rPr>
                <w:rFonts w:hint="eastAsia"/>
              </w:rPr>
            </w:pPr>
            <w:r w:rsidRPr="00367949">
              <w:rPr>
                <w:rFonts w:hint="eastAsia"/>
              </w:rPr>
              <w:t>13,162</w:t>
            </w:r>
          </w:p>
        </w:tc>
        <w:tc>
          <w:tcPr>
            <w:tcW w:w="599" w:type="pct"/>
            <w:tcBorders>
              <w:top w:val="single" w:sz="4" w:space="0" w:color="auto"/>
              <w:left w:val="nil"/>
              <w:bottom w:val="nil"/>
              <w:right w:val="nil"/>
            </w:tcBorders>
            <w:noWrap/>
            <w:vAlign w:val="center"/>
            <w:hideMark/>
          </w:tcPr>
          <w:p w14:paraId="208B698E" w14:textId="77777777" w:rsidR="00367949" w:rsidRPr="00367949" w:rsidRDefault="00367949" w:rsidP="00367949">
            <w:pPr>
              <w:pStyle w:val="af"/>
              <w:rPr>
                <w:rFonts w:hint="eastAsia"/>
              </w:rPr>
            </w:pPr>
            <w:r w:rsidRPr="00367949">
              <w:rPr>
                <w:rFonts w:hint="eastAsia"/>
              </w:rPr>
              <w:t>**</w:t>
            </w:r>
          </w:p>
        </w:tc>
        <w:tc>
          <w:tcPr>
            <w:tcW w:w="367" w:type="pct"/>
            <w:tcBorders>
              <w:top w:val="single" w:sz="4" w:space="0" w:color="auto"/>
              <w:left w:val="nil"/>
              <w:bottom w:val="nil"/>
              <w:right w:val="nil"/>
            </w:tcBorders>
            <w:noWrap/>
            <w:vAlign w:val="center"/>
            <w:hideMark/>
          </w:tcPr>
          <w:p w14:paraId="1F5D254F" w14:textId="77777777" w:rsidR="00367949" w:rsidRPr="00367949" w:rsidRDefault="00367949" w:rsidP="00367949">
            <w:pPr>
              <w:pStyle w:val="af"/>
              <w:rPr>
                <w:rFonts w:hint="eastAsia"/>
              </w:rPr>
            </w:pPr>
          </w:p>
        </w:tc>
      </w:tr>
      <w:tr w:rsidR="00367949" w:rsidRPr="00367949" w14:paraId="4261B1EC" w14:textId="77777777" w:rsidTr="00367949">
        <w:trPr>
          <w:trHeight w:val="320"/>
        </w:trPr>
        <w:tc>
          <w:tcPr>
            <w:tcW w:w="1045" w:type="pct"/>
            <w:tcBorders>
              <w:top w:val="nil"/>
              <w:left w:val="nil"/>
              <w:bottom w:val="nil"/>
              <w:right w:val="nil"/>
            </w:tcBorders>
            <w:noWrap/>
            <w:vAlign w:val="center"/>
            <w:hideMark/>
          </w:tcPr>
          <w:p w14:paraId="19CF7DC9" w14:textId="77777777" w:rsidR="00367949" w:rsidRPr="00367949" w:rsidRDefault="00367949" w:rsidP="00367949">
            <w:pPr>
              <w:pStyle w:val="af"/>
            </w:pPr>
            <w:r w:rsidRPr="00367949">
              <w:rPr>
                <w:rFonts w:hint="eastAsia"/>
              </w:rPr>
              <w:t>民营企业</w:t>
            </w:r>
          </w:p>
        </w:tc>
        <w:tc>
          <w:tcPr>
            <w:tcW w:w="630" w:type="pct"/>
            <w:tcBorders>
              <w:top w:val="nil"/>
              <w:left w:val="nil"/>
              <w:bottom w:val="nil"/>
              <w:right w:val="nil"/>
            </w:tcBorders>
            <w:noWrap/>
            <w:vAlign w:val="center"/>
            <w:hideMark/>
          </w:tcPr>
          <w:p w14:paraId="48194A1B" w14:textId="62A91482"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684" w:type="pct"/>
            <w:tcBorders>
              <w:top w:val="nil"/>
              <w:left w:val="nil"/>
              <w:bottom w:val="nil"/>
              <w:right w:val="nil"/>
            </w:tcBorders>
            <w:noWrap/>
            <w:vAlign w:val="center"/>
            <w:hideMark/>
          </w:tcPr>
          <w:p w14:paraId="0D3CCF98" w14:textId="77777777" w:rsidR="00367949" w:rsidRPr="00367949" w:rsidRDefault="00367949" w:rsidP="00367949">
            <w:pPr>
              <w:pStyle w:val="af"/>
              <w:rPr>
                <w:rFonts w:hint="eastAsia"/>
              </w:rPr>
            </w:pPr>
            <w:r w:rsidRPr="00367949">
              <w:rPr>
                <w:rFonts w:hint="eastAsia"/>
              </w:rPr>
              <w:t>-0.00286</w:t>
            </w:r>
          </w:p>
        </w:tc>
        <w:tc>
          <w:tcPr>
            <w:tcW w:w="462" w:type="pct"/>
            <w:tcBorders>
              <w:top w:val="nil"/>
              <w:left w:val="nil"/>
              <w:bottom w:val="nil"/>
              <w:right w:val="nil"/>
            </w:tcBorders>
            <w:noWrap/>
            <w:vAlign w:val="center"/>
            <w:hideMark/>
          </w:tcPr>
          <w:p w14:paraId="70F4AF44" w14:textId="77777777" w:rsidR="00367949" w:rsidRPr="00367949" w:rsidRDefault="00367949" w:rsidP="00367949">
            <w:pPr>
              <w:pStyle w:val="af"/>
              <w:rPr>
                <w:rFonts w:hint="eastAsia"/>
              </w:rPr>
            </w:pPr>
            <w:r w:rsidRPr="00367949">
              <w:rPr>
                <w:rFonts w:hint="eastAsia"/>
              </w:rPr>
              <w:t>-2.37</w:t>
            </w:r>
          </w:p>
        </w:tc>
        <w:tc>
          <w:tcPr>
            <w:tcW w:w="653" w:type="pct"/>
            <w:tcBorders>
              <w:top w:val="nil"/>
              <w:left w:val="nil"/>
              <w:bottom w:val="nil"/>
              <w:right w:val="nil"/>
            </w:tcBorders>
            <w:noWrap/>
            <w:vAlign w:val="center"/>
            <w:hideMark/>
          </w:tcPr>
          <w:p w14:paraId="75F4B49E" w14:textId="77777777" w:rsidR="00367949" w:rsidRPr="00367949" w:rsidRDefault="00367949" w:rsidP="00367949">
            <w:pPr>
              <w:pStyle w:val="af"/>
              <w:rPr>
                <w:rFonts w:hint="eastAsia"/>
              </w:rPr>
            </w:pPr>
            <w:r w:rsidRPr="00367949">
              <w:rPr>
                <w:rFonts w:hint="eastAsia"/>
              </w:rPr>
              <w:t>0.018</w:t>
            </w:r>
          </w:p>
        </w:tc>
        <w:tc>
          <w:tcPr>
            <w:tcW w:w="560" w:type="pct"/>
            <w:tcBorders>
              <w:top w:val="nil"/>
              <w:left w:val="nil"/>
              <w:bottom w:val="nil"/>
              <w:right w:val="nil"/>
            </w:tcBorders>
            <w:noWrap/>
            <w:vAlign w:val="center"/>
            <w:hideMark/>
          </w:tcPr>
          <w:p w14:paraId="47C20769" w14:textId="77777777" w:rsidR="00367949" w:rsidRPr="00367949" w:rsidRDefault="00367949" w:rsidP="00367949">
            <w:pPr>
              <w:pStyle w:val="af"/>
              <w:rPr>
                <w:rFonts w:hint="eastAsia"/>
              </w:rPr>
            </w:pPr>
            <w:r w:rsidRPr="00367949">
              <w:rPr>
                <w:rFonts w:hint="eastAsia"/>
              </w:rPr>
              <w:t>25,378</w:t>
            </w:r>
          </w:p>
        </w:tc>
        <w:tc>
          <w:tcPr>
            <w:tcW w:w="599" w:type="pct"/>
            <w:tcBorders>
              <w:top w:val="nil"/>
              <w:left w:val="nil"/>
              <w:bottom w:val="nil"/>
              <w:right w:val="nil"/>
            </w:tcBorders>
            <w:noWrap/>
            <w:vAlign w:val="center"/>
            <w:hideMark/>
          </w:tcPr>
          <w:p w14:paraId="79A32447" w14:textId="77777777" w:rsidR="00367949" w:rsidRPr="00367949" w:rsidRDefault="00367949" w:rsidP="00367949">
            <w:pPr>
              <w:pStyle w:val="af"/>
              <w:rPr>
                <w:rFonts w:hint="eastAsia"/>
              </w:rPr>
            </w:pPr>
            <w:r w:rsidRPr="00367949">
              <w:rPr>
                <w:rFonts w:hint="eastAsia"/>
              </w:rPr>
              <w:t>**</w:t>
            </w:r>
          </w:p>
        </w:tc>
        <w:tc>
          <w:tcPr>
            <w:tcW w:w="367" w:type="pct"/>
            <w:tcBorders>
              <w:top w:val="nil"/>
              <w:left w:val="nil"/>
              <w:bottom w:val="nil"/>
              <w:right w:val="nil"/>
            </w:tcBorders>
            <w:noWrap/>
            <w:vAlign w:val="center"/>
            <w:hideMark/>
          </w:tcPr>
          <w:p w14:paraId="02B3AF88" w14:textId="77777777" w:rsidR="00367949" w:rsidRPr="00367949" w:rsidRDefault="00367949" w:rsidP="00367949">
            <w:pPr>
              <w:pStyle w:val="af"/>
              <w:rPr>
                <w:rFonts w:hint="eastAsia"/>
              </w:rPr>
            </w:pPr>
          </w:p>
        </w:tc>
      </w:tr>
      <w:tr w:rsidR="00367949" w:rsidRPr="00367949" w14:paraId="16F12809" w14:textId="77777777" w:rsidTr="00367949">
        <w:trPr>
          <w:trHeight w:val="320"/>
        </w:trPr>
        <w:tc>
          <w:tcPr>
            <w:tcW w:w="1045" w:type="pct"/>
            <w:tcBorders>
              <w:top w:val="nil"/>
              <w:left w:val="nil"/>
              <w:bottom w:val="single" w:sz="4" w:space="0" w:color="auto"/>
              <w:right w:val="nil"/>
            </w:tcBorders>
            <w:noWrap/>
            <w:vAlign w:val="center"/>
            <w:hideMark/>
          </w:tcPr>
          <w:p w14:paraId="38F38972" w14:textId="77777777" w:rsidR="00367949" w:rsidRPr="00367949" w:rsidRDefault="00367949" w:rsidP="00367949">
            <w:pPr>
              <w:pStyle w:val="af"/>
            </w:pPr>
            <w:r w:rsidRPr="00367949">
              <w:rPr>
                <w:rFonts w:hint="eastAsia"/>
              </w:rPr>
              <w:t>Fisher</w:t>
            </w:r>
            <w:r w:rsidRPr="00367949">
              <w:rPr>
                <w:rFonts w:hint="eastAsia"/>
              </w:rPr>
              <w:t>检验</w:t>
            </w:r>
          </w:p>
        </w:tc>
        <w:tc>
          <w:tcPr>
            <w:tcW w:w="630" w:type="pct"/>
            <w:tcBorders>
              <w:top w:val="nil"/>
              <w:left w:val="nil"/>
              <w:bottom w:val="single" w:sz="4" w:space="0" w:color="auto"/>
              <w:right w:val="nil"/>
            </w:tcBorders>
            <w:noWrap/>
            <w:vAlign w:val="center"/>
            <w:hideMark/>
          </w:tcPr>
          <w:p w14:paraId="71ECBBAB"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21E8867C" w14:textId="77777777" w:rsidR="00367949" w:rsidRPr="00367949" w:rsidRDefault="00367949" w:rsidP="00367949">
            <w:pPr>
              <w:pStyle w:val="af"/>
            </w:pPr>
            <w:r w:rsidRPr="00367949">
              <w:rPr>
                <w:rFonts w:hint="eastAsia"/>
              </w:rPr>
              <w:t>z=-0.97</w:t>
            </w:r>
          </w:p>
        </w:tc>
        <w:tc>
          <w:tcPr>
            <w:tcW w:w="462" w:type="pct"/>
            <w:tcBorders>
              <w:top w:val="nil"/>
              <w:left w:val="nil"/>
              <w:bottom w:val="single" w:sz="4" w:space="0" w:color="auto"/>
              <w:right w:val="nil"/>
            </w:tcBorders>
            <w:noWrap/>
            <w:vAlign w:val="center"/>
            <w:hideMark/>
          </w:tcPr>
          <w:p w14:paraId="707C0428"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60B86CD0" w14:textId="77777777" w:rsidR="00367949" w:rsidRPr="00367949" w:rsidRDefault="00367949" w:rsidP="00367949">
            <w:pPr>
              <w:pStyle w:val="af"/>
            </w:pPr>
            <w:r w:rsidRPr="00367949">
              <w:rPr>
                <w:rFonts w:hint="eastAsia"/>
              </w:rPr>
              <w:t>p=0.333</w:t>
            </w:r>
          </w:p>
        </w:tc>
        <w:tc>
          <w:tcPr>
            <w:tcW w:w="560" w:type="pct"/>
            <w:tcBorders>
              <w:top w:val="nil"/>
              <w:left w:val="nil"/>
              <w:bottom w:val="single" w:sz="4" w:space="0" w:color="auto"/>
              <w:right w:val="nil"/>
            </w:tcBorders>
            <w:noWrap/>
            <w:vAlign w:val="center"/>
            <w:hideMark/>
          </w:tcPr>
          <w:p w14:paraId="1E335230"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31E4C11F"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2FD19941" w14:textId="77777777" w:rsidR="00367949" w:rsidRPr="00367949" w:rsidRDefault="00367949" w:rsidP="00367949">
            <w:pPr>
              <w:pStyle w:val="af"/>
            </w:pPr>
            <w:proofErr w:type="spellStart"/>
            <w:r w:rsidRPr="00367949">
              <w:rPr>
                <w:rFonts w:hint="eastAsia"/>
              </w:rPr>
              <w:t>n.s</w:t>
            </w:r>
            <w:proofErr w:type="spellEnd"/>
            <w:r w:rsidRPr="00367949">
              <w:rPr>
                <w:rFonts w:hint="eastAsia"/>
              </w:rPr>
              <w:t>.</w:t>
            </w:r>
          </w:p>
        </w:tc>
      </w:tr>
      <w:tr w:rsidR="00367949" w:rsidRPr="00367949" w14:paraId="53717BA7" w14:textId="77777777" w:rsidTr="00367949">
        <w:trPr>
          <w:trHeight w:val="320"/>
        </w:trPr>
        <w:tc>
          <w:tcPr>
            <w:tcW w:w="1045" w:type="pct"/>
            <w:tcBorders>
              <w:top w:val="single" w:sz="4" w:space="0" w:color="auto"/>
              <w:left w:val="nil"/>
              <w:bottom w:val="nil"/>
              <w:right w:val="nil"/>
            </w:tcBorders>
            <w:noWrap/>
            <w:vAlign w:val="center"/>
            <w:hideMark/>
          </w:tcPr>
          <w:p w14:paraId="75DFDF34" w14:textId="77777777" w:rsidR="00367949" w:rsidRPr="00367949" w:rsidRDefault="00367949" w:rsidP="00367949">
            <w:pPr>
              <w:pStyle w:val="af"/>
            </w:pPr>
            <w:r w:rsidRPr="00367949">
              <w:rPr>
                <w:rFonts w:hint="eastAsia"/>
              </w:rPr>
              <w:t>高分析师覆盖</w:t>
            </w:r>
          </w:p>
        </w:tc>
        <w:tc>
          <w:tcPr>
            <w:tcW w:w="630" w:type="pct"/>
            <w:tcBorders>
              <w:top w:val="single" w:sz="4" w:space="0" w:color="auto"/>
              <w:left w:val="nil"/>
              <w:bottom w:val="nil"/>
              <w:right w:val="nil"/>
            </w:tcBorders>
            <w:noWrap/>
            <w:vAlign w:val="center"/>
            <w:hideMark/>
          </w:tcPr>
          <w:p w14:paraId="2882CB53" w14:textId="0B849E50"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684" w:type="pct"/>
            <w:tcBorders>
              <w:top w:val="single" w:sz="4" w:space="0" w:color="auto"/>
              <w:left w:val="nil"/>
              <w:bottom w:val="nil"/>
              <w:right w:val="nil"/>
            </w:tcBorders>
            <w:noWrap/>
            <w:vAlign w:val="center"/>
            <w:hideMark/>
          </w:tcPr>
          <w:p w14:paraId="3CBEE52D" w14:textId="77777777" w:rsidR="00367949" w:rsidRPr="00367949" w:rsidRDefault="00367949" w:rsidP="00367949">
            <w:pPr>
              <w:pStyle w:val="af"/>
              <w:rPr>
                <w:rFonts w:hint="eastAsia"/>
              </w:rPr>
            </w:pPr>
            <w:r w:rsidRPr="00367949">
              <w:rPr>
                <w:rFonts w:hint="eastAsia"/>
              </w:rPr>
              <w:t>-0.00461</w:t>
            </w:r>
          </w:p>
        </w:tc>
        <w:tc>
          <w:tcPr>
            <w:tcW w:w="462" w:type="pct"/>
            <w:tcBorders>
              <w:top w:val="single" w:sz="4" w:space="0" w:color="auto"/>
              <w:left w:val="nil"/>
              <w:bottom w:val="nil"/>
              <w:right w:val="nil"/>
            </w:tcBorders>
            <w:noWrap/>
            <w:vAlign w:val="center"/>
            <w:hideMark/>
          </w:tcPr>
          <w:p w14:paraId="026AC7C4" w14:textId="77777777" w:rsidR="00367949" w:rsidRPr="00367949" w:rsidRDefault="00367949" w:rsidP="00367949">
            <w:pPr>
              <w:pStyle w:val="af"/>
              <w:rPr>
                <w:rFonts w:hint="eastAsia"/>
              </w:rPr>
            </w:pPr>
            <w:r w:rsidRPr="00367949">
              <w:rPr>
                <w:rFonts w:hint="eastAsia"/>
              </w:rPr>
              <w:t>-4.09</w:t>
            </w:r>
          </w:p>
        </w:tc>
        <w:tc>
          <w:tcPr>
            <w:tcW w:w="653" w:type="pct"/>
            <w:tcBorders>
              <w:top w:val="single" w:sz="4" w:space="0" w:color="auto"/>
              <w:left w:val="nil"/>
              <w:bottom w:val="nil"/>
              <w:right w:val="nil"/>
            </w:tcBorders>
            <w:noWrap/>
            <w:vAlign w:val="center"/>
            <w:hideMark/>
          </w:tcPr>
          <w:p w14:paraId="557E6A91" w14:textId="77777777" w:rsidR="00367949" w:rsidRPr="00367949" w:rsidRDefault="00367949" w:rsidP="00367949">
            <w:pPr>
              <w:pStyle w:val="af"/>
              <w:rPr>
                <w:rFonts w:hint="eastAsia"/>
              </w:rPr>
            </w:pPr>
            <w:r w:rsidRPr="00367949">
              <w:rPr>
                <w:rFonts w:hint="eastAsia"/>
              </w:rPr>
              <w:t>&lt;0.001</w:t>
            </w:r>
          </w:p>
        </w:tc>
        <w:tc>
          <w:tcPr>
            <w:tcW w:w="560" w:type="pct"/>
            <w:tcBorders>
              <w:top w:val="single" w:sz="4" w:space="0" w:color="auto"/>
              <w:left w:val="nil"/>
              <w:bottom w:val="nil"/>
              <w:right w:val="nil"/>
            </w:tcBorders>
            <w:noWrap/>
            <w:vAlign w:val="center"/>
            <w:hideMark/>
          </w:tcPr>
          <w:p w14:paraId="6DCB17A3" w14:textId="77777777" w:rsidR="00367949" w:rsidRPr="00367949" w:rsidRDefault="00367949" w:rsidP="00367949">
            <w:pPr>
              <w:pStyle w:val="af"/>
              <w:rPr>
                <w:rFonts w:hint="eastAsia"/>
              </w:rPr>
            </w:pPr>
            <w:r w:rsidRPr="00367949">
              <w:rPr>
                <w:rFonts w:hint="eastAsia"/>
              </w:rPr>
              <w:t>19,368</w:t>
            </w:r>
          </w:p>
        </w:tc>
        <w:tc>
          <w:tcPr>
            <w:tcW w:w="599" w:type="pct"/>
            <w:tcBorders>
              <w:top w:val="single" w:sz="4" w:space="0" w:color="auto"/>
              <w:left w:val="nil"/>
              <w:bottom w:val="nil"/>
              <w:right w:val="nil"/>
            </w:tcBorders>
            <w:noWrap/>
            <w:vAlign w:val="center"/>
            <w:hideMark/>
          </w:tcPr>
          <w:p w14:paraId="2356CCB1" w14:textId="77777777" w:rsidR="00367949" w:rsidRPr="00367949" w:rsidRDefault="00367949" w:rsidP="00367949">
            <w:pPr>
              <w:pStyle w:val="af"/>
              <w:rPr>
                <w:rFonts w:hint="eastAsia"/>
              </w:rPr>
            </w:pPr>
            <w:r w:rsidRPr="00367949">
              <w:rPr>
                <w:rFonts w:hint="eastAsia"/>
              </w:rPr>
              <w:t>***</w:t>
            </w:r>
          </w:p>
        </w:tc>
        <w:tc>
          <w:tcPr>
            <w:tcW w:w="367" w:type="pct"/>
            <w:tcBorders>
              <w:top w:val="single" w:sz="4" w:space="0" w:color="auto"/>
              <w:left w:val="nil"/>
              <w:bottom w:val="nil"/>
              <w:right w:val="nil"/>
            </w:tcBorders>
            <w:noWrap/>
            <w:vAlign w:val="center"/>
            <w:hideMark/>
          </w:tcPr>
          <w:p w14:paraId="53F75B2C" w14:textId="77777777" w:rsidR="00367949" w:rsidRPr="00367949" w:rsidRDefault="00367949" w:rsidP="00367949">
            <w:pPr>
              <w:pStyle w:val="af"/>
              <w:rPr>
                <w:rFonts w:hint="eastAsia"/>
              </w:rPr>
            </w:pPr>
          </w:p>
        </w:tc>
      </w:tr>
      <w:tr w:rsidR="00367949" w:rsidRPr="00367949" w14:paraId="4C66B71A" w14:textId="77777777" w:rsidTr="00367949">
        <w:trPr>
          <w:trHeight w:val="320"/>
        </w:trPr>
        <w:tc>
          <w:tcPr>
            <w:tcW w:w="1045" w:type="pct"/>
            <w:tcBorders>
              <w:top w:val="nil"/>
              <w:left w:val="nil"/>
              <w:bottom w:val="nil"/>
              <w:right w:val="nil"/>
            </w:tcBorders>
            <w:noWrap/>
            <w:vAlign w:val="center"/>
            <w:hideMark/>
          </w:tcPr>
          <w:p w14:paraId="43A1993F" w14:textId="77777777" w:rsidR="00367949" w:rsidRPr="00367949" w:rsidRDefault="00367949" w:rsidP="00367949">
            <w:pPr>
              <w:pStyle w:val="af"/>
            </w:pPr>
            <w:r w:rsidRPr="00367949">
              <w:rPr>
                <w:rFonts w:hint="eastAsia"/>
              </w:rPr>
              <w:t>低分析师覆盖</w:t>
            </w:r>
          </w:p>
        </w:tc>
        <w:tc>
          <w:tcPr>
            <w:tcW w:w="630" w:type="pct"/>
            <w:tcBorders>
              <w:top w:val="nil"/>
              <w:left w:val="nil"/>
              <w:bottom w:val="nil"/>
              <w:right w:val="nil"/>
            </w:tcBorders>
            <w:noWrap/>
            <w:vAlign w:val="center"/>
            <w:hideMark/>
          </w:tcPr>
          <w:p w14:paraId="2980EF16" w14:textId="79BA29CB"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684" w:type="pct"/>
            <w:tcBorders>
              <w:top w:val="nil"/>
              <w:left w:val="nil"/>
              <w:bottom w:val="nil"/>
              <w:right w:val="nil"/>
            </w:tcBorders>
            <w:noWrap/>
            <w:vAlign w:val="center"/>
            <w:hideMark/>
          </w:tcPr>
          <w:p w14:paraId="5260F9BB" w14:textId="77777777" w:rsidR="00367949" w:rsidRPr="00367949" w:rsidRDefault="00367949" w:rsidP="00367949">
            <w:pPr>
              <w:pStyle w:val="af"/>
              <w:rPr>
                <w:rFonts w:hint="eastAsia"/>
              </w:rPr>
            </w:pPr>
            <w:r w:rsidRPr="00367949">
              <w:rPr>
                <w:rFonts w:hint="eastAsia"/>
              </w:rPr>
              <w:t>-0.00243</w:t>
            </w:r>
          </w:p>
        </w:tc>
        <w:tc>
          <w:tcPr>
            <w:tcW w:w="462" w:type="pct"/>
            <w:tcBorders>
              <w:top w:val="nil"/>
              <w:left w:val="nil"/>
              <w:bottom w:val="nil"/>
              <w:right w:val="nil"/>
            </w:tcBorders>
            <w:noWrap/>
            <w:vAlign w:val="center"/>
            <w:hideMark/>
          </w:tcPr>
          <w:p w14:paraId="6D59537F" w14:textId="77777777" w:rsidR="00367949" w:rsidRPr="00367949" w:rsidRDefault="00367949" w:rsidP="00367949">
            <w:pPr>
              <w:pStyle w:val="af"/>
              <w:rPr>
                <w:rFonts w:hint="eastAsia"/>
              </w:rPr>
            </w:pPr>
            <w:r w:rsidRPr="00367949">
              <w:rPr>
                <w:rFonts w:hint="eastAsia"/>
              </w:rPr>
              <w:t>-1.28</w:t>
            </w:r>
          </w:p>
        </w:tc>
        <w:tc>
          <w:tcPr>
            <w:tcW w:w="653" w:type="pct"/>
            <w:tcBorders>
              <w:top w:val="nil"/>
              <w:left w:val="nil"/>
              <w:bottom w:val="nil"/>
              <w:right w:val="nil"/>
            </w:tcBorders>
            <w:noWrap/>
            <w:vAlign w:val="center"/>
            <w:hideMark/>
          </w:tcPr>
          <w:p w14:paraId="16E523CE" w14:textId="77777777" w:rsidR="00367949" w:rsidRPr="00367949" w:rsidRDefault="00367949" w:rsidP="00367949">
            <w:pPr>
              <w:pStyle w:val="af"/>
              <w:rPr>
                <w:rFonts w:hint="eastAsia"/>
              </w:rPr>
            </w:pPr>
            <w:r w:rsidRPr="00367949">
              <w:rPr>
                <w:rFonts w:hint="eastAsia"/>
              </w:rPr>
              <w:t>0.203</w:t>
            </w:r>
          </w:p>
        </w:tc>
        <w:tc>
          <w:tcPr>
            <w:tcW w:w="560" w:type="pct"/>
            <w:tcBorders>
              <w:top w:val="nil"/>
              <w:left w:val="nil"/>
              <w:bottom w:val="nil"/>
              <w:right w:val="nil"/>
            </w:tcBorders>
            <w:noWrap/>
            <w:vAlign w:val="center"/>
            <w:hideMark/>
          </w:tcPr>
          <w:p w14:paraId="6F9B4244" w14:textId="77777777" w:rsidR="00367949" w:rsidRPr="00367949" w:rsidRDefault="00367949" w:rsidP="00367949">
            <w:pPr>
              <w:pStyle w:val="af"/>
              <w:rPr>
                <w:rFonts w:hint="eastAsia"/>
              </w:rPr>
            </w:pPr>
            <w:r w:rsidRPr="00367949">
              <w:rPr>
                <w:rFonts w:hint="eastAsia"/>
              </w:rPr>
              <w:t>18,728</w:t>
            </w:r>
          </w:p>
        </w:tc>
        <w:tc>
          <w:tcPr>
            <w:tcW w:w="599" w:type="pct"/>
            <w:tcBorders>
              <w:top w:val="nil"/>
              <w:left w:val="nil"/>
              <w:bottom w:val="nil"/>
              <w:right w:val="nil"/>
            </w:tcBorders>
            <w:noWrap/>
            <w:vAlign w:val="center"/>
            <w:hideMark/>
          </w:tcPr>
          <w:p w14:paraId="324A1FE4" w14:textId="77777777" w:rsidR="00367949" w:rsidRPr="00367949" w:rsidRDefault="00367949" w:rsidP="00367949">
            <w:pPr>
              <w:pStyle w:val="af"/>
              <w:rPr>
                <w:rFonts w:hint="eastAsia"/>
              </w:rPr>
            </w:pPr>
            <w:proofErr w:type="spellStart"/>
            <w:r w:rsidRPr="00367949">
              <w:rPr>
                <w:rFonts w:hint="eastAsia"/>
              </w:rPr>
              <w:t>n.s</w:t>
            </w:r>
            <w:proofErr w:type="spellEnd"/>
            <w:r w:rsidRPr="00367949">
              <w:rPr>
                <w:rFonts w:hint="eastAsia"/>
              </w:rPr>
              <w:t>.</w:t>
            </w:r>
          </w:p>
        </w:tc>
        <w:tc>
          <w:tcPr>
            <w:tcW w:w="367" w:type="pct"/>
            <w:tcBorders>
              <w:top w:val="nil"/>
              <w:left w:val="nil"/>
              <w:bottom w:val="nil"/>
              <w:right w:val="nil"/>
            </w:tcBorders>
            <w:noWrap/>
            <w:vAlign w:val="center"/>
            <w:hideMark/>
          </w:tcPr>
          <w:p w14:paraId="60B64AF6" w14:textId="77777777" w:rsidR="00367949" w:rsidRPr="00367949" w:rsidRDefault="00367949" w:rsidP="00367949">
            <w:pPr>
              <w:pStyle w:val="af"/>
              <w:rPr>
                <w:rFonts w:hint="eastAsia"/>
              </w:rPr>
            </w:pPr>
          </w:p>
        </w:tc>
      </w:tr>
      <w:tr w:rsidR="00367949" w:rsidRPr="00367949" w14:paraId="14C94D3F" w14:textId="77777777" w:rsidTr="00367949">
        <w:trPr>
          <w:trHeight w:val="320"/>
        </w:trPr>
        <w:tc>
          <w:tcPr>
            <w:tcW w:w="1045" w:type="pct"/>
            <w:tcBorders>
              <w:top w:val="nil"/>
              <w:left w:val="nil"/>
              <w:bottom w:val="single" w:sz="4" w:space="0" w:color="auto"/>
              <w:right w:val="nil"/>
            </w:tcBorders>
            <w:noWrap/>
            <w:vAlign w:val="center"/>
            <w:hideMark/>
          </w:tcPr>
          <w:p w14:paraId="1B8B4454" w14:textId="77777777" w:rsidR="00367949" w:rsidRPr="00367949" w:rsidRDefault="00367949" w:rsidP="00367949">
            <w:pPr>
              <w:pStyle w:val="af"/>
            </w:pPr>
            <w:r w:rsidRPr="00367949">
              <w:rPr>
                <w:rFonts w:hint="eastAsia"/>
              </w:rPr>
              <w:t>Fisher</w:t>
            </w:r>
            <w:r w:rsidRPr="00367949">
              <w:rPr>
                <w:rFonts w:hint="eastAsia"/>
              </w:rPr>
              <w:t>检验</w:t>
            </w:r>
          </w:p>
        </w:tc>
        <w:tc>
          <w:tcPr>
            <w:tcW w:w="630" w:type="pct"/>
            <w:tcBorders>
              <w:top w:val="nil"/>
              <w:left w:val="nil"/>
              <w:bottom w:val="single" w:sz="4" w:space="0" w:color="auto"/>
              <w:right w:val="nil"/>
            </w:tcBorders>
            <w:noWrap/>
            <w:vAlign w:val="center"/>
            <w:hideMark/>
          </w:tcPr>
          <w:p w14:paraId="48C902DD"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627FA28A" w14:textId="77777777" w:rsidR="00367949" w:rsidRPr="00367949" w:rsidRDefault="00367949" w:rsidP="00367949">
            <w:pPr>
              <w:pStyle w:val="af"/>
            </w:pPr>
            <w:r w:rsidRPr="00367949">
              <w:rPr>
                <w:rFonts w:hint="eastAsia"/>
              </w:rPr>
              <w:t>z=-0.99</w:t>
            </w:r>
          </w:p>
        </w:tc>
        <w:tc>
          <w:tcPr>
            <w:tcW w:w="462" w:type="pct"/>
            <w:tcBorders>
              <w:top w:val="nil"/>
              <w:left w:val="nil"/>
              <w:bottom w:val="single" w:sz="4" w:space="0" w:color="auto"/>
              <w:right w:val="nil"/>
            </w:tcBorders>
            <w:noWrap/>
            <w:vAlign w:val="center"/>
            <w:hideMark/>
          </w:tcPr>
          <w:p w14:paraId="558B6232"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5F42FEBD" w14:textId="77777777" w:rsidR="00367949" w:rsidRPr="00367949" w:rsidRDefault="00367949" w:rsidP="00367949">
            <w:pPr>
              <w:pStyle w:val="af"/>
            </w:pPr>
            <w:r w:rsidRPr="00367949">
              <w:rPr>
                <w:rFonts w:hint="eastAsia"/>
              </w:rPr>
              <w:t>p=0.324</w:t>
            </w:r>
          </w:p>
        </w:tc>
        <w:tc>
          <w:tcPr>
            <w:tcW w:w="560" w:type="pct"/>
            <w:tcBorders>
              <w:top w:val="nil"/>
              <w:left w:val="nil"/>
              <w:bottom w:val="single" w:sz="4" w:space="0" w:color="auto"/>
              <w:right w:val="nil"/>
            </w:tcBorders>
            <w:noWrap/>
            <w:vAlign w:val="center"/>
            <w:hideMark/>
          </w:tcPr>
          <w:p w14:paraId="28338C0D"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5C909E12"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330D0017" w14:textId="77777777" w:rsidR="00367949" w:rsidRPr="00367949" w:rsidRDefault="00367949" w:rsidP="00367949">
            <w:pPr>
              <w:pStyle w:val="af"/>
            </w:pPr>
            <w:proofErr w:type="spellStart"/>
            <w:r w:rsidRPr="00367949">
              <w:rPr>
                <w:rFonts w:hint="eastAsia"/>
              </w:rPr>
              <w:t>n.s</w:t>
            </w:r>
            <w:proofErr w:type="spellEnd"/>
            <w:r w:rsidRPr="00367949">
              <w:rPr>
                <w:rFonts w:hint="eastAsia"/>
              </w:rPr>
              <w:t>.</w:t>
            </w:r>
          </w:p>
        </w:tc>
      </w:tr>
      <w:tr w:rsidR="00367949" w:rsidRPr="00367949" w14:paraId="2840C9D7" w14:textId="77777777" w:rsidTr="00367949">
        <w:trPr>
          <w:trHeight w:val="320"/>
        </w:trPr>
        <w:tc>
          <w:tcPr>
            <w:tcW w:w="1045" w:type="pct"/>
            <w:tcBorders>
              <w:top w:val="single" w:sz="4" w:space="0" w:color="auto"/>
              <w:left w:val="nil"/>
              <w:bottom w:val="nil"/>
              <w:right w:val="nil"/>
            </w:tcBorders>
            <w:noWrap/>
            <w:vAlign w:val="center"/>
            <w:hideMark/>
          </w:tcPr>
          <w:p w14:paraId="1705DF6F" w14:textId="77777777" w:rsidR="00367949" w:rsidRPr="00367949" w:rsidRDefault="00367949" w:rsidP="00367949">
            <w:pPr>
              <w:pStyle w:val="af"/>
            </w:pPr>
            <w:r w:rsidRPr="00367949">
              <w:rPr>
                <w:rFonts w:hint="eastAsia"/>
              </w:rPr>
              <w:t>高科技行业</w:t>
            </w:r>
          </w:p>
        </w:tc>
        <w:tc>
          <w:tcPr>
            <w:tcW w:w="630" w:type="pct"/>
            <w:tcBorders>
              <w:top w:val="single" w:sz="4" w:space="0" w:color="auto"/>
              <w:left w:val="nil"/>
              <w:bottom w:val="nil"/>
              <w:right w:val="nil"/>
            </w:tcBorders>
            <w:noWrap/>
            <w:vAlign w:val="center"/>
            <w:hideMark/>
          </w:tcPr>
          <w:p w14:paraId="57595F05" w14:textId="75E23C91"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684" w:type="pct"/>
            <w:tcBorders>
              <w:top w:val="single" w:sz="4" w:space="0" w:color="auto"/>
              <w:left w:val="nil"/>
              <w:bottom w:val="nil"/>
              <w:right w:val="nil"/>
            </w:tcBorders>
            <w:noWrap/>
            <w:vAlign w:val="center"/>
            <w:hideMark/>
          </w:tcPr>
          <w:p w14:paraId="1A9F176A" w14:textId="77777777" w:rsidR="00367949" w:rsidRPr="00367949" w:rsidRDefault="00367949" w:rsidP="00367949">
            <w:pPr>
              <w:pStyle w:val="af"/>
              <w:rPr>
                <w:rFonts w:hint="eastAsia"/>
              </w:rPr>
            </w:pPr>
            <w:r w:rsidRPr="00367949">
              <w:rPr>
                <w:rFonts w:hint="eastAsia"/>
              </w:rPr>
              <w:t>-0.00398</w:t>
            </w:r>
          </w:p>
        </w:tc>
        <w:tc>
          <w:tcPr>
            <w:tcW w:w="462" w:type="pct"/>
            <w:tcBorders>
              <w:top w:val="single" w:sz="4" w:space="0" w:color="auto"/>
              <w:left w:val="nil"/>
              <w:bottom w:val="nil"/>
              <w:right w:val="nil"/>
            </w:tcBorders>
            <w:noWrap/>
            <w:vAlign w:val="center"/>
            <w:hideMark/>
          </w:tcPr>
          <w:p w14:paraId="6451F3C1" w14:textId="77777777" w:rsidR="00367949" w:rsidRPr="00367949" w:rsidRDefault="00367949" w:rsidP="00367949">
            <w:pPr>
              <w:pStyle w:val="af"/>
              <w:rPr>
                <w:rFonts w:hint="eastAsia"/>
              </w:rPr>
            </w:pPr>
            <w:r w:rsidRPr="00367949">
              <w:rPr>
                <w:rFonts w:hint="eastAsia"/>
              </w:rPr>
              <w:t>-2.96</w:t>
            </w:r>
          </w:p>
        </w:tc>
        <w:tc>
          <w:tcPr>
            <w:tcW w:w="653" w:type="pct"/>
            <w:tcBorders>
              <w:top w:val="single" w:sz="4" w:space="0" w:color="auto"/>
              <w:left w:val="nil"/>
              <w:bottom w:val="nil"/>
              <w:right w:val="nil"/>
            </w:tcBorders>
            <w:noWrap/>
            <w:vAlign w:val="center"/>
            <w:hideMark/>
          </w:tcPr>
          <w:p w14:paraId="3701206F" w14:textId="77777777" w:rsidR="00367949" w:rsidRPr="00367949" w:rsidRDefault="00367949" w:rsidP="00367949">
            <w:pPr>
              <w:pStyle w:val="af"/>
              <w:rPr>
                <w:rFonts w:hint="eastAsia"/>
              </w:rPr>
            </w:pPr>
            <w:r w:rsidRPr="00367949">
              <w:rPr>
                <w:rFonts w:hint="eastAsia"/>
              </w:rPr>
              <w:t>0.005</w:t>
            </w:r>
          </w:p>
        </w:tc>
        <w:tc>
          <w:tcPr>
            <w:tcW w:w="560" w:type="pct"/>
            <w:tcBorders>
              <w:top w:val="single" w:sz="4" w:space="0" w:color="auto"/>
              <w:left w:val="nil"/>
              <w:bottom w:val="nil"/>
              <w:right w:val="nil"/>
            </w:tcBorders>
            <w:noWrap/>
            <w:vAlign w:val="center"/>
            <w:hideMark/>
          </w:tcPr>
          <w:p w14:paraId="41461CB0" w14:textId="77777777" w:rsidR="00367949" w:rsidRPr="00367949" w:rsidRDefault="00367949" w:rsidP="00367949">
            <w:pPr>
              <w:pStyle w:val="af"/>
              <w:rPr>
                <w:rFonts w:hint="eastAsia"/>
              </w:rPr>
            </w:pPr>
            <w:r w:rsidRPr="00367949">
              <w:rPr>
                <w:rFonts w:hint="eastAsia"/>
              </w:rPr>
              <w:t>8,074</w:t>
            </w:r>
          </w:p>
        </w:tc>
        <w:tc>
          <w:tcPr>
            <w:tcW w:w="599" w:type="pct"/>
            <w:tcBorders>
              <w:top w:val="single" w:sz="4" w:space="0" w:color="auto"/>
              <w:left w:val="nil"/>
              <w:bottom w:val="nil"/>
              <w:right w:val="nil"/>
            </w:tcBorders>
            <w:noWrap/>
            <w:vAlign w:val="center"/>
            <w:hideMark/>
          </w:tcPr>
          <w:p w14:paraId="39C76806" w14:textId="77777777" w:rsidR="00367949" w:rsidRPr="00367949" w:rsidRDefault="00367949" w:rsidP="00367949">
            <w:pPr>
              <w:pStyle w:val="af"/>
              <w:rPr>
                <w:rFonts w:hint="eastAsia"/>
              </w:rPr>
            </w:pPr>
            <w:r w:rsidRPr="00367949">
              <w:rPr>
                <w:rFonts w:hint="eastAsia"/>
              </w:rPr>
              <w:t>***</w:t>
            </w:r>
          </w:p>
        </w:tc>
        <w:tc>
          <w:tcPr>
            <w:tcW w:w="367" w:type="pct"/>
            <w:tcBorders>
              <w:top w:val="single" w:sz="4" w:space="0" w:color="auto"/>
              <w:left w:val="nil"/>
              <w:bottom w:val="nil"/>
              <w:right w:val="nil"/>
            </w:tcBorders>
            <w:noWrap/>
            <w:vAlign w:val="center"/>
            <w:hideMark/>
          </w:tcPr>
          <w:p w14:paraId="31EE9116" w14:textId="77777777" w:rsidR="00367949" w:rsidRPr="00367949" w:rsidRDefault="00367949" w:rsidP="00367949">
            <w:pPr>
              <w:pStyle w:val="af"/>
              <w:rPr>
                <w:rFonts w:hint="eastAsia"/>
              </w:rPr>
            </w:pPr>
          </w:p>
        </w:tc>
      </w:tr>
      <w:tr w:rsidR="00367949" w:rsidRPr="00367949" w14:paraId="2673BD00" w14:textId="77777777" w:rsidTr="00367949">
        <w:trPr>
          <w:trHeight w:val="320"/>
        </w:trPr>
        <w:tc>
          <w:tcPr>
            <w:tcW w:w="1045" w:type="pct"/>
            <w:tcBorders>
              <w:top w:val="nil"/>
              <w:left w:val="nil"/>
              <w:bottom w:val="nil"/>
              <w:right w:val="nil"/>
            </w:tcBorders>
            <w:noWrap/>
            <w:vAlign w:val="center"/>
            <w:hideMark/>
          </w:tcPr>
          <w:p w14:paraId="588C1692" w14:textId="77777777" w:rsidR="00367949" w:rsidRPr="00367949" w:rsidRDefault="00367949" w:rsidP="00367949">
            <w:pPr>
              <w:pStyle w:val="af"/>
            </w:pPr>
            <w:r w:rsidRPr="00367949">
              <w:rPr>
                <w:rFonts w:hint="eastAsia"/>
              </w:rPr>
              <w:t>传统行业</w:t>
            </w:r>
          </w:p>
        </w:tc>
        <w:tc>
          <w:tcPr>
            <w:tcW w:w="630" w:type="pct"/>
            <w:tcBorders>
              <w:top w:val="nil"/>
              <w:left w:val="nil"/>
              <w:bottom w:val="nil"/>
              <w:right w:val="nil"/>
            </w:tcBorders>
            <w:noWrap/>
            <w:vAlign w:val="center"/>
            <w:hideMark/>
          </w:tcPr>
          <w:p w14:paraId="114AB43C" w14:textId="033A6F34" w:rsidR="00367949" w:rsidRPr="00367949" w:rsidRDefault="00367949" w:rsidP="00367949">
            <w:pPr>
              <w:pStyle w:val="af"/>
              <w:rPr>
                <w:rFonts w:hint="eastAsia"/>
              </w:rPr>
            </w:pPr>
            <w:proofErr w:type="spellStart"/>
            <w:r w:rsidRPr="00367949">
              <w:rPr>
                <w:rFonts w:hint="eastAsia"/>
              </w:rPr>
              <w:t>DU</w:t>
            </w:r>
            <w:r w:rsidRPr="00367949">
              <w:rPr>
                <w:rFonts w:hint="eastAsia"/>
                <w:vertAlign w:val="subscript"/>
              </w:rPr>
              <w:t>kw</w:t>
            </w:r>
            <w:proofErr w:type="spellEnd"/>
          </w:p>
        </w:tc>
        <w:tc>
          <w:tcPr>
            <w:tcW w:w="684" w:type="pct"/>
            <w:tcBorders>
              <w:top w:val="nil"/>
              <w:left w:val="nil"/>
              <w:bottom w:val="nil"/>
              <w:right w:val="nil"/>
            </w:tcBorders>
            <w:noWrap/>
            <w:vAlign w:val="center"/>
            <w:hideMark/>
          </w:tcPr>
          <w:p w14:paraId="79F1296D" w14:textId="77777777" w:rsidR="00367949" w:rsidRPr="00367949" w:rsidRDefault="00367949" w:rsidP="00367949">
            <w:pPr>
              <w:pStyle w:val="af"/>
              <w:rPr>
                <w:rFonts w:hint="eastAsia"/>
              </w:rPr>
            </w:pPr>
            <w:r w:rsidRPr="00367949">
              <w:rPr>
                <w:rFonts w:hint="eastAsia"/>
              </w:rPr>
              <w:t>-0.00382</w:t>
            </w:r>
          </w:p>
        </w:tc>
        <w:tc>
          <w:tcPr>
            <w:tcW w:w="462" w:type="pct"/>
            <w:tcBorders>
              <w:top w:val="nil"/>
              <w:left w:val="nil"/>
              <w:bottom w:val="nil"/>
              <w:right w:val="nil"/>
            </w:tcBorders>
            <w:noWrap/>
            <w:vAlign w:val="center"/>
            <w:hideMark/>
          </w:tcPr>
          <w:p w14:paraId="33CF2D50" w14:textId="77777777" w:rsidR="00367949" w:rsidRPr="00367949" w:rsidRDefault="00367949" w:rsidP="00367949">
            <w:pPr>
              <w:pStyle w:val="af"/>
              <w:rPr>
                <w:rFonts w:hint="eastAsia"/>
              </w:rPr>
            </w:pPr>
            <w:r w:rsidRPr="00367949">
              <w:rPr>
                <w:rFonts w:hint="eastAsia"/>
              </w:rPr>
              <w:t>-2.06</w:t>
            </w:r>
          </w:p>
        </w:tc>
        <w:tc>
          <w:tcPr>
            <w:tcW w:w="653" w:type="pct"/>
            <w:tcBorders>
              <w:top w:val="nil"/>
              <w:left w:val="nil"/>
              <w:bottom w:val="nil"/>
              <w:right w:val="nil"/>
            </w:tcBorders>
            <w:noWrap/>
            <w:vAlign w:val="center"/>
            <w:hideMark/>
          </w:tcPr>
          <w:p w14:paraId="2E0A3380" w14:textId="77777777" w:rsidR="00367949" w:rsidRPr="00367949" w:rsidRDefault="00367949" w:rsidP="00367949">
            <w:pPr>
              <w:pStyle w:val="af"/>
              <w:rPr>
                <w:rFonts w:hint="eastAsia"/>
              </w:rPr>
            </w:pPr>
            <w:r w:rsidRPr="00367949">
              <w:rPr>
                <w:rFonts w:hint="eastAsia"/>
              </w:rPr>
              <w:t>0.04</w:t>
            </w:r>
          </w:p>
        </w:tc>
        <w:tc>
          <w:tcPr>
            <w:tcW w:w="560" w:type="pct"/>
            <w:tcBorders>
              <w:top w:val="nil"/>
              <w:left w:val="nil"/>
              <w:bottom w:val="nil"/>
              <w:right w:val="nil"/>
            </w:tcBorders>
            <w:noWrap/>
            <w:vAlign w:val="center"/>
            <w:hideMark/>
          </w:tcPr>
          <w:p w14:paraId="58667C62" w14:textId="77777777" w:rsidR="00367949" w:rsidRPr="00367949" w:rsidRDefault="00367949" w:rsidP="00367949">
            <w:pPr>
              <w:pStyle w:val="af"/>
              <w:rPr>
                <w:rFonts w:hint="eastAsia"/>
              </w:rPr>
            </w:pPr>
            <w:r w:rsidRPr="00367949">
              <w:rPr>
                <w:rFonts w:hint="eastAsia"/>
              </w:rPr>
              <w:t>30,278</w:t>
            </w:r>
          </w:p>
        </w:tc>
        <w:tc>
          <w:tcPr>
            <w:tcW w:w="599" w:type="pct"/>
            <w:tcBorders>
              <w:top w:val="nil"/>
              <w:left w:val="nil"/>
              <w:bottom w:val="nil"/>
              <w:right w:val="nil"/>
            </w:tcBorders>
            <w:noWrap/>
            <w:vAlign w:val="center"/>
            <w:hideMark/>
          </w:tcPr>
          <w:p w14:paraId="6EBE8EFF" w14:textId="77777777" w:rsidR="00367949" w:rsidRPr="00367949" w:rsidRDefault="00367949" w:rsidP="00367949">
            <w:pPr>
              <w:pStyle w:val="af"/>
              <w:rPr>
                <w:rFonts w:hint="eastAsia"/>
              </w:rPr>
            </w:pPr>
            <w:r w:rsidRPr="00367949">
              <w:rPr>
                <w:rFonts w:hint="eastAsia"/>
              </w:rPr>
              <w:t>**</w:t>
            </w:r>
          </w:p>
        </w:tc>
        <w:tc>
          <w:tcPr>
            <w:tcW w:w="367" w:type="pct"/>
            <w:tcBorders>
              <w:top w:val="nil"/>
              <w:left w:val="nil"/>
              <w:bottom w:val="nil"/>
              <w:right w:val="nil"/>
            </w:tcBorders>
            <w:noWrap/>
            <w:vAlign w:val="center"/>
            <w:hideMark/>
          </w:tcPr>
          <w:p w14:paraId="1F80ACD9" w14:textId="77777777" w:rsidR="00367949" w:rsidRPr="00367949" w:rsidRDefault="00367949" w:rsidP="00367949">
            <w:pPr>
              <w:pStyle w:val="af"/>
              <w:rPr>
                <w:rFonts w:hint="eastAsia"/>
              </w:rPr>
            </w:pPr>
          </w:p>
        </w:tc>
      </w:tr>
      <w:tr w:rsidR="00367949" w:rsidRPr="00367949" w14:paraId="78E9EE65" w14:textId="77777777" w:rsidTr="00367949">
        <w:trPr>
          <w:trHeight w:val="320"/>
        </w:trPr>
        <w:tc>
          <w:tcPr>
            <w:tcW w:w="1045" w:type="pct"/>
            <w:tcBorders>
              <w:top w:val="nil"/>
              <w:left w:val="nil"/>
              <w:bottom w:val="nil"/>
              <w:right w:val="nil"/>
            </w:tcBorders>
            <w:noWrap/>
            <w:vAlign w:val="center"/>
            <w:hideMark/>
          </w:tcPr>
          <w:p w14:paraId="41267D5F" w14:textId="77777777" w:rsidR="00367949" w:rsidRPr="00367949" w:rsidRDefault="00367949" w:rsidP="00367949">
            <w:pPr>
              <w:pStyle w:val="af"/>
            </w:pPr>
            <w:r w:rsidRPr="00367949">
              <w:rPr>
                <w:rFonts w:hint="eastAsia"/>
              </w:rPr>
              <w:t>Fisher</w:t>
            </w:r>
            <w:r w:rsidRPr="00367949">
              <w:rPr>
                <w:rFonts w:hint="eastAsia"/>
              </w:rPr>
              <w:t>检验</w:t>
            </w:r>
          </w:p>
        </w:tc>
        <w:tc>
          <w:tcPr>
            <w:tcW w:w="630" w:type="pct"/>
            <w:tcBorders>
              <w:top w:val="nil"/>
              <w:left w:val="nil"/>
              <w:bottom w:val="nil"/>
              <w:right w:val="nil"/>
            </w:tcBorders>
            <w:noWrap/>
            <w:vAlign w:val="center"/>
            <w:hideMark/>
          </w:tcPr>
          <w:p w14:paraId="7CA46D37" w14:textId="77777777" w:rsidR="00367949" w:rsidRPr="00367949" w:rsidRDefault="00367949" w:rsidP="00367949">
            <w:pPr>
              <w:pStyle w:val="af"/>
              <w:rPr>
                <w:rFonts w:hint="eastAsia"/>
              </w:rPr>
            </w:pPr>
          </w:p>
        </w:tc>
        <w:tc>
          <w:tcPr>
            <w:tcW w:w="684" w:type="pct"/>
            <w:tcBorders>
              <w:top w:val="nil"/>
              <w:left w:val="nil"/>
              <w:bottom w:val="nil"/>
              <w:right w:val="nil"/>
            </w:tcBorders>
            <w:noWrap/>
            <w:vAlign w:val="center"/>
            <w:hideMark/>
          </w:tcPr>
          <w:p w14:paraId="4AFED0AA" w14:textId="77777777" w:rsidR="00367949" w:rsidRPr="00367949" w:rsidRDefault="00367949" w:rsidP="00367949">
            <w:pPr>
              <w:pStyle w:val="af"/>
            </w:pPr>
            <w:r w:rsidRPr="00367949">
              <w:rPr>
                <w:rFonts w:hint="eastAsia"/>
              </w:rPr>
              <w:t>z=-0.07</w:t>
            </w:r>
          </w:p>
        </w:tc>
        <w:tc>
          <w:tcPr>
            <w:tcW w:w="462" w:type="pct"/>
            <w:tcBorders>
              <w:top w:val="nil"/>
              <w:left w:val="nil"/>
              <w:bottom w:val="nil"/>
              <w:right w:val="nil"/>
            </w:tcBorders>
            <w:noWrap/>
            <w:vAlign w:val="center"/>
            <w:hideMark/>
          </w:tcPr>
          <w:p w14:paraId="2C97E300" w14:textId="77777777" w:rsidR="00367949" w:rsidRPr="00367949" w:rsidRDefault="00367949" w:rsidP="00367949">
            <w:pPr>
              <w:pStyle w:val="af"/>
              <w:rPr>
                <w:rFonts w:hint="eastAsia"/>
              </w:rPr>
            </w:pPr>
          </w:p>
        </w:tc>
        <w:tc>
          <w:tcPr>
            <w:tcW w:w="653" w:type="pct"/>
            <w:tcBorders>
              <w:top w:val="nil"/>
              <w:left w:val="nil"/>
              <w:bottom w:val="nil"/>
              <w:right w:val="nil"/>
            </w:tcBorders>
            <w:noWrap/>
            <w:vAlign w:val="center"/>
            <w:hideMark/>
          </w:tcPr>
          <w:p w14:paraId="59EC374A" w14:textId="77777777" w:rsidR="00367949" w:rsidRPr="00367949" w:rsidRDefault="00367949" w:rsidP="00367949">
            <w:pPr>
              <w:pStyle w:val="af"/>
            </w:pPr>
            <w:r w:rsidRPr="00367949">
              <w:rPr>
                <w:rFonts w:hint="eastAsia"/>
              </w:rPr>
              <w:t>p=0.947</w:t>
            </w:r>
          </w:p>
        </w:tc>
        <w:tc>
          <w:tcPr>
            <w:tcW w:w="560" w:type="pct"/>
            <w:tcBorders>
              <w:top w:val="nil"/>
              <w:left w:val="nil"/>
              <w:bottom w:val="nil"/>
              <w:right w:val="nil"/>
            </w:tcBorders>
            <w:noWrap/>
            <w:vAlign w:val="center"/>
            <w:hideMark/>
          </w:tcPr>
          <w:p w14:paraId="5611E5E0" w14:textId="77777777" w:rsidR="00367949" w:rsidRPr="00367949" w:rsidRDefault="00367949" w:rsidP="00367949">
            <w:pPr>
              <w:pStyle w:val="af"/>
              <w:rPr>
                <w:rFonts w:hint="eastAsia"/>
              </w:rPr>
            </w:pPr>
          </w:p>
        </w:tc>
        <w:tc>
          <w:tcPr>
            <w:tcW w:w="599" w:type="pct"/>
            <w:tcBorders>
              <w:top w:val="nil"/>
              <w:left w:val="nil"/>
              <w:bottom w:val="nil"/>
              <w:right w:val="nil"/>
            </w:tcBorders>
            <w:noWrap/>
            <w:vAlign w:val="center"/>
            <w:hideMark/>
          </w:tcPr>
          <w:p w14:paraId="07ACB3F8" w14:textId="77777777" w:rsidR="00367949" w:rsidRPr="00367949" w:rsidRDefault="00367949" w:rsidP="00367949">
            <w:pPr>
              <w:pStyle w:val="af"/>
              <w:rPr>
                <w:rFonts w:eastAsia="Times New Roman"/>
                <w:sz w:val="20"/>
                <w:szCs w:val="20"/>
              </w:rPr>
            </w:pPr>
          </w:p>
        </w:tc>
        <w:tc>
          <w:tcPr>
            <w:tcW w:w="367" w:type="pct"/>
            <w:tcBorders>
              <w:top w:val="nil"/>
              <w:left w:val="nil"/>
              <w:bottom w:val="nil"/>
              <w:right w:val="nil"/>
            </w:tcBorders>
            <w:noWrap/>
            <w:vAlign w:val="center"/>
            <w:hideMark/>
          </w:tcPr>
          <w:p w14:paraId="0780F2A9" w14:textId="77777777" w:rsidR="00367949" w:rsidRPr="00367949" w:rsidRDefault="00367949" w:rsidP="00367949">
            <w:pPr>
              <w:pStyle w:val="af"/>
            </w:pPr>
            <w:proofErr w:type="spellStart"/>
            <w:r w:rsidRPr="00367949">
              <w:rPr>
                <w:rFonts w:hint="eastAsia"/>
              </w:rPr>
              <w:t>n.s</w:t>
            </w:r>
            <w:proofErr w:type="spellEnd"/>
            <w:r w:rsidRPr="00367949">
              <w:rPr>
                <w:rFonts w:hint="eastAsia"/>
              </w:rPr>
              <w:t>.</w:t>
            </w:r>
          </w:p>
        </w:tc>
      </w:tr>
    </w:tbl>
    <w:p w14:paraId="6425588C" w14:textId="7723E128" w:rsidR="00C90237" w:rsidRDefault="00000000" w:rsidP="00367949">
      <w:pPr>
        <w:pStyle w:val="afd"/>
      </w:pPr>
      <w:r>
        <w:t>注：所有模型均采用企业+年份双向固定效应，标准误在行业×年份水平上聚类。高低分析师覆盖的分割点为分析师跟踪数的样本中位数。高科技行业按国际产业分类的科技及创新相关产业定义。Fisher检验检验两个系数之间是否存在统计显著的跨组差异。</w:t>
      </w:r>
    </w:p>
    <w:p w14:paraId="07C2D013" w14:textId="77777777" w:rsidR="00C90237" w:rsidRDefault="00000000" w:rsidP="00220618">
      <w:pPr>
        <w:pStyle w:val="2"/>
      </w:pPr>
      <w:bookmarkStart w:id="21" w:name="六研究结论与启示"/>
      <w:r>
        <w:t>六、研究结论与启示</w:t>
      </w:r>
      <w:bookmarkEnd w:id="21"/>
    </w:p>
    <w:p w14:paraId="57B51AE1" w14:textId="77777777" w:rsidR="00C90237" w:rsidRDefault="00000000" w:rsidP="00EE76F5">
      <w:pPr>
        <w:ind w:firstLine="480"/>
      </w:pPr>
      <w:r>
        <w:t>本文以</w:t>
      </w:r>
      <w:r>
        <w:t>2012</w:t>
      </w:r>
      <w:r>
        <w:t>至</w:t>
      </w:r>
      <w:r>
        <w:t>2024</w:t>
      </w:r>
      <w:r>
        <w:t>年沪深</w:t>
      </w:r>
      <w:r>
        <w:t>A</w:t>
      </w:r>
      <w:r>
        <w:t>股上市公司为样本，基于年报全文五维度关键词分析构建了企业数据要素利用指标，系统考察了数据要素利用对资本市场定价效率的影响及其传导机制。研究发现，企业数据要素利用能力的提升显著降低了股价延迟，即提升了资本定价效率，信息供给效应占据主导地位。这一基本结论在企业与年份双向固定效应、行业与年份固定效应、多种自变量测度、倾向得分匹配以及子样本检验等多重框架下均保持稳健，工具变量估计进一步支持了上述关系的因果解释。机制分析表明，分析师信息中介是核心传导渠道：数据要素利用程度高的企业获得了更多分析师跟踪，分析师的独立研究和广泛传播加速了数据信息向股价的融入。异质性分析中，高分析师覆盖企业的数据要素利用效应高度显著而低覆盖企业的效应消失，与机制检验形成交叉验证。产权性质和行业属性维度在各自分组内均呈现一致的负向效应，表明数据要素</w:t>
      </w:r>
      <w:r>
        <w:lastRenderedPageBreak/>
        <w:t>利用对定价效率的改善具有跨所有制结构和跨行业的普遍适用性。投资组合层面，低数据利用企业存在显著的负异常收益，表明市场定价偏差主要体现在对信息模糊企业的折价上。</w:t>
      </w:r>
    </w:p>
    <w:p w14:paraId="59D5097F" w14:textId="77777777" w:rsidR="00C90237" w:rsidRDefault="00000000" w:rsidP="00EE76F5">
      <w:pPr>
        <w:ind w:firstLine="480"/>
      </w:pPr>
      <w:r>
        <w:t>上述研究结论具有如下政策启示：</w:t>
      </w:r>
    </w:p>
    <w:p w14:paraId="5CDA2C38" w14:textId="77777777" w:rsidR="00C90237" w:rsidRDefault="00000000" w:rsidP="00EE76F5">
      <w:pPr>
        <w:ind w:firstLine="480"/>
      </w:pPr>
      <w:r>
        <w:t>（</w:t>
      </w:r>
      <w:r>
        <w:t>1</w:t>
      </w:r>
      <w:r>
        <w:t>）应进一步完善数据资产的会计准则体系。数据资产的会计计量偏差是信息模糊效应的根本来源，</w:t>
      </w:r>
      <w:r>
        <w:t>2024</w:t>
      </w:r>
      <w:r>
        <w:t>年入表新规的出台是正确方向，但规范化进程中仍需关注企业的适应成本和市场的信息处理效率。建议在现行暂行规定基础上逐步细化数据资产估值指引，降低投资者的解读摩擦。</w:t>
      </w:r>
    </w:p>
    <w:p w14:paraId="38DF4D71" w14:textId="77777777" w:rsidR="00C90237" w:rsidRDefault="00000000" w:rsidP="00EE76F5">
      <w:pPr>
        <w:ind w:firstLine="480"/>
      </w:pPr>
      <w:r>
        <w:t>（</w:t>
      </w:r>
      <w:r>
        <w:t>2</w:t>
      </w:r>
      <w:r>
        <w:t>）应重视信息中介基础设施的建设。实证结果清晰表明，分析师覆盖是数据信息有效传导的关键渠道，数据披露只有经由活跃的信息中介激活才能有效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sectPr w:rsidR="00C902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D446" w14:textId="77777777" w:rsidR="004C622B" w:rsidRDefault="004C622B">
      <w:pPr>
        <w:spacing w:line="240" w:lineRule="auto"/>
        <w:ind w:firstLine="480"/>
      </w:pPr>
      <w:r>
        <w:separator/>
      </w:r>
    </w:p>
  </w:endnote>
  <w:endnote w:type="continuationSeparator" w:id="0">
    <w:p w14:paraId="521CBA44" w14:textId="77777777" w:rsidR="004C622B" w:rsidRDefault="004C622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6B3F" w14:textId="77777777" w:rsidR="004C622B" w:rsidRDefault="004C622B">
      <w:pPr>
        <w:ind w:firstLine="480"/>
      </w:pPr>
      <w:r>
        <w:separator/>
      </w:r>
    </w:p>
  </w:footnote>
  <w:footnote w:type="continuationSeparator" w:id="0">
    <w:p w14:paraId="6AF9F28C" w14:textId="77777777" w:rsidR="004C622B" w:rsidRDefault="004C622B">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2C1AE401"/>
    <w:multiLevelType w:val="multilevel"/>
    <w:tmpl w:val="C03C5B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8"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7"/>
  </w:num>
  <w:num w:numId="2" w16cid:durableId="1264873825">
    <w:abstractNumId w:val="0"/>
  </w:num>
  <w:num w:numId="3" w16cid:durableId="1476221724">
    <w:abstractNumId w:val="4"/>
  </w:num>
  <w:num w:numId="4" w16cid:durableId="936861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3"/>
  </w:num>
  <w:num w:numId="6" w16cid:durableId="1461338990">
    <w:abstractNumId w:val="3"/>
    <w:lvlOverride w:ilvl="0">
      <w:startOverride w:val="1"/>
    </w:lvlOverride>
  </w:num>
  <w:num w:numId="7" w16cid:durableId="1641760926">
    <w:abstractNumId w:val="3"/>
    <w:lvlOverride w:ilvl="0">
      <w:startOverride w:val="1"/>
    </w:lvlOverride>
  </w:num>
  <w:num w:numId="8" w16cid:durableId="880825141">
    <w:abstractNumId w:val="3"/>
    <w:lvlOverride w:ilvl="0">
      <w:startOverride w:val="1"/>
    </w:lvlOverride>
  </w:num>
  <w:num w:numId="9" w16cid:durableId="151409479">
    <w:abstractNumId w:val="3"/>
    <w:lvlOverride w:ilvl="0">
      <w:startOverride w:val="1"/>
    </w:lvlOverride>
  </w:num>
  <w:num w:numId="10" w16cid:durableId="711031699">
    <w:abstractNumId w:val="3"/>
    <w:lvlOverride w:ilvl="0">
      <w:startOverride w:val="1"/>
    </w:lvlOverride>
  </w:num>
  <w:num w:numId="11" w16cid:durableId="827405353">
    <w:abstractNumId w:val="5"/>
  </w:num>
  <w:num w:numId="12" w16cid:durableId="10494600">
    <w:abstractNumId w:val="8"/>
  </w:num>
  <w:num w:numId="13" w16cid:durableId="43062871">
    <w:abstractNumId w:val="2"/>
  </w:num>
  <w:num w:numId="14" w16cid:durableId="945692746">
    <w:abstractNumId w:val="6"/>
  </w:num>
  <w:num w:numId="15" w16cid:durableId="89380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C6EF8"/>
    <w:rsid w:val="00220618"/>
    <w:rsid w:val="00367949"/>
    <w:rsid w:val="004C622B"/>
    <w:rsid w:val="004E29B3"/>
    <w:rsid w:val="00590D07"/>
    <w:rsid w:val="00784D58"/>
    <w:rsid w:val="008D6863"/>
    <w:rsid w:val="00A6277A"/>
    <w:rsid w:val="00B86B75"/>
    <w:rsid w:val="00BC48D5"/>
    <w:rsid w:val="00C36279"/>
    <w:rsid w:val="00C90237"/>
    <w:rsid w:val="00E315A3"/>
    <w:rsid w:val="00EE76F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288E6"/>
  <w15:docId w15:val="{0A279CC3-EE33-6345-BB07-E9ED4FE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EE76F5"/>
    <w:pPr>
      <w:keepNext/>
      <w:keepLines/>
      <w:ind w:firstLineChars="0" w:firstLine="0"/>
      <w:jc w:val="center"/>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0">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EE76F5"/>
    <w:rPr>
      <w:rFonts w:ascii="Times New Roman" w:eastAsia="黑体" w:hAnsi="Times New Roman" w:cs="黑体"/>
      <w:b/>
      <w:bCs/>
      <w:kern w:val="44"/>
      <w:sz w:val="30"/>
      <w:szCs w:val="30"/>
    </w:rPr>
  </w:style>
  <w:style w:type="character" w:customStyle="1" w:styleId="32">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
    <w:name w:val="标题3"/>
    <w:basedOn w:val="a1"/>
    <w:next w:val="a1"/>
    <w:link w:val="33"/>
    <w:autoRedefine/>
    <w:qFormat/>
    <w:rsid w:val="00965F0F"/>
    <w:pPr>
      <w:keepNext/>
      <w:keepLines/>
      <w:numPr>
        <w:ilvl w:val="2"/>
        <w:numId w:val="1"/>
      </w:numPr>
      <w:ind w:firstLineChars="0"/>
      <w:outlineLvl w:val="2"/>
    </w:pPr>
    <w:rPr>
      <w:rFonts w:eastAsia="黑体" w:cs="黑体"/>
      <w:b/>
      <w:bCs/>
    </w:rPr>
  </w:style>
  <w:style w:type="character" w:customStyle="1" w:styleId="33">
    <w:name w:val="标题3 字符"/>
    <w:basedOn w:val="a2"/>
    <w:link w:val="3"/>
    <w:rsid w:val="00965F0F"/>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0"/>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一玮 郑</cp:lastModifiedBy>
  <cp:revision>6</cp:revision>
  <dcterms:created xsi:type="dcterms:W3CDTF">2026-03-03T12:58:00Z</dcterms:created>
  <dcterms:modified xsi:type="dcterms:W3CDTF">2026-03-03T13:23:00Z</dcterms:modified>
</cp:coreProperties>
</file>