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80"/>
        <w:jc w:val="center"/>
      </w:pPr>
      <w:r>
        <w:rPr>
          <w:rFonts w:ascii="SimHei" w:cs="SimHei" w:eastAsia="SimHei" w:hAnsi="SimHei"/>
          <w:b/>
          <w:bCs/>
          <w:sz w:val="36"/>
          <w:szCs w:val="36"/>
        </w:rPr>
        <w:t xml:space="preserve">数据要素利用、资产配置与资本定价效率</w:t>
      </w:r>
    </w:p>
    <w:p>
      <w:pPr>
        <w:spacing w:after="240"/>
        <w:jc w:val="center"/>
      </w:pPr>
      <w:r>
        <w:rPr>
          <w:rFonts w:ascii="SimSun" w:cs="SimSun" w:eastAsia="SimSun" w:hAnsi="SimSun"/>
          <w:color w:val="666666"/>
          <w:sz w:val="24"/>
          <w:szCs w:val="24"/>
        </w:rPr>
        <w:t xml:space="preserve">（工作论文 · 待修改稿）</w:t>
      </w:r>
    </w:p>
    <w:p>
      <w:pPr>
        <w:spacing w:after="1200"/>
        <w:jc w:val="center"/>
      </w:pPr>
      <w:r>
        <w:rPr>
          <w:rFonts w:ascii="SimSun" w:cs="SimSun" w:eastAsia="SimSun" w:hAnsi="SimSun"/>
          <w:sz w:val="24"/>
          <w:szCs w:val="24"/>
        </w:rPr>
        <w:t xml:space="preserve">2026年3月</w:t>
      </w:r>
    </w:p>
    <w:p>
      <w:r>
        <w:br w:type="page"/>
      </w:r>
    </w:p>
    <w:p>
      <w:pPr>
        <w:pStyle w:val="Heading1"/>
        <w:spacing w:after="240" w:before="360"/>
        <w:jc w:val="center"/>
      </w:pPr>
      <w:r>
        <w:rPr>
          <w:rFonts w:ascii="SimHei" w:cs="SimHei" w:eastAsia="SimHei" w:hAnsi="SimHei"/>
          <w:b/>
          <w:bCs/>
          <w:sz w:val="30"/>
          <w:szCs w:val="30"/>
        </w:rPr>
        <w:t xml:space="preserve">二、理论分析与研究假说</w:t>
      </w:r>
    </w:p>
    <w:p>
      <w:pPr>
        <w:pStyle w:val="Heading2"/>
        <w:spacing w:after="160" w:before="240"/>
      </w:pPr>
      <w:r>
        <w:rPr>
          <w:rFonts w:ascii="SimHei" w:cs="SimHei" w:eastAsia="SimHei" w:hAnsi="SimHei"/>
          <w:b/>
          <w:bCs/>
          <w:sz w:val="26"/>
          <w:szCs w:val="26"/>
        </w:rPr>
        <w:t xml:space="preserve">（一）数据要素利用与资本市场定价效率</w:t>
      </w:r>
    </w:p>
    <w:p>
      <w:pPr>
        <w:spacing w:after="120" w:line="360"/>
        <w:ind w:firstLine="480"/>
      </w:pPr>
      <w:r>
        <w:rPr>
          <w:rFonts w:ascii="SimSun" w:cs="SimSun" w:eastAsia="SimSun" w:hAnsi="SimSun"/>
          <w:sz w:val="24"/>
          <w:szCs w:val="24"/>
        </w:rPr>
        <w:t xml:space="preserve">在Ohlson（1995）的剩余收益估值框架中，企业内在价值由账面净资产与未来超额收益的贴现值共同决定。这个框架的可靠性建立于一个关键前提：账面价值对企业经济价值的代表程度。但数据资产的大规模表外存在打破了这一前提。数据资产的会计计量偏差导致账面价值系统性低估，进而制造了投资者对企业真实价值的信息不对称。这种信息不对称可能通过两条相反方向的路径影响资本定价效率，其净效果需通过实证检验确定。</w:t>
      </w:r>
    </w:p>
    <w:p>
      <w:pPr>
        <w:spacing w:after="120" w:line="360"/>
        <w:ind w:firstLine="480"/>
      </w:pPr>
      <w:r>
        <w:rPr>
          <w:rFonts w:ascii="SimSun" w:cs="SimSun" w:eastAsia="SimSun" w:hAnsi="SimSun"/>
          <w:sz w:val="24"/>
          <w:szCs w:val="24"/>
        </w:rPr>
        <w:t xml:space="preserve">首先审视会计计量偏差的根源。依据《企业会计准则第6号——无形资产》，现行制度对数据资产的确认和计量存在系统性缺陷。无形资产普遍采用成本法计量，而数据资产的经济价值往往随使用场景的扩展呈非线性增长，历史成本无法捕捉这一动态升值特征；大量具有实质经济价值的数据资源因不满足可辨认性或可靠计量标准而被排斥在表外。黄世忠等（2023）在对数据资产确认与计量困难的分析中指出，历史成本模式与数据资源动态价值特征之间的矛盾是导致会计计量偏差的根本原因，而这种偏差正是账面价值与市场价值背离的重要来源。2024年施行的《企业数据资源相关会计处理暂行规定》虽首次将数据资源纳入资产负债表，但新规适应期内投资者解读数据资产经济含义的信息障碍在短期内并未消除。</w:t>
      </w:r>
    </w:p>
    <w:p>
      <w:pPr>
        <w:spacing w:after="120" w:line="360"/>
        <w:ind w:firstLine="480"/>
      </w:pPr>
      <w:r>
        <w:rPr>
          <w:rFonts w:ascii="SimSun" w:cs="SimSun" w:eastAsia="SimSun" w:hAnsi="SimSun"/>
          <w:sz w:val="24"/>
          <w:szCs w:val="24"/>
        </w:rPr>
        <w:t xml:space="preserve">会计计量缺口在信息不对称层面的直接后果是：对于积极利用数据要素的企业而言，其账面价值与经济价值之间存在系统性偏离，市场参与者难以仅凭财务报表准确评估企业真实价值。企业在年度报告中主动披露数据要素利用情况，构成向资本市场传递增量信息、弥补会计计量缺口的重要渠道。这种披露信息可能通过两条相互竞争的路径影响资本定价效率：信息供给效应和信息模糊效应。</w:t>
      </w:r>
    </w:p>
    <w:p>
      <w:pPr>
        <w:spacing w:after="80" w:before="160" w:line="360"/>
      </w:pPr>
      <w:r>
        <w:rPr>
          <w:rFonts w:ascii="SimSun" w:cs="SimSun" w:eastAsia="SimSun" w:hAnsi="SimSun"/>
          <w:b/>
          <w:bCs/>
          <w:sz w:val="24"/>
          <w:szCs w:val="24"/>
        </w:rPr>
        <w:t xml:space="preserve">信息供给效应的逻辑</w:t>
      </w:r>
    </w:p>
    <w:p>
      <w:pPr>
        <w:spacing w:after="120" w:line="360"/>
        <w:ind w:firstLine="480"/>
      </w:pPr>
      <w:r>
        <w:rPr>
          <w:rFonts w:ascii="SimSun" w:cs="SimSun" w:eastAsia="SimSun" w:hAnsi="SimSun"/>
          <w:sz w:val="24"/>
          <w:szCs w:val="24"/>
        </w:rPr>
        <w:t xml:space="preserve">可信的公开信息披露通过降低逆向选择程度，压缩知情交易者与非知情交易者之间的信息不对称，进而降低资本成本。Diamond和Verrecchia（1991）在一般框架中阐述了这一机制，黄俊和陈信元（2023）的中国市场证据进一步证实了增量信息披露能够加速私有信息向股票价格的融合，表明这一规律具有跨市场的稳健性。年报中的数据要素利用披露向市场参与者提供了企业数字化战略、商业模式与未来盈利能力的可观测信号，使其能够对数据驱动业务形成更为清晰的判断，从而缩短股价对相关信息的反应时滞。</w:t>
      </w:r>
    </w:p>
    <w:p>
      <w:pPr>
        <w:spacing w:after="80" w:before="160" w:line="360"/>
      </w:pPr>
      <w:r>
        <w:rPr>
          <w:rFonts w:ascii="SimSun" w:cs="SimSun" w:eastAsia="SimSun" w:hAnsi="SimSun"/>
          <w:b/>
          <w:bCs/>
          <w:sz w:val="24"/>
          <w:szCs w:val="24"/>
        </w:rPr>
        <w:t xml:space="preserve">信息模糊效应的逻辑</w:t>
      </w:r>
    </w:p>
    <w:p>
      <w:pPr>
        <w:spacing w:after="120" w:line="360"/>
        <w:ind w:firstLine="480"/>
      </w:pPr>
      <w:r>
        <w:rPr>
          <w:rFonts w:ascii="SimSun" w:cs="SimSun" w:eastAsia="SimSun" w:hAnsi="SimSun"/>
          <w:sz w:val="24"/>
          <w:szCs w:val="24"/>
        </w:rPr>
        <w:t xml:space="preserve">与此相对，信息不确定性理论强调，信息模糊程度越高，投资者越难以对资产进行准确定价，价格发现过程越迟缓。Zhang（2006）的研究表明不确定性与股价延迟之间的正向关联。现行会计准则对数据资产的系统性低估，以及数据驱动商业模式的内在复杂性，可能使投资者对企业价值的判断产生更大分歧，增加估值不确定性，导致信息处理成本上升、价格发现延滞。</w:t>
      </w:r>
    </w:p>
    <w:p>
      <w:pPr>
        <w:spacing w:after="120" w:line="360"/>
        <w:ind w:firstLine="480"/>
      </w:pPr>
      <w:r>
        <w:rPr>
          <w:rFonts w:ascii="SimSun" w:cs="SimSun" w:eastAsia="SimSun" w:hAnsi="SimSun"/>
          <w:sz w:val="24"/>
          <w:szCs w:val="24"/>
        </w:rPr>
        <w:t xml:space="preserve">上述两种效应建立在不同的行为假设之上：信息供给效应假设市场参与者能够正确理解并及时纳入增量信息，价格发现的约束主要来自信息供给不足；信息模糊效应则假设信息的高度不确定性阻滞了投资者的处理与吸收过程，价格发现的瓶颈在于信息需求侧的认知摩擦。在数据资产这一新兴且复杂的领域，两种假设均具有一定的现实合理性，其相对强弱属于需要经验数据加以识别的问题。</w:t>
      </w:r>
    </w:p>
    <w:p>
      <w:pPr>
        <w:spacing w:after="120" w:line="360"/>
        <w:ind w:firstLine="480"/>
      </w:pPr>
      <w:r>
        <w:rPr>
          <w:rFonts w:ascii="SimSun" w:cs="SimSun" w:eastAsia="SimSun" w:hAnsi="SimSun"/>
          <w:sz w:val="24"/>
          <w:szCs w:val="24"/>
        </w:rPr>
        <w:t xml:space="preserve">两种效应的净结果取决于哪一种力量居于主导。本文基于以下三点理由推测信息供给效应更可能占据优势。其一，年报是经过审计的法定文件，属于可验证的公开披露，数据要素利用信息具有法律背书，相比自愿性社交媒体传播的噪音信号概率显著更低。其二，《数据二十条》（2022）和入表新规（2024）确立了数据资产披露的政策框架，逐步降低市场参与者的分析摩擦。其三，本文采用关键词频率法区分企业对数据要素的实质性利用与纯粹概念提及，实质性行动的信号价值更高。需要指出的是，关键词频率作为数据要素利用的代理变量存在固有的测量误差——高频出现可能部分反映营销宣传而非实际利用强度，低频则可能因商业保密而低估——本文在稳健性检验中通过替换指标和子维度分析对此加以控制。若信息供给效应为主导，应观察到企业数据要素利用与股价延迟呈显著负向关联。据此，本文提出第一个假说：</w:t>
      </w:r>
    </w:p>
    <w:p>
      <w:pPr>
        <w:spacing w:after="200" w:before="120" w:line="360"/>
      </w:pPr>
      <w:r>
        <w:rPr>
          <w:rFonts w:ascii="SimSun" w:cs="SimSun" w:eastAsia="SimSun" w:hAnsi="SimSun"/>
          <w:b/>
          <w:bCs/>
          <w:sz w:val="24"/>
          <w:szCs w:val="24"/>
        </w:rPr>
        <w:t xml:space="preserve">H1：企业数据要素利用降低了资本市场的股价延迟（即提升了定价效率）。</w:t>
      </w:r>
    </w:p>
    <w:p>
      <w:pPr>
        <w:pStyle w:val="Heading2"/>
        <w:spacing w:after="160" w:before="240"/>
      </w:pPr>
      <w:r>
        <w:rPr>
          <w:rFonts w:ascii="SimHei" w:cs="SimHei" w:eastAsia="SimHei" w:hAnsi="SimHei"/>
          <w:b/>
          <w:bCs/>
          <w:sz w:val="26"/>
          <w:szCs w:val="26"/>
        </w:rPr>
        <w:t xml:space="preserve">（二）传导机制</w:t>
      </w:r>
    </w:p>
    <w:p>
      <w:pPr>
        <w:spacing w:after="120" w:line="360"/>
        <w:ind w:firstLine="480"/>
      </w:pPr>
      <w:r>
        <w:rPr>
          <w:rFonts w:ascii="SimSun" w:cs="SimSun" w:eastAsia="SimSun" w:hAnsi="SimSun"/>
          <w:sz w:val="24"/>
          <w:szCs w:val="24"/>
        </w:rPr>
        <w:t xml:space="preserve">H1确立了数据要素利用与定价效率之间的总体关联，但信息从企业年报向股票价格的具体传导路径尚待厘清。信息从私有领域（企业）向市场参与者再到股票价格的流动，通常经历两个主要阶段：信息的捕捉与加工（由信息中介完成）和基于加工后信息的投资决策（由资本配置者实现）。本文据此识别两条主要传导渠道：信息中介渠道和企业行为渠道。</w:t>
      </w:r>
    </w:p>
    <w:p>
      <w:pPr>
        <w:spacing w:after="80" w:before="160" w:line="360"/>
      </w:pPr>
      <w:r>
        <w:rPr>
          <w:rFonts w:ascii="SimSun" w:cs="SimSun" w:eastAsia="SimSun" w:hAnsi="SimSun"/>
          <w:b/>
          <w:bCs/>
          <w:sz w:val="24"/>
          <w:szCs w:val="24"/>
        </w:rPr>
        <w:t xml:space="preserve">信息中介渠道：分析师的加速效应</w:t>
      </w:r>
    </w:p>
    <w:p>
      <w:pPr>
        <w:spacing w:after="120" w:line="360"/>
        <w:ind w:firstLine="480"/>
      </w:pPr>
      <w:r>
        <w:rPr>
          <w:rFonts w:ascii="SimSun" w:cs="SimSun" w:eastAsia="SimSun" w:hAnsi="SimSun"/>
          <w:sz w:val="24"/>
          <w:szCs w:val="24"/>
        </w:rPr>
        <w:t xml:space="preserve">分析师是连接企业信息披露与市场定价的核心中介机构。当分析师覆盖不足时，企业的私有信息难以被市场及时捕捉，信息扩散缓慢直接延长了股价对基本面变化的反应时滞。反之，分析师数量的增加通过提高股票价格的信息含量而显著加速价格发现过程。这一规律的因果性已在多个市场中得到实证确认。美国市场的断点识别设计率先揭示了分析师覆盖与股价延迟之间的因果关系（Hong等，2000），其稳健性随后经由中国市场的独立研究得到验证（Yu，2008；黄俊和陈信元，2023）。这些研究虽在识别策略和样本覆盖上各有侧重，但共同指向同一结论：分析师覆盖密度越高，信息向价格的转换效率越高。</w:t>
      </w:r>
    </w:p>
    <w:p>
      <w:pPr>
        <w:spacing w:after="120" w:line="360"/>
        <w:ind w:firstLine="480"/>
      </w:pPr>
      <w:r>
        <w:rPr>
          <w:rFonts w:ascii="SimSun" w:cs="SimSun" w:eastAsia="SimSun" w:hAnsi="SimSun"/>
          <w:sz w:val="24"/>
          <w:szCs w:val="24"/>
        </w:rPr>
        <w:t xml:space="preserve">数据要素利用程度较高的企业在年报中提供了更为丰富的数字化战略与数据应用信息，这类增量信息具有以下特征：其一，信息的技术含量高，分析师需要具备一定的数字化认知才能充分理解其经济含义；其二，信息与企业竞争力和盈利能力的关联性强，机构投资者高度关注，为分析师服务客户带来更大的研究价值。在这些激励下，分析师更有动力对数据要素利用信息进行深度研究与广泛传播。分析师的研究报告、盈利预测与公开路演，将进一步加速数据要素利用信息向股价的传导。据此，本文提出第二个假说：</w:t>
      </w:r>
    </w:p>
    <w:p>
      <w:pPr>
        <w:spacing w:after="200" w:before="120" w:line="360"/>
      </w:pPr>
      <w:r>
        <w:rPr>
          <w:rFonts w:ascii="SimSun" w:cs="SimSun" w:eastAsia="SimSun" w:hAnsi="SimSun"/>
          <w:b/>
          <w:bCs/>
          <w:sz w:val="24"/>
          <w:szCs w:val="24"/>
        </w:rPr>
        <w:t xml:space="preserve">H2a：企业数据要素利用通过提升分析师覆盖发挥信息中介作用。</w:t>
      </w:r>
    </w:p>
    <w:p>
      <w:pPr>
        <w:spacing w:after="80" w:before="160" w:line="360"/>
      </w:pPr>
      <w:r>
        <w:rPr>
          <w:rFonts w:ascii="SimSun" w:cs="SimSun" w:eastAsia="SimSun" w:hAnsi="SimSun"/>
          <w:b/>
          <w:bCs/>
          <w:sz w:val="24"/>
          <w:szCs w:val="24"/>
        </w:rPr>
        <w:t xml:space="preserve">企业行为渠道：金融资产配置的信号作用</w:t>
      </w:r>
    </w:p>
    <w:p>
      <w:pPr>
        <w:spacing w:after="120" w:line="360"/>
        <w:ind w:firstLine="480"/>
      </w:pPr>
      <w:r>
        <w:rPr>
          <w:rFonts w:ascii="SimSun" w:cs="SimSun" w:eastAsia="SimSun" w:hAnsi="SimSun"/>
          <w:sz w:val="24"/>
          <w:szCs w:val="24"/>
        </w:rPr>
        <w:t xml:space="preserve">数据要素的深度利用还与企业的金融资产配置行为存在关联。近期研究从两条不同的理论路径揭示了这一关联：一条是成本渠道，即数据利用能力通过降低资本成本和缓解融资约束，拓宽了企业金融资产配置的可行边界（朱康，2025）；另一条是决策质量渠道，即数据驱动能力强的企业凭借更精准的市场分析与风险评估，在资产选择上表现出更高的信息优势（李姝，2025）。两条路径的理论机制虽有不同侧重——前者强调融资条件改善，后者强调决策能力提升——但共同指向一个核心事实：数据要素利用能力强的企业在识别市场机会、评估流动性风险和优化资产组合方面形成了差异化的信息优势。</w:t>
      </w:r>
    </w:p>
    <w:p>
      <w:pPr>
        <w:spacing w:after="120" w:line="360"/>
        <w:ind w:firstLine="480"/>
      </w:pPr>
      <w:r>
        <w:rPr>
          <w:rFonts w:ascii="SimSun" w:cs="SimSun" w:eastAsia="SimSun" w:hAnsi="SimSun"/>
          <w:sz w:val="24"/>
          <w:szCs w:val="24"/>
        </w:rPr>
        <w:t xml:space="preserve">这种信息优势在金融资产配置决策中得以体现，使其配置模式呈现出区别于一般企业的特征。这些特征通过资产负债表和附注中的会计信息得以显现，构成市场参与者推断企业运营能力和市场判断力的潜在信息来源。若市场参与者能够从金融资产配置变化中识别出数据利用能力的信号，则这一路径也会影响股票定价效率。本文将金融资产配置作为数据要素利用影响定价效率的一条潜在信息传导渠道，重点在于证实该渠道的存在性。据此，本文提出第三个假说：</w:t>
      </w:r>
    </w:p>
    <w:p>
      <w:pPr>
        <w:spacing w:after="200" w:before="120" w:line="360"/>
      </w:pPr>
      <w:r>
        <w:rPr>
          <w:rFonts w:ascii="SimSun" w:cs="SimSun" w:eastAsia="SimSun" w:hAnsi="SimSun"/>
          <w:b/>
          <w:bCs/>
          <w:sz w:val="24"/>
          <w:szCs w:val="24"/>
        </w:rPr>
        <w:t xml:space="preserve">H2b：企业数据要素利用与金融资产配置行为存在显著关联，金融资产配置构成数据要素利用影响市场定价的一条潜在信息传导渠道。</w:t>
      </w:r>
    </w:p>
    <w:p>
      <w:pPr>
        <w:spacing w:after="80" w:before="160" w:line="360"/>
      </w:pPr>
      <w:r>
        <w:rPr>
          <w:rFonts w:ascii="SimSun" w:cs="SimSun" w:eastAsia="SimSun" w:hAnsi="SimSun"/>
          <w:b/>
          <w:bCs/>
          <w:sz w:val="24"/>
          <w:szCs w:val="24"/>
        </w:rPr>
        <w:t xml:space="preserve">补充性渠道：机构投资者的复杂响应</w:t>
      </w:r>
    </w:p>
    <w:p>
      <w:pPr>
        <w:spacing w:after="120" w:line="360"/>
        <w:ind w:firstLine="480"/>
      </w:pPr>
      <w:r>
        <w:rPr>
          <w:rFonts w:ascii="SimSun" w:cs="SimSun" w:eastAsia="SimSun" w:hAnsi="SimSun"/>
          <w:sz w:val="24"/>
          <w:szCs w:val="24"/>
        </w:rPr>
        <w:t xml:space="preserve">此外，数据要素利用还可能通过影响机构投资者的持股行为而影响定价效率。由于理论上存在相互对冲的作用力，该渠道的净效应方向难以事前确定，本文将其定位为补充性渠道而非核心传导机制。具体而言，这一渠道的复杂性体现为：一方面，数据要素利用传递了企业经营能力进步和技术先进性的信号，可能吸引注重基本面的长期机构投资者；另一方面，数据驱动商业模式的内在复杂性与高度不确定性，可能提高了某些机构投资者的估值评估难度和风险认知，从而抑制其持股意愿。这种复杂性源于机构投资者本身的异质性：不同类型的投资者（如公募基金与保险资金）对数据资产价值的理解程度差异，导致对数据要素利用信息的反应方向不一致。本文将机构投资者持股作为补充性传导渠道予以检验，并在实证部分报告其与数据要素利用的关联方向及其可能的成因解释。</w:t>
      </w:r>
    </w:p>
    <w:p>
      <w:pPr>
        <w:pStyle w:val="Heading2"/>
        <w:spacing w:after="160" w:before="240"/>
      </w:pPr>
      <w:r>
        <w:rPr>
          <w:rFonts w:ascii="SimHei" w:cs="SimHei" w:eastAsia="SimHei" w:hAnsi="SimHei"/>
          <w:b/>
          <w:bCs/>
          <w:sz w:val="26"/>
          <w:szCs w:val="26"/>
        </w:rPr>
        <w:t xml:space="preserve">（三）进一步分析：异质性视角</w:t>
      </w:r>
    </w:p>
    <w:p>
      <w:pPr>
        <w:spacing w:after="120" w:line="360"/>
        <w:ind w:firstLine="480"/>
      </w:pPr>
      <w:r>
        <w:rPr>
          <w:rFonts w:ascii="SimSun" w:cs="SimSun" w:eastAsia="SimSun" w:hAnsi="SimSun"/>
          <w:sz w:val="24"/>
          <w:szCs w:val="24"/>
        </w:rPr>
        <w:t xml:space="preserve">上述H1至H2b的分析给出了数据要素利用对定价效率的总体效应及其主要传导机制。但企业的特征禀赋和所处的市场环境会显著影响这些效应的大小和方向。本文进一步从三个维度考察数据要素利用效应的异质性模式：产权性质、分析师覆盖和行业属性。其中分析师覆盖维度基于传导机制的理论预期形成正式假说，产权性质与行业属性维度因理论预测方向性较弱而作为探索性分析。</w:t>
      </w:r>
    </w:p>
    <w:p>
      <w:pPr>
        <w:spacing w:after="80" w:before="160" w:line="360"/>
      </w:pPr>
      <w:r>
        <w:rPr>
          <w:rFonts w:ascii="SimSun" w:cs="SimSun" w:eastAsia="SimSun" w:hAnsi="SimSun"/>
          <w:b/>
          <w:bCs/>
          <w:sz w:val="24"/>
          <w:szCs w:val="24"/>
        </w:rPr>
        <w:t xml:space="preserve">产权性质维度</w:t>
      </w:r>
    </w:p>
    <w:p>
      <w:pPr>
        <w:spacing w:after="120" w:line="360"/>
        <w:ind w:firstLine="480"/>
      </w:pPr>
      <w:r>
        <w:rPr>
          <w:rFonts w:ascii="SimSun" w:cs="SimSun" w:eastAsia="SimSun" w:hAnsi="SimSun"/>
          <w:sz w:val="24"/>
          <w:szCs w:val="24"/>
        </w:rPr>
        <w:t xml:space="preserve">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pPr>
        <w:spacing w:after="80" w:before="160" w:line="360"/>
      </w:pPr>
      <w:r>
        <w:rPr>
          <w:rFonts w:ascii="SimSun" w:cs="SimSun" w:eastAsia="SimSun" w:hAnsi="SimSun"/>
          <w:b/>
          <w:bCs/>
          <w:sz w:val="24"/>
          <w:szCs w:val="24"/>
        </w:rPr>
        <w:t xml:space="preserve">分析师覆盖维度</w:t>
      </w:r>
    </w:p>
    <w:p>
      <w:pPr>
        <w:spacing w:after="120" w:line="360"/>
        <w:ind w:firstLine="480"/>
      </w:pPr>
      <w:r>
        <w:rPr>
          <w:rFonts w:ascii="SimSun" w:cs="SimSun" w:eastAsia="SimSun" w:hAnsi="SimSun"/>
          <w:sz w:val="24"/>
          <w:szCs w:val="24"/>
        </w:rPr>
        <w:t xml:space="preserve">本文的核心传导机制之一在于分析师的信息中介作用（H2a）。信息扩散理论预测，分析师覆盖密度是决定增量信息能否得到及时处理与广泛传播的关键制约条件。Hong等（2000）的研究强调了分析师覆盖对私有信息公开化的门槛作用。当企业所处信息环境中分析师跟踪较为密集时，数据要素利用所产生的增量信息能够被分析师更及时地捕捉、更深度地加工并更广泛地传播，信息向价格的传导路径更加畅通，定价效率的改善因此更为显著。反之，分析师覆盖稀疏的企业中，数据要素利用信息即便披露，其扩散和定价也受到严重制约。据此，本文提出第四个假说：</w:t>
      </w:r>
    </w:p>
    <w:p>
      <w:pPr>
        <w:spacing w:after="200" w:before="120" w:line="360"/>
      </w:pPr>
      <w:r>
        <w:rPr>
          <w:rFonts w:ascii="SimSun" w:cs="SimSun" w:eastAsia="SimSun" w:hAnsi="SimSun"/>
          <w:b/>
          <w:bCs/>
          <w:sz w:val="24"/>
          <w:szCs w:val="24"/>
        </w:rPr>
        <w:t xml:space="preserve">H3：数据要素利用对资本市场定价效率的提升效应在分析师跟踪较为活跃的企业中更为显著。</w:t>
      </w:r>
    </w:p>
    <w:p>
      <w:pPr>
        <w:spacing w:after="80" w:before="160" w:line="360"/>
      </w:pPr>
      <w:r>
        <w:rPr>
          <w:rFonts w:ascii="SimSun" w:cs="SimSun" w:eastAsia="SimSun" w:hAnsi="SimSun"/>
          <w:b/>
          <w:bCs/>
          <w:sz w:val="24"/>
          <w:szCs w:val="24"/>
        </w:rPr>
        <w:t xml:space="preserve">行业属性维度</w:t>
      </w:r>
    </w:p>
    <w:p>
      <w:pPr>
        <w:spacing w:after="120" w:line="360"/>
        <w:ind w:firstLine="480"/>
      </w:pPr>
      <w:r>
        <w:rPr>
          <w:rFonts w:ascii="SimSun" w:cs="SimSun" w:eastAsia="SimSun" w:hAnsi="SimSun"/>
          <w:sz w:val="24"/>
          <w:szCs w:val="24"/>
        </w:rPr>
        <w:t xml:space="preserve">数据要素利用信息的价值相关性在不同行业可能有所差异。本文参照证监会行业分类，将信息传输、软件和信息技术服务业（I类）以及科学研究和技术服务业（M类）界定为数据密集型高科技行业，其余行业归为传统行业。在数据密集型行业中，数据要素构成核心生产投入而非辅助性资源，企业利用数据要素的能力直接关系到竞争优势的形成与维持。从信息价值相关性的角度分析，当某一类信息与企业核心竞争力的关联度越高，该信息对企业价值的预测力就越强，市场参与者对其关注度和解读能力也越高（Diamond和Verrecchia，1991）。据此推断，数据密集型行业中的市场参与者对数据要素利用信息的信息解读摩擦相对更低，价格对相关信息的反映更为迅速。但数据要素利用对定价效率的相对强度差异（传统行业与高科技行业的对比效应）是一个有待实证检验的问题，本文将其作为探索性分析呈现。</w:t>
      </w:r>
    </w:p>
    <w:p>
      <w:r>
        <w:br w:type="page"/>
      </w:r>
    </w:p>
    <w:p>
      <w:pPr>
        <w:pStyle w:val="Heading1"/>
        <w:spacing w:after="240" w:before="360"/>
        <w:jc w:val="center"/>
      </w:pPr>
      <w:r>
        <w:rPr>
          <w:rFonts w:ascii="SimHei" w:cs="SimHei" w:eastAsia="SimHei" w:hAnsi="SimHei"/>
          <w:b/>
          <w:bCs/>
          <w:sz w:val="30"/>
          <w:szCs w:val="30"/>
        </w:rPr>
        <w:t xml:space="preserve">三、研究设计</w:t>
      </w:r>
    </w:p>
    <w:p>
      <w:pPr>
        <w:pStyle w:val="Heading2"/>
        <w:spacing w:after="160" w:before="240"/>
      </w:pPr>
      <w:r>
        <w:rPr>
          <w:rFonts w:ascii="SimHei" w:cs="SimHei" w:eastAsia="SimHei" w:hAnsi="SimHei"/>
          <w:b/>
          <w:bCs/>
          <w:sz w:val="26"/>
          <w:szCs w:val="26"/>
        </w:rPr>
        <w:t xml:space="preserve">（一）样本选择与数据来源</w:t>
      </w:r>
    </w:p>
    <w:p>
      <w:pPr>
        <w:spacing w:after="120" w:line="360"/>
        <w:ind w:firstLine="480"/>
      </w:pPr>
      <w:r>
        <w:rPr>
          <w:rFonts w:ascii="SimSun" w:cs="SimSun" w:eastAsia="SimSun" w:hAnsi="SimSun"/>
          <w:sz w:val="24"/>
          <w:szCs w:val="24"/>
        </w:rPr>
        <w:t xml:space="preserve">本文的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pPr>
        <w:spacing w:after="120" w:line="360"/>
        <w:ind w:firstLine="480"/>
      </w:pPr>
      <w:r>
        <w:rPr>
          <w:rFonts w:ascii="SimSun" w:cs="SimSun" w:eastAsia="SimSun" w:hAnsi="SimSun"/>
          <w:sz w:val="24"/>
          <w:szCs w:val="24"/>
        </w:rPr>
        <w:t xml:space="preserve">经过以上筛选，最终获得38,943个企业-年份观测，涵盖5,178家独立企业。面板固定效应模型在清理奇点后，用于基准回归分析的有效样本量为38,614个观测。</w:t>
      </w:r>
    </w:p>
    <w:p>
      <w:pPr>
        <w:spacing w:after="120" w:line="360"/>
        <w:ind w:firstLine="480"/>
      </w:pPr>
      <w:r>
        <w:rPr>
          <w:rFonts w:ascii="SimSun" w:cs="SimSun" w:eastAsia="SimSun" w:hAnsi="SimSun"/>
          <w:sz w:val="24"/>
          <w:szCs w:val="24"/>
        </w:rPr>
        <w:t xml:space="preserve">自变量DU_kw的提取基于上市公司年度报告全文的文本分析，原始数据来源于上市公司向证监会提交的法定年报TXT格式文件。因变量PriceDelay的构造基于CSMAR数据库的股票日收益率数据。控制变量与中介变量的数据同样提取自CSMAR数据库的财务、治理和市场数据库。</w:t>
      </w:r>
    </w:p>
    <w:p>
      <w:pPr>
        <w:pStyle w:val="Heading2"/>
        <w:spacing w:after="160" w:before="240"/>
      </w:pPr>
      <w:r>
        <w:rPr>
          <w:rFonts w:ascii="SimHei" w:cs="SimHei" w:eastAsia="SimHei" w:hAnsi="SimHei"/>
          <w:b/>
          <w:bCs/>
          <w:sz w:val="26"/>
          <w:szCs w:val="26"/>
        </w:rPr>
        <w:t xml:space="preserve">（二）数据要素利用的测度</w:t>
      </w:r>
    </w:p>
    <w:p>
      <w:pPr>
        <w:spacing w:after="120" w:line="360"/>
        <w:ind w:firstLine="480"/>
      </w:pPr>
      <w:r>
        <w:rPr>
          <w:rFonts w:ascii="SimSun" w:cs="SimSun" w:eastAsia="SimSun" w:hAnsi="SimSun"/>
          <w:sz w:val="24"/>
          <w:szCs w:val="24"/>
        </w:rPr>
        <w:t xml:space="preserve">数据资产及其相关活动长期处于会计体系之外，难以通过传统财务指标直接观察，文本分析因此成为获取数据要素利用信息的重要途径。本文沿数据价值链的不同环节构建了五维度关键词体系：数据存量（data_stock，13个关键词，如大数据、数据库、数据中心等）、数据开发能力（data_dev，18个关键词，如数据挖掘、机器学习、数字化转型等）、数据驱动应用（data_app，13个关键词，如精准营销、智能推荐、风控模型等）、数据价值变现（data_value，10个关键词，如数据资产、数据交易、数据入表等）和数据治理（data_gov，9个关键词，如数据安全、数据隐私、数据合规等），共计63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pPr>
        <w:spacing w:after="120" w:line="360"/>
        <w:ind w:firstLine="480"/>
      </w:pPr>
      <w:r>
        <w:rPr>
          <w:rFonts w:ascii="SimSun" w:cs="SimSun" w:eastAsia="SimSun" w:hAnsi="SimSun"/>
          <w:sz w:val="24"/>
          <w:szCs w:val="24"/>
        </w:rPr>
        <w:t xml:space="preserve">关键词频率的计算方法为：DU_kw = 关键词总出现次数 / 年报全文总字数 × 10000，即每万字中数据相关关键词的出现次数。文本处理采用多编码支持策略和长词优先匹配策略，以确保编码的准确读取和避免短词误匹配导致的高估。</w:t>
      </w:r>
    </w:p>
    <w:p>
      <w:pPr>
        <w:spacing w:after="120" w:line="360"/>
        <w:ind w:firstLine="480"/>
      </w:pPr>
      <w:r>
        <w:rPr>
          <w:rFonts w:ascii="SimSun" w:cs="SimSun" w:eastAsia="SimSun" w:hAnsi="SimSun"/>
          <w:sz w:val="24"/>
          <w:szCs w:val="24"/>
        </w:rPr>
        <w:t xml:space="preserve">在主指标DU_kw的基础上，本文构造了两个备选指标：DU_kw_ln = ln(1 + DU_kw)，即对频率进行对数变换以处理右偏分布；DU_sub_ln = ln(1 + DU_sub)，其中DU_sub为实质利用次数，其构造基于对关键词出现上下文的判断——关键词周围100字窗口内同时包含具体数字、百分比表述或动作词与对象搭配时，判定为实质利用，否则视为概念性提及。这一区分旨在提高指标的信息质量。</w:t>
      </w:r>
    </w:p>
    <w:p>
      <w:pPr>
        <w:spacing w:after="120" w:line="360"/>
        <w:ind w:firstLine="480"/>
      </w:pPr>
      <w:r>
        <w:rPr>
          <w:rFonts w:ascii="SimSun" w:cs="SimSun" w:eastAsia="SimSun" w:hAnsi="SimSun"/>
          <w:sz w:val="24"/>
          <w:szCs w:val="24"/>
        </w:rPr>
        <w:t xml:space="preserve">DU_kw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DU_kw均值（分别为2.34和1.98）远高于制造业（0.72）和采矿业（0.48），符合产业对数据要素依赖程度的直观预期。相比李世刚等（2025）依据的CNRDS指数仅覆盖2018-2020年三年，本文实现了2011-2024年完整的14年面板数据，大幅扩展了识别长期效应的时间窗口。</w:t>
      </w:r>
    </w:p>
    <w:p>
      <w:pPr>
        <w:pStyle w:val="Heading2"/>
        <w:spacing w:after="160" w:before="240"/>
      </w:pPr>
      <w:r>
        <w:rPr>
          <w:rFonts w:ascii="SimHei" w:cs="SimHei" w:eastAsia="SimHei" w:hAnsi="SimHei"/>
          <w:b/>
          <w:bCs/>
          <w:sz w:val="26"/>
          <w:szCs w:val="26"/>
        </w:rPr>
        <w:t xml:space="preserve">（三）变量定义</w:t>
      </w:r>
    </w:p>
    <w:p>
      <w:pPr>
        <w:spacing w:after="80" w:before="160" w:line="360"/>
      </w:pPr>
      <w:r>
        <w:rPr>
          <w:rFonts w:ascii="SimSun" w:cs="SimSun" w:eastAsia="SimSun" w:hAnsi="SimSun"/>
          <w:b/>
          <w:bCs/>
          <w:sz w:val="24"/>
          <w:szCs w:val="24"/>
        </w:rPr>
        <w:t xml:space="preserve">因变量：股价延迟PriceDelay</w:t>
      </w:r>
    </w:p>
    <w:p>
      <w:pPr>
        <w:spacing w:after="120" w:line="360"/>
        <w:ind w:firstLine="480"/>
      </w:pPr>
      <w:r>
        <w:rPr>
          <w:rFonts w:ascii="SimSun" w:cs="SimSun" w:eastAsia="SimSun" w:hAnsi="SimSun"/>
          <w:sz w:val="24"/>
          <w:szCs w:val="24"/>
        </w:rPr>
        <w:t xml:space="preserve">本文采用Hou和Moskowitz（2005）的方法构造股价延迟。对企业i在年份t的日收益率序列（至少120个交易日），分别估计受限模型和无限制模型。受限模型仅包含当期市场收益率，无限制模型在此基础上纳入5期滞后市场收益率。股价延迟定义为：PriceDelay = 1 - R²(restricted) / R²(unrestricted)，取值范围为[0,1]，值越大表示股价对市场信息的反应越滞后，定价效率越低。样本中PriceDelay的均值为0.110、标准差为0.120、中位数为0.068。</w:t>
      </w:r>
    </w:p>
    <w:p>
      <w:pPr>
        <w:spacing w:after="80" w:before="160" w:line="360"/>
      </w:pPr>
      <w:r>
        <w:rPr>
          <w:rFonts w:ascii="SimSun" w:cs="SimSun" w:eastAsia="SimSun" w:hAnsi="SimSun"/>
          <w:b/>
          <w:bCs/>
          <w:sz w:val="24"/>
          <w:szCs w:val="24"/>
        </w:rPr>
        <w:t xml:space="preserve">自变量：数据要素利用DU_kw</w:t>
      </w:r>
    </w:p>
    <w:p>
      <w:pPr>
        <w:spacing w:after="120" w:line="360"/>
        <w:ind w:firstLine="480"/>
      </w:pPr>
      <w:r>
        <w:rPr>
          <w:rFonts w:ascii="SimSun" w:cs="SimSun" w:eastAsia="SimSun" w:hAnsi="SimSun"/>
          <w:sz w:val="24"/>
          <w:szCs w:val="24"/>
        </w:rPr>
        <w:t xml:space="preserve">DU_kw的定义和构造方法已在上一节详述。回归分析中采用t-1年的DU_kw来解释t年的股价延迟，以缓解反向因果。样本中DU_kw的均值为1.070、标准差为1.695、中位数为0.478。</w:t>
      </w:r>
    </w:p>
    <w:p>
      <w:pPr>
        <w:spacing w:after="80" w:before="160" w:line="360"/>
      </w:pPr>
      <w:r>
        <w:rPr>
          <w:rFonts w:ascii="SimSun" w:cs="SimSun" w:eastAsia="SimSun" w:hAnsi="SimSun"/>
          <w:b/>
          <w:bCs/>
          <w:sz w:val="24"/>
          <w:szCs w:val="24"/>
        </w:rPr>
        <w:t xml:space="preserve">控制变量</w:t>
      </w:r>
    </w:p>
    <w:p>
      <w:pPr>
        <w:spacing w:after="120" w:before="240"/>
        <w:jc w:val="center"/>
      </w:pPr>
      <w:r>
        <w:rPr>
          <w:rFonts w:ascii="SimHei" w:cs="SimHei" w:eastAsia="SimHei" w:hAnsi="SimHei"/>
          <w:b/>
          <w:bCs/>
          <w:sz w:val="20"/>
          <w:szCs w:val="20"/>
        </w:rPr>
        <w:t xml:space="preserve">控制变量定义</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100"/>
        <w:gridCol w:w="1100"/>
      </w:tblGrid>
      <w:tr>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变量</w:t>
            </w:r>
          </w:p>
        </w:tc>
        <w:tc>
          <w:tcPr>
            <w:tcW w:type="dxa" w:w="44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定义</w:t>
            </w:r>
          </w:p>
        </w:tc>
        <w:tc>
          <w:tcPr>
            <w:tcW w:type="dxa" w:w="11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均值</w:t>
            </w:r>
          </w:p>
        </w:tc>
        <w:tc>
          <w:tcPr>
            <w:tcW w:type="dxa" w:w="11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标准差</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Size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总市值的自然对数</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22.643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0.972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Lev</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总负债/总资产</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0.434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0.205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ROA</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净利润/总资产</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0.027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0.068</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TobinQ</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(股权市值+负债账面值)/总资产</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2.027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1.314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Age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ln(当年-上市年份+1)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2.282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0.635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Growth</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营收增长率</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0.127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0.371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BoardSize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ln(董事会人数)</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2.109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0.198</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IndepRatio</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独立董事人数/董事会总人数</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0.379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0.054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Dual</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董事长兼任CEO取1，否则为0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0.287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0.453</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Top1Share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第一大股东持股比例</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33.034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14.756</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SOE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国有企业取1，否则为0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0.340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0.474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InstHold</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机构投资者持股比例</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42.081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24.331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Amihud</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Amihud非流动性指标</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0.042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0.043</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Analyst</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ln(1+跟踪分析师人数)</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2.489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1.739</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AuditType</w:t>
            </w:r>
          </w:p>
        </w:tc>
        <w:tc>
          <w:tcPr>
            <w:tcW w:type="dxa" w:w="4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标准无保留意见取1，否则为0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0.963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0.188</w:t>
            </w:r>
          </w:p>
        </w:tc>
      </w:tr>
    </w:tbl>
    <w:p>
      <w:pPr>
        <w:spacing w:after="80" w:before="160" w:line="360"/>
      </w:pPr>
      <w:r>
        <w:rPr>
          <w:rFonts w:ascii="SimSun" w:cs="SimSun" w:eastAsia="SimSun" w:hAnsi="SimSun"/>
          <w:b/>
          <w:bCs/>
          <w:sz w:val="24"/>
          <w:szCs w:val="24"/>
        </w:rPr>
        <w:t xml:space="preserve">中介变量</w:t>
      </w:r>
    </w:p>
    <w:p>
      <w:pPr>
        <w:spacing w:after="120" w:line="360"/>
        <w:ind w:firstLine="480"/>
      </w:pPr>
      <w:r>
        <w:rPr>
          <w:rFonts w:ascii="SimSun" w:cs="SimSun" w:eastAsia="SimSun" w:hAnsi="SimSun"/>
          <w:sz w:val="24"/>
          <w:szCs w:val="24"/>
        </w:rPr>
        <w:t xml:space="preserve">机制分析中纳入三个中介变量：Analyst（分析师覆盖对数），反映信息中介活跃度；FinAsset（金融资产占比），反映数据驱动决策对企业投资行为的影响；InstHold（机构持股比例），反映机构投资者对数据要素利用信息的评价。</w:t>
      </w:r>
    </w:p>
    <w:p>
      <w:pPr>
        <w:pStyle w:val="Heading2"/>
        <w:spacing w:after="160" w:before="240"/>
      </w:pPr>
      <w:r>
        <w:rPr>
          <w:rFonts w:ascii="SimHei" w:cs="SimHei" w:eastAsia="SimHei" w:hAnsi="SimHei"/>
          <w:b/>
          <w:bCs/>
          <w:sz w:val="26"/>
          <w:szCs w:val="26"/>
        </w:rPr>
        <w:t xml:space="preserve">（四）模型设定</w:t>
      </w:r>
    </w:p>
    <w:p>
      <w:pPr>
        <w:spacing w:after="80" w:before="160" w:line="360"/>
      </w:pPr>
      <w:r>
        <w:rPr>
          <w:rFonts w:ascii="SimSun" w:cs="SimSun" w:eastAsia="SimSun" w:hAnsi="SimSun"/>
          <w:b/>
          <w:bCs/>
          <w:sz w:val="24"/>
          <w:szCs w:val="24"/>
        </w:rPr>
        <w:t xml:space="preserve">基准回归模型</w:t>
      </w:r>
    </w:p>
    <w:p>
      <w:pPr>
        <w:spacing w:after="160" w:before="160"/>
        <w:jc w:val="center"/>
      </w:pPr>
      <w:r>
        <w:rPr>
          <w:rFonts w:ascii="Times New Roman" w:cs="Times New Roman" w:eastAsia="Times New Roman" w:hAnsi="Times New Roman"/>
          <w:i/>
          <w:iCs/>
          <w:sz w:val="22"/>
          <w:szCs w:val="22"/>
        </w:rPr>
        <w:t xml:space="preserve">PriceDelay_{i,t} = α + β · DU_{kw,i,t-1} + γ · Controls_{i,t} + μ_i + λ_t + ε_{i,t}</w:t>
      </w:r>
    </w:p>
    <w:p>
      <w:pPr>
        <w:spacing w:after="120" w:line="360"/>
        <w:ind w:firstLine="480"/>
      </w:pPr>
      <w:r>
        <w:rPr>
          <w:rFonts w:ascii="SimSun" w:cs="SimSun" w:eastAsia="SimSun" w:hAnsi="SimSun"/>
          <w:sz w:val="24"/>
          <w:szCs w:val="24"/>
        </w:rPr>
        <w:t xml:space="preserve">其中μ_i为企业固定效应，控制不随时间变化的企业禀赋特征；λ_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pPr>
        <w:spacing w:after="120" w:line="360"/>
        <w:ind w:firstLine="480"/>
      </w:pPr>
      <w:r>
        <w:rPr>
          <w:rFonts w:ascii="SimSun" w:cs="SimSun" w:eastAsia="SimSun" w:hAnsi="SimSun"/>
          <w:sz w:val="24"/>
          <w:szCs w:val="24"/>
        </w:rPr>
        <w:t xml:space="preserve">本文报告两种主要模型规格：模型(1)仅含DU_kw和固定效应，模型(2)加入全部15个控制变量。备选规格采用行业+年份固定效应以检验结论的敏感性。根据H1的理论预期，若信息供给效应占主导，β应显著为负。</w:t>
      </w:r>
    </w:p>
    <w:p>
      <w:pPr>
        <w:spacing w:after="80" w:before="160" w:line="360"/>
      </w:pPr>
      <w:r>
        <w:rPr>
          <w:rFonts w:ascii="SimSun" w:cs="SimSun" w:eastAsia="SimSun" w:hAnsi="SimSun"/>
          <w:b/>
          <w:bCs/>
          <w:sz w:val="24"/>
          <w:szCs w:val="24"/>
        </w:rPr>
        <w:t xml:space="preserve">机制检验</w:t>
      </w:r>
    </w:p>
    <w:p>
      <w:pPr>
        <w:spacing w:after="160" w:before="160"/>
        <w:jc w:val="center"/>
      </w:pPr>
      <w:r>
        <w:rPr>
          <w:rFonts w:ascii="Times New Roman" w:cs="Times New Roman" w:eastAsia="Times New Roman" w:hAnsi="Times New Roman"/>
          <w:i/>
          <w:iCs/>
          <w:sz w:val="22"/>
          <w:szCs w:val="22"/>
        </w:rPr>
        <w:t xml:space="preserve">M_{i,t} = α + β · DU_{kw,i,t-1} + γ · Controls_{i,t} + μ_i + λ_t + ε_{i,t}</w:t>
      </w:r>
    </w:p>
    <w:p>
      <w:pPr>
        <w:spacing w:after="120" w:line="360"/>
        <w:ind w:firstLine="480"/>
      </w:pPr>
      <w:r>
        <w:rPr>
          <w:rFonts w:ascii="SimSun" w:cs="SimSun" w:eastAsia="SimSun" w:hAnsi="SimSun"/>
          <w:sz w:val="24"/>
          <w:szCs w:val="24"/>
        </w:rPr>
        <w:t xml:space="preserve">其中M分别为Analyst、FinAsset和InstHold。本文采用路径系数的直接呈现而非Sobel检验，目的在于确认传导路径的存在性。</w:t>
      </w:r>
    </w:p>
    <w:p>
      <w:pPr>
        <w:spacing w:after="80" w:before="160" w:line="360"/>
      </w:pPr>
      <w:r>
        <w:rPr>
          <w:rFonts w:ascii="SimSun" w:cs="SimSun" w:eastAsia="SimSun" w:hAnsi="SimSun"/>
          <w:b/>
          <w:bCs/>
          <w:sz w:val="24"/>
          <w:szCs w:val="24"/>
        </w:rPr>
        <w:t xml:space="preserve">异质性分析</w:t>
      </w:r>
    </w:p>
    <w:p>
      <w:pPr>
        <w:spacing w:after="120" w:line="360"/>
        <w:ind w:firstLine="480"/>
      </w:pPr>
      <w:r>
        <w:rPr>
          <w:rFonts w:ascii="SimSun" w:cs="SimSun" w:eastAsia="SimSun" w:hAnsi="SimSun"/>
          <w:sz w:val="24"/>
          <w:szCs w:val="24"/>
        </w:rPr>
        <w:t xml:space="preserve">分别按产权性质、分析师覆盖（年度中位数分割）和行业属性（高科技vs传统）进行分组回归，采用Fisher组间差异检验评估系数差异的统计显著性。</w:t>
      </w:r>
    </w:p>
    <w:p>
      <w:r>
        <w:br w:type="page"/>
      </w:r>
    </w:p>
    <w:p>
      <w:pPr>
        <w:pStyle w:val="Heading1"/>
        <w:spacing w:after="240" w:before="360"/>
        <w:jc w:val="center"/>
      </w:pPr>
      <w:r>
        <w:rPr>
          <w:rFonts w:ascii="SimHei" w:cs="SimHei" w:eastAsia="SimHei" w:hAnsi="SimHei"/>
          <w:b/>
          <w:bCs/>
          <w:sz w:val="30"/>
          <w:szCs w:val="30"/>
        </w:rPr>
        <w:t xml:space="preserve">四、实证检验</w:t>
      </w:r>
    </w:p>
    <w:p>
      <w:pPr>
        <w:pStyle w:val="Heading2"/>
        <w:spacing w:after="160" w:before="240"/>
      </w:pPr>
      <w:r>
        <w:rPr>
          <w:rFonts w:ascii="SimHei" w:cs="SimHei" w:eastAsia="SimHei" w:hAnsi="SimHei"/>
          <w:b/>
          <w:bCs/>
          <w:sz w:val="26"/>
          <w:szCs w:val="26"/>
        </w:rPr>
        <w:t xml:space="preserve">（一）描述性统计</w:t>
      </w:r>
    </w:p>
    <w:p>
      <w:pPr>
        <w:spacing w:after="120" w:line="360"/>
        <w:ind w:firstLine="480"/>
      </w:pPr>
      <w:r>
        <w:rPr>
          <w:rFonts w:ascii="SimSun" w:cs="SimSun" w:eastAsia="SimSun" w:hAnsi="SimSun"/>
          <w:sz w:val="24"/>
          <w:szCs w:val="24"/>
        </w:rPr>
        <w:t xml:space="preserve">表1报告了主要变量的描述性统计结果。样本包含38,943个企业-年份观测。股价延迟的均值为0.110、标准差为0.120、中位数为0.068，右偏分布特征表明多数企业的股价信息融入效率较高，而少数企业面临明显的信息反映滞后。数据要素利用指标DU_kw的均值为1.070、标准差为1.695、中位数仅为0.478，分布的极度右偏反映了企业间数据要素利用程度的巨大差异——少数企业已形成高强度的数据利用模式，而多数企业的利用水平仍处于起步阶段。</w:t>
      </w:r>
    </w:p>
    <w:p>
      <w:pPr>
        <w:spacing w:after="120" w:before="240"/>
        <w:jc w:val="center"/>
      </w:pPr>
      <w:r>
        <w:rPr>
          <w:rFonts w:ascii="SimHei" w:cs="SimHei" w:eastAsia="SimHei" w:hAnsi="SimHei"/>
          <w:b/>
          <w:bCs/>
          <w:sz w:val="20"/>
          <w:szCs w:val="20"/>
        </w:rPr>
        <w:t xml:space="preserve">表1 主要变量描述性统计（N=38,943）</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000"/>
        <w:gridCol w:w="1000"/>
        <w:gridCol w:w="1000"/>
        <w:gridCol w:w="1000"/>
      </w:tblGrid>
      <w:tr>
        <w:tc>
          <w:tcPr>
            <w:tcW w:type="dxa" w:w="14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变量</w:t>
            </w:r>
          </w:p>
        </w:tc>
        <w:tc>
          <w:tcPr>
            <w:tcW w:type="dxa" w:w="9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N</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均值</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标准差</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最小值</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中位数</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最大值</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PriceDelay</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0.110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0.120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0.068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0.664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1.070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1.695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0.478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10.06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DU_kw_ln</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1.250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2.398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5.481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Size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22.643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0.972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20.949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22.481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25.667</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Lev</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0.434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0.205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0.055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0.427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0.923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ROA</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0.027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0.068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-0.279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0.031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0.191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TobinQ</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2.027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1.314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0.830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1.604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8.443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Analyst</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2.489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1.739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2.639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5.656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InstHold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38,943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42.081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24.331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0.350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43.372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90.708</w:t>
            </w:r>
          </w:p>
        </w:tc>
      </w:tr>
    </w:tbl>
    <w:p>
      <w:pPr>
        <w:spacing w:after="120" w:line="360"/>
        <w:ind w:firstLine="480"/>
      </w:pPr>
      <w:r>
        <w:rPr>
          <w:rFonts w:ascii="SimSun" w:cs="SimSun" w:eastAsia="SimSun" w:hAnsi="SimSun"/>
          <w:sz w:val="24"/>
          <w:szCs w:val="24"/>
        </w:rPr>
        <w:t xml:space="preserve">DU_kw与PriceDelay的Pearson相关系数为-0.068，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pPr>
        <w:pStyle w:val="Heading2"/>
        <w:spacing w:after="160" w:before="240"/>
      </w:pPr>
      <w:r>
        <w:rPr>
          <w:rFonts w:ascii="SimHei" w:cs="SimHei" w:eastAsia="SimHei" w:hAnsi="SimHei"/>
          <w:b/>
          <w:bCs/>
          <w:sz w:val="26"/>
          <w:szCs w:val="26"/>
        </w:rPr>
        <w:t xml:space="preserve">（二）基准回归结果</w:t>
      </w:r>
    </w:p>
    <w:p>
      <w:pPr>
        <w:spacing w:after="120" w:line="360"/>
        <w:ind w:firstLine="480"/>
      </w:pPr>
      <w:r>
        <w:rPr>
          <w:rFonts w:ascii="SimSun" w:cs="SimSun" w:eastAsia="SimSun" w:hAnsi="SimSun"/>
          <w:sz w:val="24"/>
          <w:szCs w:val="24"/>
        </w:rPr>
        <w:t xml:space="preserve">表2报告了数据要素利用对股价延迟的基准回归结果。模型(1)至(4)采用企业与年份双向固定效应，模型(5)和(6)采用行业与年份双向固定效应。所有模型的标准误均在行业×年份水平上聚类。</w:t>
      </w:r>
    </w:p>
    <w:p>
      <w:pPr>
        <w:spacing w:after="120" w:before="240"/>
        <w:jc w:val="center"/>
      </w:pPr>
      <w:r>
        <w:rPr>
          <w:rFonts w:ascii="SimHei" w:cs="SimHei" w:eastAsia="SimHei" w:hAnsi="SimHei"/>
          <w:b/>
          <w:bCs/>
          <w:sz w:val="20"/>
          <w:szCs w:val="20"/>
        </w:rPr>
        <w:t xml:space="preserve">表2 基准回归结果</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1400"/>
        <w:gridCol w:w="1200"/>
        <w:gridCol w:w="1200"/>
      </w:tblGrid>
      <w:tr>
        <w:tc>
          <w:tcPr>
            <w:tcW w:type="dxa" w:w="7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模型</w:t>
            </w:r>
          </w:p>
        </w:tc>
        <w:tc>
          <w:tcPr>
            <w:tcW w:type="dxa" w:w="16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固定效应</w:t>
            </w:r>
          </w:p>
        </w:tc>
        <w:tc>
          <w:tcPr>
            <w:tcW w:type="dxa" w:w="2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自变量</w:t>
            </w:r>
          </w:p>
        </w:tc>
        <w:tc>
          <w:tcPr>
            <w:tcW w:type="dxa" w:w="14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系数</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t值</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p值</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Firm+Year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-0.00489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-3.08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Firm+Year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DU_kw+Controls</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-0.00364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-2.57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0.011**</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Firm+Year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DU_kw_ln</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-0.00322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-3.13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Firm+Year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DU_sub_ln</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-0.00223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-2.64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0.008***</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(5)</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Ind+Year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-0.00190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-3.21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0.001***</w:t>
            </w:r>
          </w:p>
        </w:tc>
      </w:tr>
      <w:tr>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Ind+Year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DU_kw_ln</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-0.00220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-3.10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w:t>
            </w:r>
          </w:p>
        </w:tc>
      </w:tr>
    </w:tbl>
    <w:p>
      <w:pPr>
        <w:spacing w:after="120" w:line="360"/>
        <w:ind w:firstLine="480"/>
      </w:pPr>
      <w:r>
        <w:rPr>
          <w:rFonts w:ascii="SimSun" w:cs="SimSun" w:eastAsia="SimSun" w:hAnsi="SimSun"/>
          <w:sz w:val="24"/>
          <w:szCs w:val="24"/>
        </w:rPr>
        <w:t xml:space="preserve">模型(1)仅纳入DU_kw和固定效应，系数为-0.00489（t=-3.08），初步确认了数据要素利用对股价延迟的显著负向影响。加入15个控制变量后，模型(2)中DU_kw的系数为-0.00364（t=-2.57，p=0.011），效应有所衰减但仍保持显著。在经济意义上，DU_kw每增加一个标准差（1.695），股价延迟预期下降0.00617，相当于样本均值0.110的5.6%。考虑到股价延迟本身受众多因素同时影响，5.6%的相对降幅在经济上具有不可忽视的实质意义。</w:t>
      </w:r>
    </w:p>
    <w:p>
      <w:pPr>
        <w:spacing w:after="120" w:line="360"/>
        <w:ind w:firstLine="480"/>
      </w:pPr>
      <w:r>
        <w:rPr>
          <w:rFonts w:ascii="SimSun" w:cs="SimSun" w:eastAsia="SimSun" w:hAnsi="SimSun"/>
          <w:sz w:val="24"/>
          <w:szCs w:val="24"/>
        </w:rPr>
        <w:t xml:space="preserve">模型(2)中关键控制变量的系数方向与既有文献一致。分析师覆盖（Analyst）的系数为-0.008（t=-10.45），是最强的控制变量，证实了信息中介在缩短股价延迟中的核心作用。流动性指标（Amihud）的系数为+0.078（t=2.47），表明低流动性股票的信息融入速度更慢。TobinQ的系数显著为正（+0.012，t=8.13），意味着高估值企业的股价延迟反而更高，这可能反映了市场对成长型企业估值不确定性的影响。模型整体拟合度为R²=0.414，组内R²为0.023。</w:t>
      </w:r>
    </w:p>
    <w:p>
      <w:pPr>
        <w:spacing w:after="120" w:line="360"/>
        <w:ind w:firstLine="480"/>
      </w:pPr>
      <w:r>
        <w:rPr>
          <w:rFonts w:ascii="SimSun" w:cs="SimSun" w:eastAsia="SimSun" w:hAnsi="SimSun"/>
          <w:sz w:val="24"/>
          <w:szCs w:val="24"/>
        </w:rPr>
        <w:t xml:space="preserve">模型(3)和(4)分别使用DU_kw的对数变换和实质利用次数的对数变换作为替代指标。两个替代指标的系数均显著为负（DU_kw_ln: -0.00322, t=-3.13; DU_sub_ln: -0.00223, t=-2.64），且显著性水平更高，表明结论对自变量的测度方式具有稳健性。模型(5)和(6)将固定效应替换为行业与年份，DU_kw的系数为-0.00190（t=-3.21），绝对值有所缩小但统计显著性反而增强。这说明数据要素利用的效应在行业间比较中同样稳定，并非仅由企业个体的时不变特征驱动。</w:t>
      </w:r>
    </w:p>
    <w:p>
      <w:pPr>
        <w:spacing w:after="120" w:line="360"/>
        <w:ind w:firstLine="480"/>
      </w:pPr>
      <w:r>
        <w:rPr>
          <w:rFonts w:ascii="SimSun" w:cs="SimSun" w:eastAsia="SimSun" w:hAnsi="SimSun"/>
          <w:sz w:val="24"/>
          <w:szCs w:val="24"/>
        </w:rPr>
        <w:t xml:space="preserve">综合六个模型的结果，数据要素利用与股价延迟之间的负向关系在不同的模型设定、固定效应结构和自变量度量方式下均保持一致。假说H1得到支持：信息供给效应占据主导地位，企业数据要素利用的增加有助于提升资本市场的定价效率。</w:t>
      </w:r>
    </w:p>
    <w:p>
      <w:pPr>
        <w:pStyle w:val="Heading2"/>
        <w:spacing w:after="160" w:before="240"/>
      </w:pPr>
      <w:r>
        <w:rPr>
          <w:rFonts w:ascii="SimHei" w:cs="SimHei" w:eastAsia="SimHei" w:hAnsi="SimHei"/>
          <w:b/>
          <w:bCs/>
          <w:sz w:val="26"/>
          <w:szCs w:val="26"/>
        </w:rPr>
        <w:t xml:space="preserve">（三）内生性处理</w:t>
      </w:r>
    </w:p>
    <w:p>
      <w:pPr>
        <w:spacing w:after="120" w:line="360"/>
        <w:ind w:firstLine="480"/>
      </w:pPr>
      <w:r>
        <w:rPr>
          <w:rFonts w:ascii="SimSun" w:cs="SimSun" w:eastAsia="SimSun" w:hAnsi="SimSun"/>
          <w:sz w:val="24"/>
          <w:szCs w:val="24"/>
        </w:rPr>
        <w:t xml:space="preserve">基准回归中的内生性风险主要来自两个方面：其一，信息环境好的企业可能同时呈现高数据利用和低股价延迟，构成遗漏变量偏差；其二，市场定价效率较高的企业可能更有动力披露数据利用信息，形成反向因果。本节采用工具变量法和Oster稳健性界检验加以处理。</w:t>
      </w:r>
    </w:p>
    <w:p>
      <w:pPr>
        <w:spacing w:after="80" w:before="160" w:line="360"/>
      </w:pPr>
      <w:r>
        <w:rPr>
          <w:rFonts w:ascii="SimSun" w:cs="SimSun" w:eastAsia="SimSun" w:hAnsi="SimSun"/>
          <w:b/>
          <w:bCs/>
          <w:sz w:val="24"/>
          <w:szCs w:val="24"/>
        </w:rPr>
        <w:t xml:space="preserve">工具变量估计</w:t>
      </w:r>
    </w:p>
    <w:p>
      <w:pPr>
        <w:spacing w:after="120" w:line="360"/>
        <w:ind w:firstLine="480"/>
      </w:pPr>
      <w:r>
        <w:rPr>
          <w:rFonts w:ascii="SimSun" w:cs="SimSun" w:eastAsia="SimSun" w:hAnsi="SimSun"/>
          <w:sz w:val="24"/>
          <w:szCs w:val="24"/>
        </w:rPr>
        <w:t xml:space="preserve">本文以省级数字基础设施的前定发展程度作为工具变量（IV1）。该工具变量的逻辑在于：企业所在省份的数字基础设施越发达，其获取和利用数据资源的成本越低、便利性越高，从而促进数据要素利用水平的提升；而省级基础设施的发展轨迹主要由历史和地理因素决定，与单个企业的股价延迟不存在直接的因果关联。</w:t>
      </w:r>
    </w:p>
    <w:p>
      <w:pPr>
        <w:spacing w:after="120" w:line="360"/>
        <w:ind w:firstLine="480"/>
      </w:pPr>
      <w:r>
        <w:rPr>
          <w:rFonts w:ascii="SimSun" w:cs="SimSun" w:eastAsia="SimSun" w:hAnsi="SimSun"/>
          <w:sz w:val="24"/>
          <w:szCs w:val="24"/>
        </w:rPr>
        <w:t xml:space="preserve">一阶段回归的F统计量为92.2，远高于Stock和Yogo（2005）提出的弱工具变量临界值，排除了弱工具变量问题。二阶段回归中DU_kw的系数为-0.0446（t=-2.76，p=0.006），在1%的水平上显著为负。IV估计的系数绝对值约为OLS估计的12.2倍，这一放大效应在工具变量文献中常见，通常反映了LATE（局部平均处理效应）与ATE（平均处理效应）之间的差异：工具变量识别的是受省级基础设施影响的那部分企业的处理效应，而这些企业的边际响应可能高于总体平均。</w:t>
      </w:r>
    </w:p>
    <w:p>
      <w:pPr>
        <w:spacing w:after="120" w:line="360"/>
        <w:ind w:firstLine="480"/>
      </w:pPr>
      <w:r>
        <w:rPr>
          <w:rFonts w:ascii="SimSun" w:cs="SimSun" w:eastAsia="SimSun" w:hAnsi="SimSun"/>
          <w:sz w:val="24"/>
          <w:szCs w:val="24"/>
        </w:rPr>
        <w:t xml:space="preserve">简化型回归（Reduced Form）在两种固定效应设定下均显著（Firm+Year: t=-2.56, p=0.011; Firm+Ind×Year: t=-2.43, p=0.015），进一步验证了工具变量与因变量之间的传导路径。前置期检验（Pre-period test）中，2017年之前工具变量与股价延迟的相关系数接近零（t=0.048，p=0.962），表明在数字经济政策全面推行之前，省级数字基础设施并不影响企业的股价延迟，满足前置平行趋势假设。</w:t>
      </w:r>
    </w:p>
    <w:p>
      <w:pPr>
        <w:spacing w:after="120" w:line="360"/>
        <w:ind w:firstLine="480"/>
      </w:pPr>
      <w:r>
        <w:rPr>
          <w:rFonts w:ascii="SimSun" w:cs="SimSun" w:eastAsia="SimSun" w:hAnsi="SimSun"/>
          <w:sz w:val="24"/>
          <w:szCs w:val="24"/>
        </w:rPr>
        <w:t xml:space="preserve">本文同时检验了两个工具变量联合使用的过度识别情况。Hansen J统计量为21.437（p&lt;0.001），拒绝了联合外生性假设，这可能反映了IV2（同省跨行业同龄企业平均数据利用）通过信息溢出等渠道对股价延迟产生了独立于企业自身数据利用之外的影响。鉴于此，本文以更为保守的单一工具变量IV1作为主要因果估计，双工具结果列示于附表以供参考。当使用两个工具变量时，样本量降至29,288个观测，较基准样本减少约24%，主要因为IV2的构造需要每个省-行业-年份组合至少包含一定数量的同龄企业观测。</w:t>
      </w:r>
    </w:p>
    <w:p>
      <w:pPr>
        <w:spacing w:after="80" w:before="160" w:line="360"/>
      </w:pPr>
      <w:r>
        <w:rPr>
          <w:rFonts w:ascii="SimSun" w:cs="SimSun" w:eastAsia="SimSun" w:hAnsi="SimSun"/>
          <w:b/>
          <w:bCs/>
          <w:sz w:val="24"/>
          <w:szCs w:val="24"/>
        </w:rPr>
        <w:t xml:space="preserve">Oster稳健性界检验</w:t>
      </w:r>
    </w:p>
    <w:p>
      <w:pPr>
        <w:spacing w:after="120" w:line="360"/>
        <w:ind w:firstLine="480"/>
      </w:pPr>
      <w:r>
        <w:rPr>
          <w:rFonts w:ascii="SimSun" w:cs="SimSun" w:eastAsia="SimSun" w:hAnsi="SimSun"/>
          <w:sz w:val="24"/>
          <w:szCs w:val="24"/>
        </w:rPr>
        <w:t xml:space="preserve">作为工具变量估计的补充证据，本文采用Oster（2019）提出的δ界检验方法评估遗漏变量的潜在影响。该方法假定遗漏变量与已纳入控制变量对因变量的影响具有可比的比例关系，在此假定下计算使估计系数降为零所需的遗漏变量相对重要性。在企业与年份固定效应设定下，δ*=9.03；在企业与行业×年份固定效应设定下，δ*=3.65。两个δ*均超过Oster建议的经验临界值1。需要指出的是，δ界检验依赖于遗漏变量与已控制变量之间比例关系的不可检验假定，因此本文将其作为辅助性证据，而非独立的因果识别策略。综合工具变量估计和δ界检验的结果，基准回归中数据要素利用对股价延迟的负向效应具有合理的因果解释基础。</w:t>
      </w:r>
    </w:p>
    <w:p>
      <w:pPr>
        <w:pStyle w:val="Heading2"/>
        <w:spacing w:after="160" w:before="240"/>
      </w:pPr>
      <w:r>
        <w:rPr>
          <w:rFonts w:ascii="SimHei" w:cs="SimHei" w:eastAsia="SimHei" w:hAnsi="SimHei"/>
          <w:b/>
          <w:bCs/>
          <w:sz w:val="26"/>
          <w:szCs w:val="26"/>
        </w:rPr>
        <w:t xml:space="preserve">（四）投资组合检验</w:t>
      </w:r>
    </w:p>
    <w:p>
      <w:pPr>
        <w:spacing w:after="120" w:line="360"/>
        <w:ind w:firstLine="480"/>
      </w:pPr>
      <w:r>
        <w:rPr>
          <w:rFonts w:ascii="SimSun" w:cs="SimSun" w:eastAsia="SimSun" w:hAnsi="SimSun"/>
          <w:sz w:val="24"/>
          <w:szCs w:val="24"/>
        </w:rPr>
        <w:t xml:space="preserve">基准回归和工具变量估计从面板数据角度提供了数据要素利用影响定价效率的证据。本节进一步从资产定价的角度，通过构造投资组合直接检验数据要素利用是否与股票收益率的异常模式相关。</w:t>
      </w:r>
    </w:p>
    <w:p>
      <w:pPr>
        <w:spacing w:after="120" w:line="360"/>
        <w:ind w:firstLine="480"/>
      </w:pPr>
      <w:r>
        <w:rPr>
          <w:rFonts w:ascii="SimSun" w:cs="SimSun" w:eastAsia="SimSun" w:hAnsi="SimSun"/>
          <w:sz w:val="24"/>
          <w:szCs w:val="24"/>
        </w:rPr>
        <w:t xml:space="preserve">具体而言，每年6月末根据DU_kw的大小将样本企业等分为五组（Q1为最低组，Q5为最高组），从当年7月持有至次年6月，计算各组合的月度超额收益率。在此基础上，使用CAPM、Fama-French三因子模型（FF3）和五因子加动量模型（FF5+MOM）估计各组合的异常收益率α。样本期间共计156个月。</w:t>
      </w:r>
    </w:p>
    <w:p>
      <w:pPr>
        <w:spacing w:after="120" w:before="240"/>
        <w:jc w:val="center"/>
      </w:pPr>
      <w:r>
        <w:rPr>
          <w:rFonts w:ascii="SimHei" w:cs="SimHei" w:eastAsia="SimHei" w:hAnsi="SimHei"/>
          <w:b/>
          <w:bCs/>
          <w:sz w:val="20"/>
          <w:szCs w:val="20"/>
        </w:rPr>
        <w:t xml:space="preserve">表3 投资组合月度异常收益（156个月）</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500"/>
      </w:tblGrid>
      <w:tr>
        <w:tc>
          <w:tcPr>
            <w:tcW w:type="dxa" w:w="16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组合</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CAPM α</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FF3 α</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FF5+MOM α</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Q1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+0.25% (t=0.81)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-0.29% (t=-2.08**)</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-0.64% (t=-3.81***)</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Q2</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+0.27% (t=0.84)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-0.17% (t=-1.58)</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-0.55% (t=-3.64***)</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Q3</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+0.37% (t=1.16)</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-0.04% (t=-0.43)</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-0.44% (t=-3.40***)</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Q4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+0.45% (t=1.23)</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+0.08% (t=0.81)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-0.33% (t=-2.31**)</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Q5</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+0.54% (t=1.04)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+0.09% (t=0.38)</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-0.41% (t=-1.60)</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DAT(Q5-Q1)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+0.29% (t=0.77)</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+0.37% (t=1.17)</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+0.23% (t=0.71)</w:t>
            </w:r>
          </w:p>
        </w:tc>
      </w:tr>
    </w:tbl>
    <w:p>
      <w:pPr>
        <w:spacing w:after="120" w:line="360"/>
        <w:ind w:firstLine="480"/>
      </w:pPr>
      <w:r>
        <w:rPr>
          <w:rFonts w:ascii="SimSun" w:cs="SimSun" w:eastAsia="SimSun" w:hAnsi="SimSun"/>
          <w:sz w:val="24"/>
          <w:szCs w:val="24"/>
        </w:rPr>
        <w:t xml:space="preserve">投资组合检验揭示了一个重要的非对称定价模式。在FF3模型下，Q1组合的月度α为-0.29%（t=-2.08，p=0.039），在5%的水平上显著为负。考虑到五组合同时检验可能存在的多重比较问题，该结果需要审慎解读。在FF5+MOM模型下，Q1的α进一步扩大至-0.64%（t=-3.81），在1%的水平上高度显著，为上述发现提供了更强的统计支撑。两个模型的结果共同表明，即便控制了市场风险、规模、价值、盈利能力、投资倾向和动量等已知定价因子，数据要素利用最低的企业仍然系统性地承受了负异常收益。</w:t>
      </w:r>
    </w:p>
    <w:p>
      <w:pPr>
        <w:spacing w:after="120" w:line="360"/>
        <w:ind w:firstLine="480"/>
      </w:pPr>
      <w:r>
        <w:rPr>
          <w:rFonts w:ascii="SimSun" w:cs="SimSun" w:eastAsia="SimSun" w:hAnsi="SimSun"/>
          <w:sz w:val="24"/>
          <w:szCs w:val="24"/>
        </w:rPr>
        <w:t xml:space="preserve">相比之下，Q5组合（数据要素利用最高）在FF3模型下的α为+0.09%（t=0.38），在统计上不显著。这一非对称性具有清晰的经济含义：定价偏差主要体现在低数据利用企业的价值折扣上，而非高数据利用企业的估值溢价。换言之，市场对数据要素利用不足的企业存在系统性的信息模糊定价折扣，而充分利用数据要素的企业其信息环境的改善使之回归至合理估值水平。</w:t>
      </w:r>
    </w:p>
    <w:p>
      <w:pPr>
        <w:spacing w:after="120" w:line="360"/>
        <w:ind w:firstLine="480"/>
      </w:pPr>
      <w:r>
        <w:rPr>
          <w:rFonts w:ascii="SimSun" w:cs="SimSun" w:eastAsia="SimSun" w:hAnsi="SimSun"/>
          <w:sz w:val="24"/>
          <w:szCs w:val="24"/>
        </w:rPr>
        <w:t xml:space="preserve">基于Q5-Q1构造的数据资产因子（DAT）在FF3模型下的月度收益率为0.37%（t=1.17），未达到统计显著水平。这一结果反映了非对称定价的自然推论：市场对低数据利用企业的折价明显，但对高数据利用企业的溢价有限。数据要素利用的改善主要体现为信息模糊风险折扣的消解，而非创造正向超额收益因子。</w:t>
      </w:r>
    </w:p>
    <w:p>
      <w:pPr>
        <w:spacing w:after="120" w:line="360"/>
        <w:ind w:firstLine="480"/>
      </w:pPr>
      <w:r>
        <w:rPr>
          <w:rFonts w:ascii="SimSun" w:cs="SimSun" w:eastAsia="SimSun" w:hAnsi="SimSun"/>
          <w:sz w:val="24"/>
          <w:szCs w:val="24"/>
        </w:rPr>
        <w:t xml:space="preserve">投资组合检验从资产定价的独立视角印证了基准回归的结论：数据要素利用程度较低的企业面临更为严重的信息融入障碍，市场在为这些企业定价时表现出系统性的低效。</w:t>
      </w:r>
    </w:p>
    <w:p>
      <w:r>
        <w:br w:type="page"/>
      </w:r>
    </w:p>
    <w:p>
      <w:pPr>
        <w:pStyle w:val="Heading1"/>
        <w:spacing w:after="240" w:before="360"/>
        <w:jc w:val="center"/>
      </w:pPr>
      <w:r>
        <w:rPr>
          <w:rFonts w:ascii="SimHei" w:cs="SimHei" w:eastAsia="SimHei" w:hAnsi="SimHei"/>
          <w:b/>
          <w:bCs/>
          <w:sz w:val="30"/>
          <w:szCs w:val="30"/>
        </w:rPr>
        <w:t xml:space="preserve">五、机制分析</w:t>
      </w:r>
    </w:p>
    <w:p>
      <w:pPr>
        <w:spacing w:after="120" w:line="360"/>
        <w:ind w:firstLine="480"/>
      </w:pPr>
      <w:r>
        <w:rPr>
          <w:rFonts w:ascii="SimSun" w:cs="SimSun" w:eastAsia="SimSun" w:hAnsi="SimSun"/>
          <w:sz w:val="24"/>
          <w:szCs w:val="24"/>
        </w:rPr>
        <w:t xml:space="preserve">基准回归确认了数据要素利用对股价延迟的显著负向影响，但这一总效应背后的信息传导路径仍有待厘清。数据要素利用信息从企业年报向股票价格的转化，必须经由市场信息中介和资本配置者的处理与响应。本节通过检验三条潜在的传导渠道，深入刻画信息供给效应的微观机制。</w:t>
      </w:r>
    </w:p>
    <w:p>
      <w:pPr>
        <w:spacing w:after="120" w:line="360"/>
        <w:ind w:firstLine="480"/>
      </w:pPr>
      <w:r>
        <w:rPr>
          <w:rFonts w:ascii="SimSun" w:cs="SimSun" w:eastAsia="SimSun" w:hAnsi="SimSun"/>
          <w:sz w:val="24"/>
          <w:szCs w:val="24"/>
        </w:rPr>
        <w:t xml:space="preserve">机制检验的模型设定为：以中介变量M为因变量，DU_kw_{i,t-1}及控制变量为自变量，保持企业+年份固定效应与行业×年份聚类标准误。本文采用路径系数的直接呈现来识别传导渠道的存在性，而非传统的Sobel检验或Bootstrap分解，原因在于本文的因果识别主要依赖固定效应设计，机制分析的目的在于确认关键信息传导路径是否存在，而非精确量化间接效应比例。</w:t>
      </w:r>
    </w:p>
    <w:p>
      <w:pPr>
        <w:pStyle w:val="Heading2"/>
        <w:spacing w:after="160" w:before="240"/>
      </w:pPr>
      <w:r>
        <w:rPr>
          <w:rFonts w:ascii="SimHei" w:cs="SimHei" w:eastAsia="SimHei" w:hAnsi="SimHei"/>
          <w:b/>
          <w:bCs/>
          <w:sz w:val="26"/>
          <w:szCs w:val="26"/>
        </w:rPr>
        <w:t xml:space="preserve">（一）分析师信息中介渠道</w:t>
      </w:r>
    </w:p>
    <w:p>
      <w:pPr>
        <w:spacing w:after="120" w:line="360"/>
        <w:ind w:firstLine="480"/>
      </w:pPr>
      <w:r>
        <w:rPr>
          <w:rFonts w:ascii="SimSun" w:cs="SimSun" w:eastAsia="SimSun" w:hAnsi="SimSun"/>
          <w:sz w:val="24"/>
          <w:szCs w:val="24"/>
        </w:rPr>
        <w:t xml:space="preserve">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w:t>
      </w:r>
    </w:p>
    <w:p>
      <w:pPr>
        <w:spacing w:after="120" w:line="360"/>
        <w:ind w:firstLine="480"/>
      </w:pPr>
      <w:r>
        <w:rPr>
          <w:rFonts w:ascii="SimSun" w:cs="SimSun" w:eastAsia="SimSun" w:hAnsi="SimSun"/>
          <w:sz w:val="24"/>
          <w:szCs w:val="24"/>
        </w:rPr>
        <w:t xml:space="preserve">检验结果显示，DU_kw对分析师覆盖（取对数）的系数为+0.0363（t=3.94，p&lt;0.001），在1%的水平上高度显著。这表明数据要素利用确实吸引了分析师的主动跟踪，验证了H2a的预期。分析师覆盖的增加构成了数据要素利用信息向定价效率传导的核心中介渠道。</w:t>
      </w:r>
    </w:p>
    <w:p>
      <w:pPr>
        <w:pStyle w:val="Heading2"/>
        <w:spacing w:after="160" w:before="240"/>
      </w:pPr>
      <w:r>
        <w:rPr>
          <w:rFonts w:ascii="SimHei" w:cs="SimHei" w:eastAsia="SimHei" w:hAnsi="SimHei"/>
          <w:b/>
          <w:bCs/>
          <w:sz w:val="26"/>
          <w:szCs w:val="26"/>
        </w:rPr>
        <w:t xml:space="preserve">（二）金融资产配置渠道</w:t>
      </w:r>
    </w:p>
    <w:p>
      <w:pPr>
        <w:spacing w:after="120" w:line="360"/>
        <w:ind w:firstLine="480"/>
      </w:pPr>
      <w:r>
        <w:rPr>
          <w:rFonts w:ascii="SimSun" w:cs="SimSun" w:eastAsia="SimSun" w:hAnsi="SimSun"/>
          <w:sz w:val="24"/>
          <w:szCs w:val="24"/>
        </w:rPr>
        <w:t xml:space="preserve">数据驱动的商业能力在企业的财务行为中同样有所体现。具备较强数据利用能力的企业，在风险评估和资产选择上拥有信息优势，其金融资产配置决策的变化——无论是对流动性工具的偏好还是对短期与长期资产的权衡——都会在财务报表中得到呈现，向市场传递关于企业经营能力和风险管理水平的隐含信号（朱康和汤甬，2025）。</w:t>
      </w:r>
    </w:p>
    <w:p>
      <w:pPr>
        <w:spacing w:after="120" w:line="360"/>
        <w:ind w:firstLine="480"/>
      </w:pPr>
      <w:r>
        <w:rPr>
          <w:rFonts w:ascii="SimSun" w:cs="SimSun" w:eastAsia="SimSun" w:hAnsi="SimSun"/>
          <w:sz w:val="24"/>
          <w:szCs w:val="24"/>
        </w:rPr>
        <w:t xml:space="preserve">DU_kw对金融资产占比（FinAsset）的系数为+0.00119（t=2.71，p=0.007），在1%的水平上显著为正。虽然经济规模相对温和（DU_kw每增加1个标准差对应金融资产占比上升0.12个百分点），但其统计显著性确认了金融资产配置渠道的存在性。企业数据利用能力的提升通过可观测的资产配置变化实现了信号化传递。</w:t>
      </w:r>
    </w:p>
    <w:p>
      <w:pPr>
        <w:pStyle w:val="Heading2"/>
        <w:spacing w:after="160" w:before="240"/>
      </w:pPr>
      <w:r>
        <w:rPr>
          <w:rFonts w:ascii="SimHei" w:cs="SimHei" w:eastAsia="SimHei" w:hAnsi="SimHei"/>
          <w:b/>
          <w:bCs/>
          <w:sz w:val="26"/>
          <w:szCs w:val="26"/>
        </w:rPr>
        <w:t xml:space="preserve">（三）机构投资者持股渠道</w:t>
      </w:r>
    </w:p>
    <w:p>
      <w:pPr>
        <w:spacing w:after="120" w:line="360"/>
        <w:ind w:firstLine="480"/>
      </w:pPr>
      <w:r>
        <w:rPr>
          <w:rFonts w:ascii="SimSun" w:cs="SimSun" w:eastAsia="SimSun" w:hAnsi="SimSun"/>
          <w:sz w:val="24"/>
          <w:szCs w:val="24"/>
        </w:rPr>
        <w:t xml:space="preserve">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w:t>
      </w:r>
    </w:p>
    <w:p>
      <w:pPr>
        <w:spacing w:after="120" w:line="360"/>
        <w:ind w:firstLine="480"/>
      </w:pPr>
      <w:r>
        <w:rPr>
          <w:rFonts w:ascii="SimSun" w:cs="SimSun" w:eastAsia="SimSun" w:hAnsi="SimSun"/>
          <w:sz w:val="24"/>
          <w:szCs w:val="24"/>
        </w:rPr>
        <w:t xml:space="preserve">实证结果揭示了一个需要审慎解读的现象：DU_kw对机构投资者持股比例（InstHold）的系数为-0.234（t=-2.73，p=0.007），显著为负。这一负向系数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p>
      <w:pPr>
        <w:spacing w:after="120" w:before="240"/>
        <w:jc w:val="center"/>
      </w:pPr>
      <w:r>
        <w:rPr>
          <w:rFonts w:ascii="SimHei" w:cs="SimHei" w:eastAsia="SimHei" w:hAnsi="SimHei"/>
          <w:b/>
          <w:bCs/>
          <w:sz w:val="20"/>
          <w:szCs w:val="20"/>
        </w:rPr>
        <w:t xml:space="preserve">表4 机制检验结果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00"/>
      </w:tblGrid>
      <w:tr>
        <w:tc>
          <w:tcPr>
            <w:tcW w:type="dxa" w:w="18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因变量</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Analyst</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FinAsset</w:t>
            </w:r>
          </w:p>
        </w:tc>
        <w:tc>
          <w:tcPr>
            <w:tcW w:type="dxa" w:w="2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InstHold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DU_kw系数</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+0.0363***</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+0.00119***</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-0.234***</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t值</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3.94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2.71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-2.73</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p值</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&lt;0.001</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0.007</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0.007</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N</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38,614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38,614</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38,614</w:t>
            </w:r>
          </w:p>
        </w:tc>
      </w:tr>
    </w:tbl>
    <w:p>
      <w:pPr>
        <w:spacing w:after="120" w:line="360"/>
        <w:ind w:firstLine="480"/>
      </w:pPr>
      <w:r>
        <w:rPr>
          <w:rFonts w:ascii="SimSun" w:cs="SimSun" w:eastAsia="SimSun" w:hAnsi="SimSun"/>
          <w:sz w:val="24"/>
          <w:szCs w:val="24"/>
        </w:rPr>
        <w:t xml:space="preserve">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r>
        <w:br w:type="page"/>
      </w:r>
    </w:p>
    <w:p>
      <w:pPr>
        <w:pStyle w:val="Heading1"/>
        <w:spacing w:after="240" w:before="360"/>
        <w:jc w:val="center"/>
      </w:pPr>
      <w:r>
        <w:rPr>
          <w:rFonts w:ascii="SimHei" w:cs="SimHei" w:eastAsia="SimHei" w:hAnsi="SimHei"/>
          <w:b/>
          <w:bCs/>
          <w:sz w:val="30"/>
          <w:szCs w:val="30"/>
        </w:rPr>
        <w:t xml:space="preserve">六、异质性分析</w:t>
      </w:r>
    </w:p>
    <w:p>
      <w:pPr>
        <w:spacing w:after="120" w:line="360"/>
        <w:ind w:firstLine="480"/>
      </w:pPr>
      <w:r>
        <w:rPr>
          <w:rFonts w:ascii="SimSun" w:cs="SimSun" w:eastAsia="SimSun" w:hAnsi="SimSun"/>
          <w:sz w:val="24"/>
          <w:szCs w:val="24"/>
        </w:rPr>
        <w:t xml:space="preserve">本节在不同企业特征的子样本上进行分组回归，检验数据要素利用对股价延迟的影响是否存在异质性。异质性分析的目的在于理清作用机制的相对重要程度，以及数据要素利用的定价效应在不同信息环境下的表现差异。</w:t>
      </w:r>
    </w:p>
    <w:p>
      <w:pPr>
        <w:pStyle w:val="Heading2"/>
        <w:spacing w:after="160" w:before="240"/>
      </w:pPr>
      <w:r>
        <w:rPr>
          <w:rFonts w:ascii="SimHei" w:cs="SimHei" w:eastAsia="SimHei" w:hAnsi="SimHei"/>
          <w:b/>
          <w:bCs/>
          <w:sz w:val="26"/>
          <w:szCs w:val="26"/>
        </w:rPr>
        <w:t xml:space="preserve">（一）产权性质的调节角色</w:t>
      </w:r>
    </w:p>
    <w:p>
      <w:pPr>
        <w:spacing w:after="120" w:line="360"/>
        <w:ind w:firstLine="480"/>
      </w:pPr>
      <w:r>
        <w:rPr>
          <w:rFonts w:ascii="SimSun" w:cs="SimSun" w:eastAsia="SimSun" w:hAnsi="SimSun"/>
          <w:sz w:val="24"/>
          <w:szCs w:val="24"/>
        </w:rPr>
        <w:t xml:space="preserve">国有企业与民营企业在信息披露的可信度上存在本质差异。国有企业受到更严格的监管约束和社会责任监督，其披露的财务数据和非财务信息通常被市场视为更具权威性。当国有企业在年报中披露数据要素利用时，分析师和投资者对这类信息的信任程度更高，信息模糊风险相对较低，信息供给效应因此被放大。</w:t>
      </w:r>
    </w:p>
    <w:p>
      <w:pPr>
        <w:spacing w:after="120" w:line="360"/>
        <w:ind w:firstLine="480"/>
      </w:pPr>
      <w:r>
        <w:rPr>
          <w:rFonts w:ascii="SimSun" w:cs="SimSun" w:eastAsia="SimSun" w:hAnsi="SimSun"/>
          <w:sz w:val="24"/>
          <w:szCs w:val="24"/>
        </w:rPr>
        <w:t xml:space="preserve">分组回归结果如表5所示。在国有企业样本中，DU_kw的系数为-0.00543（t=-2.30，p=0.022），达到5%的显著性水平。在民营企业样本中，系数为-0.00286（t=-2.37，p=0.018），也显著但绝对值略小。两个子样本的系数比值约为1.9:1，表明国有企业的效应强度高于民营企业。Fisher交叉组检验的z统计量为-0.97，p值为0.33，表明两个系数之间的差异在统计上不显著。从经济意义的角度，产权性质调节定价效率改善的强弱程度，但不改变数据要素利用的基本方向和显著性。</w:t>
      </w:r>
    </w:p>
    <w:p>
      <w:pPr>
        <w:pStyle w:val="Heading2"/>
        <w:spacing w:after="160" w:before="240"/>
      </w:pPr>
      <w:r>
        <w:rPr>
          <w:rFonts w:ascii="SimHei" w:cs="SimHei" w:eastAsia="SimHei" w:hAnsi="SimHei"/>
          <w:b/>
          <w:bCs/>
          <w:sz w:val="26"/>
          <w:szCs w:val="26"/>
        </w:rPr>
        <w:t xml:space="preserve">（二）信息中介活跃度的决定性角色</w:t>
      </w:r>
    </w:p>
    <w:p>
      <w:pPr>
        <w:spacing w:after="120" w:line="360"/>
        <w:ind w:firstLine="480"/>
      </w:pPr>
      <w:r>
        <w:rPr>
          <w:rFonts w:ascii="SimSun" w:cs="SimSun" w:eastAsia="SimSun" w:hAnsi="SimSun"/>
          <w:sz w:val="24"/>
          <w:szCs w:val="24"/>
        </w:rPr>
        <w:t xml:space="preserve">分析师覆盖是最重要的信息中介机制。高分析师覆盖意味着企业面临更密集的外部关注，分析师的独立研究和预测发表会加速市场信息融入的速度。当高覆盖企业披露数据要素利用信息时，分析师群体会立即将这一信息纳入其研究框架，转化为覆盖报告，进而传导到投资者决策。</w:t>
      </w:r>
    </w:p>
    <w:p>
      <w:pPr>
        <w:spacing w:after="120" w:line="360"/>
        <w:ind w:firstLine="480"/>
      </w:pPr>
      <w:r>
        <w:rPr>
          <w:rFonts w:ascii="SimSun" w:cs="SimSun" w:eastAsia="SimSun" w:hAnsi="SimSun"/>
          <w:sz w:val="24"/>
          <w:szCs w:val="24"/>
        </w:rPr>
        <w:t xml:space="preserve">高分析师覆盖企业的样本中，DU_kw的系数为-0.00461（t=-4.09，p&lt;0.001），在1%水平上高度显著。这是异质性分析中最强的一组效应，t值的绝对值达到4.09，远超基准回归的统计强度。低分析师覆盖企业样本中，系数仅为-0.00243（t=-1.28，p=0.203），未达到常规的5%显著性水平。两个系数的比值约为1.9:1，更为重要的是，低覆盖组的效应从统计上看已经消失。</w:t>
      </w:r>
    </w:p>
    <w:p>
      <w:pPr>
        <w:spacing w:after="120" w:line="360"/>
        <w:ind w:firstLine="480"/>
      </w:pPr>
      <w:r>
        <w:rPr>
          <w:rFonts w:ascii="SimSun" w:cs="SimSun" w:eastAsia="SimSun" w:hAnsi="SimSun"/>
          <w:sz w:val="24"/>
          <w:szCs w:val="24"/>
        </w:rPr>
        <w:t xml:space="preserve">这一强烈的异质性模式提供了关键的机制证据。高分析师覆盖企业中数据要素利用的显著效应，与机制分析中分析师传导渠道的显著系数相互印证，形成了内外一致的逻辑闭环：数据披露之所以改善定价效率，在很大程度上是因为分析师将这些信息有效地中介给了市场。低分析师覆盖组中效应的消失，进一步说明数据的信息特性需要市场中介的激活才能转化为定价影响。</w:t>
      </w:r>
    </w:p>
    <w:p>
      <w:pPr>
        <w:pStyle w:val="Heading2"/>
        <w:spacing w:after="160" w:before="240"/>
      </w:pPr>
      <w:r>
        <w:rPr>
          <w:rFonts w:ascii="SimHei" w:cs="SimHei" w:eastAsia="SimHei" w:hAnsi="SimHei"/>
          <w:b/>
          <w:bCs/>
          <w:sz w:val="26"/>
          <w:szCs w:val="26"/>
        </w:rPr>
        <w:t xml:space="preserve">（三）行业属性的跨界一致性</w:t>
      </w:r>
    </w:p>
    <w:p>
      <w:pPr>
        <w:spacing w:after="120" w:line="360"/>
        <w:ind w:firstLine="480"/>
      </w:pPr>
      <w:r>
        <w:rPr>
          <w:rFonts w:ascii="SimSun" w:cs="SimSun" w:eastAsia="SimSun" w:hAnsi="SimSun"/>
          <w:sz w:val="24"/>
          <w:szCs w:val="24"/>
        </w:rPr>
        <w:t xml:space="preserve">高科技行业样本中，DU_kw的系数为-0.00398（t=-2.96，p=0.005），在1%水平上显著。传统行业样本中，系数为-0.00382（t=-2.06，p=0.040），在5%水平上显著。两个系数的绝对值极为接近，Fisher检验的z值为-0.07，p值为0.95，意味着两个系数完全没有统计显著的差异。这一结果有力地表明，数据要素利用的定价效应并非高科技行业的专利，而是具有普遍的跨行业效应。</w:t>
      </w:r>
    </w:p>
    <w:p>
      <w:pPr>
        <w:spacing w:after="120" w:before="240"/>
        <w:jc w:val="center"/>
      </w:pPr>
      <w:r>
        <w:rPr>
          <w:rFonts w:ascii="SimHei" w:cs="SimHei" w:eastAsia="SimHei" w:hAnsi="SimHei"/>
          <w:b/>
          <w:bCs/>
          <w:sz w:val="20"/>
          <w:szCs w:val="20"/>
        </w:rPr>
        <w:t xml:space="preserve">表5 异质性分析汇总</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200"/>
        <w:gridCol w:w="1000"/>
      </w:tblGrid>
      <w:tr>
        <w:tc>
          <w:tcPr>
            <w:tcW w:type="dxa" w:w="2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子样本</w:t>
            </w:r>
          </w:p>
        </w:tc>
        <w:tc>
          <w:tcPr>
            <w:tcW w:type="dxa" w:w="14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系数</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t值</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p值</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N</w:t>
            </w:r>
          </w:p>
        </w:tc>
        <w:tc>
          <w:tcPr>
            <w:tcW w:type="dxa" w:w="10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显著性</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国有企业</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-0.00543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-2.30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0.022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13,162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民营企业</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-0.00286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-2.37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25,378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Fisher检验</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z=-0.97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0.333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n.s.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高分析师覆盖</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-0.00461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-4.09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&lt;0.001</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19,368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低分析师覆盖</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-0.00243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-1.28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0.203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18,728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n.s.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Fisher检验</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z=-0.99</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0.324</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n.s.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高科技行业</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-0.00398</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-2.96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8,074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传统行业</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-0.00382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-2.06</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0.040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30,278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Fisher检验</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z=-0.07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0.947</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n.s.</w:t>
            </w:r>
          </w:p>
        </w:tc>
      </w:tr>
    </w:tbl>
    <w:p>
      <w:pPr>
        <w:spacing w:after="120" w:line="360"/>
        <w:ind w:firstLine="480"/>
      </w:pPr>
      <w:r>
        <w:rPr>
          <w:rFonts w:ascii="SimSun" w:cs="SimSun" w:eastAsia="SimSun" w:hAnsi="SimSun"/>
          <w:sz w:val="24"/>
          <w:szCs w:val="24"/>
        </w:rPr>
        <w:t xml:space="preserve">综合三个异质性维度的结果，本文的核心发现在分组回归中保持稳健。其中，信息中介活跃度呈现出最清晰的二分异质性——在高覆盖组中显著、在低覆盖组中不显著，这与机制分析中分析师变量的显著系数形成了强烈的对应关系，深化了对信息供给效应的理解。产权性质和行业属性维度虽然组间差异在统计上不显著，但均呈现了一致的负向效应，表明数据要素利用对定价效率的改善具有跨产权类型和跨行业的普遍性。</w:t>
      </w:r>
    </w:p>
    <w:p>
      <w:r>
        <w:br w:type="page"/>
      </w:r>
    </w:p>
    <w:p>
      <w:pPr>
        <w:pStyle w:val="Heading1"/>
        <w:spacing w:after="240" w:before="360"/>
        <w:jc w:val="center"/>
      </w:pPr>
      <w:r>
        <w:rPr>
          <w:rFonts w:ascii="SimHei" w:cs="SimHei" w:eastAsia="SimHei" w:hAnsi="SimHei"/>
          <w:b/>
          <w:bCs/>
          <w:sz w:val="30"/>
          <w:szCs w:val="30"/>
        </w:rPr>
        <w:t xml:space="preserve">七、稳健性检验</w:t>
      </w:r>
    </w:p>
    <w:p>
      <w:pPr>
        <w:spacing w:after="120" w:line="360"/>
        <w:ind w:firstLine="480"/>
      </w:pPr>
      <w:r>
        <w:rPr>
          <w:rFonts w:ascii="SimSun" w:cs="SimSun" w:eastAsia="SimSun" w:hAnsi="SimSun"/>
          <w:sz w:val="24"/>
          <w:szCs w:val="24"/>
        </w:rPr>
        <w:t xml:space="preserve">为确保基准回归结论的可靠性，本文从替换因变量、替换自变量、倾向得分匹配和子样本检验四个维度进行稳健性检验，结果汇总于表6。</w:t>
      </w:r>
    </w:p>
    <w:p>
      <w:pPr>
        <w:spacing w:after="120" w:line="360"/>
        <w:ind w:firstLine="480"/>
      </w:pPr>
      <w:r>
        <w:rPr>
          <w:rFonts w:ascii="SimSun" w:cs="SimSun" w:eastAsia="SimSun" w:hAnsi="SimSun"/>
          <w:sz w:val="24"/>
          <w:szCs w:val="24"/>
        </w:rPr>
        <w:t xml:space="preserve">首先，以股价同步性（SYNCH）替代股价延迟作为定价效率的度量指标。在企业与年份固定效应设定下，DU_kw对SYNCH的系数为+0.011（t=1.65，p=0.099），边际显著为正；使用对数变换的DU_kw_ln后，系数为+0.015（t=2.45，p=0.015），达到5%的显著水平；在行业与年份固定效应下同样显著为正（t=2.32）。正向系数表明数据要素利用提高了企业特质信息向价格的融入程度，与基准回归的经济含义一致。</w:t>
      </w:r>
    </w:p>
    <w:p>
      <w:pPr>
        <w:spacing w:after="120" w:line="360"/>
        <w:ind w:firstLine="480"/>
      </w:pPr>
      <w:r>
        <w:rPr>
          <w:rFonts w:ascii="SimSun" w:cs="SimSun" w:eastAsia="SimSun" w:hAnsi="SimSun"/>
          <w:sz w:val="24"/>
          <w:szCs w:val="24"/>
        </w:rPr>
        <w:t xml:space="preserve">其次，将主要自变量分别替换为对数变换指标DU_kw_ln和实质利用指标DU_sub_ln，系数分别为-0.00322（t=-3.13）和-0.00223（t=-2.64），均在1%的水平上显著为负，排除了结论对特定测度方式的依赖。</w:t>
      </w:r>
    </w:p>
    <w:p>
      <w:pPr>
        <w:spacing w:after="120" w:line="360"/>
        <w:ind w:firstLine="480"/>
      </w:pPr>
      <w:r>
        <w:rPr>
          <w:rFonts w:ascii="SimSun" w:cs="SimSun" w:eastAsia="SimSun" w:hAnsi="SimSun"/>
          <w:sz w:val="24"/>
          <w:szCs w:val="24"/>
        </w:rPr>
        <w:t xml:space="preserve">再次，采用倾向得分匹配（PSM）缓解样本选择偏差。以DU_kw是否高于中位数为处理变量，全部控制变量作为匹配协变量，使用最近邻匹配构造匹配样本（N=31,381）。匹配样本上DU_kw的系数为-0.00478（t=-3.70，p&lt;0.001），系数绝对值甚至略大于基准回归。</w:t>
      </w:r>
    </w:p>
    <w:p>
      <w:pPr>
        <w:spacing w:after="120" w:line="360"/>
        <w:ind w:firstLine="480"/>
      </w:pPr>
      <w:r>
        <w:rPr>
          <w:rFonts w:ascii="SimSun" w:cs="SimSun" w:eastAsia="SimSun" w:hAnsi="SimSun"/>
          <w:sz w:val="24"/>
          <w:szCs w:val="24"/>
        </w:rPr>
        <w:t xml:space="preserve">最后进行子样本检验。剔除2024年入表新规实施首年的观测后（N=33,878），DU_kw的系数为-0.00503（t=-5.23），不仅保持高度显著且绝对值增大，表明结论并非由政策冲击年份驱动。仅保留主板上市企业（N=29,666），系数为-0.00389（t=-2.40），同样显著为负。</w:t>
      </w:r>
    </w:p>
    <w:p>
      <w:pPr>
        <w:spacing w:after="120" w:before="240"/>
        <w:jc w:val="center"/>
      </w:pPr>
      <w:r>
        <w:rPr>
          <w:rFonts w:ascii="SimHei" w:cs="SimHei" w:eastAsia="SimHei" w:hAnsi="SimHei"/>
          <w:b/>
          <w:bCs/>
          <w:sz w:val="20"/>
          <w:szCs w:val="20"/>
        </w:rPr>
        <w:t xml:space="preserve">表6 稳健性检验汇总</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800"/>
        <w:gridCol w:w="1200"/>
        <w:gridCol w:w="1100"/>
      </w:tblGrid>
      <w:tr>
        <w:tc>
          <w:tcPr>
            <w:tcW w:type="dxa" w:w="28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检验项目</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自变量</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系数</w:t>
            </w:r>
          </w:p>
        </w:tc>
        <w:tc>
          <w:tcPr>
            <w:tcW w:type="dxa" w:w="8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t值</w:t>
            </w:r>
          </w:p>
        </w:tc>
        <w:tc>
          <w:tcPr>
            <w:tcW w:type="dxa" w:w="12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p值</w:t>
            </w:r>
          </w:p>
        </w:tc>
        <w:tc>
          <w:tcPr>
            <w:tcW w:type="dxa" w:w="11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vAlign w:val="center"/>
          </w:tcPr>
          <w:p>
            <w:pPr>
              <w:spacing w:line="280"/>
              <w:jc w:val="center"/>
            </w:pPr>
            <w:r>
              <w:rPr>
                <w:rFonts w:ascii="SimSun" w:cs="SimSun" w:eastAsia="SimSun" w:hAnsi="SimSun"/>
                <w:b/>
                <w:bCs/>
                <w:sz w:val="18"/>
                <w:szCs w:val="18"/>
              </w:rPr>
              <w:t xml:space="preserve">N</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替换DV: SYNCH</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1.65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0.099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29,444</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替换DV: SYNCH</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DU_kw_ln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+0.015</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2.45</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29,444</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替换DV: SYNCH(Ind+Year)</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2.32</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0.021**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29,924</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替换IV: DU_kw_ln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DU_kw_ln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-0.00322</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-3.13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38,614</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PSM匹配</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-0.00478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-3.70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&lt;0.001***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31,381</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剔除2024年</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-0.00503</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-5.23</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&lt;0.001***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33,878</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仅主板样本</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DU_kw</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-0.00389</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-2.40</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0.016**</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280"/>
              <w:jc w:val="center"/>
            </w:pPr>
            <w:r>
              <w:rPr>
                <w:rFonts w:ascii="SimSun" w:cs="SimSun" w:eastAsia="SimSun" w:hAnsi="SimSun"/>
                <w:sz w:val="18"/>
                <w:szCs w:val="18"/>
              </w:rPr>
              <w:t xml:space="preserve">29,666</w:t>
            </w:r>
          </w:p>
        </w:tc>
      </w:tr>
    </w:tbl>
    <w:p>
      <w:pPr>
        <w:spacing w:after="120" w:line="360"/>
        <w:ind w:firstLine="480"/>
      </w:pPr>
      <w:r>
        <w:rPr>
          <w:rFonts w:ascii="SimSun" w:cs="SimSun" w:eastAsia="SimSun" w:hAnsi="SimSun"/>
          <w:sz w:val="24"/>
          <w:szCs w:val="24"/>
        </w:rPr>
        <w:t xml:space="preserve">综合以上检验，数据要素利用对资本市场定价效率的正向影响在多重检验下均保持稳健，排除了结论对特定变量度量方式、样本构成和特殊年份的敏感性。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6"/>
        <w:szCs w:val="16"/>
      </w:rPr>
      <w:t xml:space="preserve">数据要素利用、资产配置与资本定价效率（工作论文）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SimHei" w:cs="SimHei" w:eastAsia="SimHei" w:hAnsi="SimHei"/>
      <w:b/>
      <w:bCs/>
      <w:sz w:val="30"/>
      <w:szCs w:val="30"/>
    </w:rPr>
  </w:style>
  <w:style w:type="paragraph" w:styleId="Heading2">
    <w:name w:val="Heading 2"/>
    <w:basedOn w:val="Normal"/>
    <w:next w:val="Normal"/>
    <w:qFormat/>
    <w:pPr>
      <w:spacing w:after="160" w:before="240"/>
      <w:outlineLvl w:val="1"/>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2026-03-02T12:15:27.879Z</dcterms:created>
  <dcterms:modified xsi:type="dcterms:W3CDTF">2026-03-02T12:15:27.880Z</dcterms:modified>
</cp:coreProperties>
</file>

<file path=docProps/custom.xml><?xml version="1.0" encoding="utf-8"?>
<Properties xmlns="http://schemas.openxmlformats.org/officeDocument/2006/custom-properties" xmlns:vt="http://schemas.openxmlformats.org/officeDocument/2006/docPropsVTypes"/>
</file>