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
    <w:p/>
    <w:p>
      <w:pPr>
        <w:spacing w:line="360" w:lineRule="auto"/>
        <w:jc w:val="center"/>
      </w:pPr>
      <w:r>
        <w:t xml:space="preserve">数据要素利用、资产配置与资本定价效率</w:t>
      </w:r>
    </w:p>
    <w:p/>
    <w:p/>
    <w:p/>
    <w:p/>
    <w:p/>
    <w:p/>
    <w:p/>
    <w:p/>
    <w:p>
      <w:pPr>
        <w:pStyle w:val="Heading1"/>
        <w:spacing w:after="240" w:before="360" w:line="360" w:lineRule="auto"/>
        <w:jc w:val="left"/>
      </w:pPr>
      <w:r>
        <w:t xml:space="preserve">一、引言</w:t>
      </w:r>
    </w:p>
    <w:p>
      <w:pPr>
        <w:pStyle w:val="Normal"/>
        <w:spacing w:line="360" w:lineRule="auto"/>
        <w:ind w:firstLine="480"/>
        <w:jc w:val="both"/>
      </w:pPr>
      <w:r>
        <w:rPr>
          <w:rFonts w:ascii="SimSun" w:cs="SimSun" w:eastAsia="SimSun" w:hAnsi="SimSun"/>
          <w:b w:val="false"/>
          <w:bCs w:val="false"/>
          <w:sz w:val="24"/>
          <w:szCs w:val="24"/>
        </w:rPr>
        <w:t xml:space="preserve">数据已成为当代经济的战略性生产要素。2022年中共中央、国务院发布"数据二十条"明确提出加快数据要素市场化配置，2024年财政部等四部门联合发布《企业数据资源相关会计处理暂行规定》首次为企业数据资产的财务确认提供了制度框架，联合国SNA 2025亦将数据纳入知识产权产品范畴。截至2024年末，已有92家A股上市公司完成数据资产入表，披露规模达24.95亿元。这些制度演进反映出一个核心现实：企业的真实经济价值不再仅由传统有形资产和金融资产决定，数据要素的积累与利用已成为价值创造的重要来源（洪永淼，2026）。然而，传统的会计体系与资本市场定价机制都面临一个共同困境——如何准确度量、披露与定价企业的数据资产。数据资产在确认与计量层面面临独特困难，历史成本模式无法反映数据资源的动态价值特征，商业模式差异导致同一数据资源在不同场景下价值迥异（黄世忠等，2023）。这种会计度量的系统性偏差使得企业账面价值与市场价值之间的裂隙持续扩大，对资本市场的价格发现功能构成了直接挑战。</w:t>
      </w:r>
    </w:p>
    <w:p>
      <w:pPr>
        <w:pStyle w:val="Normal"/>
        <w:spacing w:line="360" w:lineRule="auto"/>
        <w:ind w:firstLine="480"/>
        <w:jc w:val="both"/>
      </w:pPr>
      <w:r>
        <w:rPr>
          <w:rFonts w:ascii="SimSun" w:cs="SimSun" w:eastAsia="SimSun" w:hAnsi="SimSun"/>
          <w:b w:val="false"/>
          <w:bCs w:val="false"/>
          <w:sz w:val="24"/>
          <w:szCs w:val="24"/>
        </w:rPr>
        <w:t xml:space="preserve">从信息经济学的视角审视，上述困境产生了两种相互竞争的效应。信息供给效应认为，企业对数据的积极利用往往伴随更充分的信息披露，有利于降低投资者与企业之间的信息不对称，加速价格发现过程，提升资本市场定价效率（Diamond和Verrecchia，1991）。信息模糊效应则指出，数据资产的会计计量失真和商业模式的内在复杂性可能增加投资者的估值不确定性，阻碍价格发现，反而抑制定价效率（Zhang，2006）。在Grossman和Stiglitz（1980）的经典框架中，均衡价格的信息含量取决于知情交易者获取和处理信息的成本。数据要素的出现使这一权衡的内涵更加复杂：信息获取成本随数字化而下降，但信息解读成本因数据资产估值的复杂性而上升。这两种效应的相对大小决定了企业数据要素利用对市场定价效率的实际影响方向，而其净效果属于需要经验数据加以识别的问题。</w:t>
      </w:r>
    </w:p>
    <w:p>
      <w:pPr>
        <w:pStyle w:val="Normal"/>
        <w:spacing w:line="360" w:lineRule="auto"/>
        <w:ind w:firstLine="480"/>
        <w:jc w:val="both"/>
      </w:pPr>
      <w:r>
        <w:rPr>
          <w:rFonts w:ascii="SimSun" w:cs="SimSun" w:eastAsia="SimSun" w:hAnsi="SimSun"/>
          <w:b w:val="false"/>
          <w:bCs w:val="false"/>
          <w:sz w:val="24"/>
          <w:szCs w:val="24"/>
        </w:rPr>
        <w:t xml:space="preserve">围绕数据要素在资本市场中的作用，近年来形成了几条既有关联又彼此分离的文献脉络。第一条脉络关注数据要素的宏观战略价值与微观度量。在宏观层面，数据作为生产要素的经济价值已获广泛认可，但企业层面的数据价值测度仍缺乏统一方法，现有的市值法和组织资本法各有局限（Coyle和Manley，2023；Mohan等，2025）。在微观度量上，年报文本分析是目前捕捉企业数据利用行为的主要途径，但已有研究在关键词体系的构建维度、覆盖范围和时间跨度上差异显著。第二条脉络聚焦数据要素利用对企业实际行为的影响。研究表明，数据要素利用能够减少金融资产配置并促进实体投资，其机制在于缓解现金流不确定性和提升产能利用率（朱康和汤甬，2025）。与此互补的证据显示，数据资产亦能通过降低资本成本和缓解融资约束来抑制企业金融化倾向（李姝，2025）。金融资产配置与数字化转型之间存在倒U型关系，短期金融资产提供流动性缓冲而长期金融资产产生挤出效应（Shao等，2024）。这一脉络揭示了数据利用对企业行为的实质影响，但分析止步于企业决策层面，尚未延伸至资本市场对这些行为变化的定价反应。</w:t>
      </w:r>
    </w:p>
    <w:p>
      <w:pPr>
        <w:pStyle w:val="Normal"/>
        <w:spacing w:line="360" w:lineRule="auto"/>
        <w:ind w:firstLine="480"/>
        <w:jc w:val="both"/>
      </w:pPr>
      <w:r>
        <w:rPr>
          <w:rFonts w:ascii="SimSun" w:cs="SimSun" w:eastAsia="SimSun" w:hAnsi="SimSun"/>
          <w:b w:val="false"/>
          <w:bCs w:val="false"/>
          <w:sz w:val="24"/>
          <w:szCs w:val="24"/>
        </w:rPr>
        <w:t xml:space="preserve">第三条脉络直接考察信息环境与资本市场定价效率的关系。在一般性框架中，会计信息质量的改善能够降低股价延迟（Callen等，2013），非财务信息的远见性同样有助于提升资本市场信息效率（Non-Financial Information Farsightedness，2024）。在中国市场的具体情境下，行业信息披露指引通过改善年报管理层讨论与分析的质量提升了股价信息含量（Disclosure Regulation，2024），主流财经媒体的关注亦能降低股价延迟（Yin和Hu，2024）。与数据要素更直接相关的研究中，数据丰裕能够提高价格信息含量但可能降低基金经理平均绩效（Dugast和Foucault，2024），替代数据虽改善短期预测精度却降低长期预测的信息含量（Dessaint等，2024）。聚焦于企业层面，数字化转型被发现能够显著降低股价延迟，且在信息透明度高、内控质量好的企业中效果更强（Feng等，2024）。数据资产信息披露降低股价同步性和股价延迟的初步证据已在特定样本中被观察到（Data Assetization，2024；Wei等，2025），数据资产披露作为质量信号亦能降低定价偏误（Does Data Asset Disclosure，2025），但这些研究在样本代表性和测度方法上各有约束。</w:t>
      </w:r>
    </w:p>
    <w:p>
      <w:pPr>
        <w:pStyle w:val="Normal"/>
        <w:spacing w:line="360" w:lineRule="auto"/>
        <w:ind w:firstLine="480"/>
        <w:jc w:val="both"/>
      </w:pPr>
      <w:r>
        <w:rPr>
          <w:rFonts w:ascii="SimSun" w:cs="SimSun" w:eastAsia="SimSun" w:hAnsi="SimSun"/>
          <w:b w:val="false"/>
          <w:bCs w:val="false"/>
          <w:sz w:val="24"/>
          <w:szCs w:val="24"/>
        </w:rPr>
        <w:t xml:space="preserve">第四条脉络涉及无形资产的资本定价。无形资产密集度因子对股票收益具有强预测能力，甚至使投资因子变得冗余（Bongaerts等，2025）。在中国A股市场，无形资本溢价同样显著存在，无形资本因子能够改善Fama-French三因子和五因子模型的解释力（Chen等，2024）。传统估值方法对无形资产的忽视导致了系统性的定价偏误，无形资产密集度高的企业年超额收益率可达3%（Dong和Doukas，2025）。然而，上述文献将研发支出、专利和品牌等传统无形资产作为分析对象，尚未将数据资产单独识别为独立的定价因子进行考察。</w:t>
      </w:r>
    </w:p>
    <w:p>
      <w:pPr>
        <w:pStyle w:val="Normal"/>
        <w:spacing w:line="360" w:lineRule="auto"/>
        <w:ind w:firstLine="480"/>
        <w:jc w:val="both"/>
      </w:pPr>
      <w:r>
        <w:rPr>
          <w:rFonts w:ascii="SimSun" w:cs="SimSun" w:eastAsia="SimSun" w:hAnsi="SimSun"/>
          <w:b w:val="false"/>
          <w:bCs w:val="false"/>
          <w:sz w:val="24"/>
          <w:szCs w:val="24"/>
        </w:rPr>
        <w:t xml:space="preserve">在信息传导机制层面，分析师的信息中介功能是理解数据信息如何融入股价的关键环节。信息不确定性较高的企业面临更大的价格漂移和异象，而分析师覆盖能够有效降低信息不确定性并改善定价效率（Zhang，2006）。分析师对被覆盖企业的深度研究和广泛传播加速了信息向股价的融入（Hong等，2000）。在中国资本市场中，分析师的独立研究行为对企业特质信息的定价效率具有显著提升作用（黄俊和陈信元，2023）。对于数据要素这种估值复杂性高、专业解读门槛高的信息类型，分析师的中介功能可能尤为关键。然而，在数据资产会计估值指引仍不完备的阶段，风险规避程度较高的机构投资者对估值不确定性的敏感程度也可能与一般散户投资者存在差异，这使得不同类型市场参与者对数据信息的反应并非一致（Huang等，2025）。</w:t>
      </w:r>
    </w:p>
    <w:p>
      <w:pPr>
        <w:pStyle w:val="Normal"/>
        <w:spacing w:line="360" w:lineRule="auto"/>
        <w:ind w:firstLine="480"/>
        <w:jc w:val="both"/>
      </w:pPr>
      <w:r>
        <w:rPr>
          <w:rFonts w:ascii="SimSun" w:cs="SimSun" w:eastAsia="SimSun" w:hAnsi="SimSun"/>
          <w:b w:val="false"/>
          <w:bCs w:val="false"/>
          <w:sz w:val="24"/>
          <w:szCs w:val="24"/>
        </w:rPr>
        <w:t xml:space="preserve">综合上述四条文献脉络，可以识别出几个重要缺口。其一，宏观层面关于数据要素战略价值的研究已较为丰富，但企业微观层面关于数据利用与资本定价效率之间因果关系的实证证据仍然稀缺。其二，最近的竞争研究在切入角度上各有侧重：李世刚等（2025）在《中国工业经济》中从信息披露角度考察了企业数据资产对定价效率的影响，朱康和汤甬（2025）在《会计研究》中聚焦数据利用对金融资产配置结构的调整效应，但前者止步于披露行为而未触及企业实际的数据利用能力，后者止步于企业行为而未延伸至资本定价效率这一最终市场结果。其三，Dugast和Foucault（2024）虽从数据丰度角度在理论层面阐明了数据对价格信息含量的影响，但视角主要聚焦金融市场微观结构而非上市公司的数据资产效应。其四，无形资产定价文献虽已涉及研发支出和品牌等传统无形资产的资本化问题，但尚未将数据资产作为独立的定价因子进行系统考察。换言之，现有文献在"企业数据利用能力→信息传导机制→资本定价效率"这一完整因果链条上留下了显著空白。</w:t>
      </w:r>
    </w:p>
    <w:p>
      <w:pPr>
        <w:pStyle w:val="Normal"/>
        <w:spacing w:line="360" w:lineRule="auto"/>
        <w:ind w:firstLine="480"/>
        <w:jc w:val="both"/>
      </w:pPr>
      <w:r>
        <w:rPr>
          <w:rFonts w:ascii="SimSun" w:cs="SimSun" w:eastAsia="SimSun" w:hAnsi="SimSun"/>
          <w:b w:val="false"/>
          <w:bCs w:val="false"/>
          <w:sz w:val="24"/>
          <w:szCs w:val="24"/>
        </w:rPr>
        <w:t xml:space="preserve">上述缺口指向了本文的核心研究问题：企业的数据要素利用能力如何影响资本市场对其股票的定价效率？这种影响通过哪些信息传导渠道实现？基于这一问题，本文采取了一个不同于既有研究的分析视角——不从企业的数据资产披露或会计确认出发，而是直接从年度报告全文的实质性描述中度量企业的数据要素利用强度。具体而言，本文沿数据价值链的不同环节，构建了覆盖数据存量、开发能力、驱动应用、价值变现和治理规范五个维度共73个关键词的文本分析体系，以年报全文关键词标准化频率衡量企业的数据要素利用程度。这一测度方法的核心优势在于：它直接对应企业在数据要素利用方面的实际行为而非主观的披露意愿，且能够覆盖2011至2024年完整14年的观测期，远超现有数据资产化统计仅覆盖三年的时间跨度（李世刚等，2025），为识别长期因果效应提供了充足的样本量和时间变异。在定价效率的度量上，本文采用Hou和Moskowitz（2005）的股价延迟指标，并以股价同步性作为稳健性替换。</w:t>
      </w:r>
    </w:p>
    <w:p>
      <w:pPr>
        <w:pStyle w:val="Normal"/>
        <w:spacing w:line="360" w:lineRule="auto"/>
        <w:ind w:firstLine="480"/>
        <w:jc w:val="both"/>
      </w:pPr>
      <w:r>
        <w:rPr>
          <w:rFonts w:ascii="SimSun" w:cs="SimSun" w:eastAsia="SimSun" w:hAnsi="SimSun"/>
          <w:b w:val="false"/>
          <w:bCs w:val="false"/>
          <w:sz w:val="24"/>
          <w:szCs w:val="24"/>
        </w:rPr>
        <w:t xml:space="preserve">本文以2012至2024年沪深A股上市公司为样本，基准回归包含38614个公司年度观测值。核心发现是：企业数据要素利用能力的提升显著降低了股票价格对市场信息的反应延迟，即提升了资本定价效率，信息供给效应占据主导地位。这一基本结论在企业与年份双向固定效应、行业与年份固定效应、多种自变量测度、倾向得分匹配以及子样本检验等多重框架下均保持稳健。工具变量估计进一步支持了上述关系的因果解释。在传导机制上，分析师信息中介发挥了核心作用——数据利用充分的企业获得了更多分析师关注，分析师的深度研究和广泛传播加速了数据信息向股价的融入。这一结论得到了多角度的交叉验证：在异质性分析中，高分析师覆盖企业的数据要素利用效应高度显著，而低覆盖企业的效应消失；在投资组合层面，低数据利用企业存在系统性的负异常收益，表明市场对信息模糊的企业施加了定价折扣。</w:t>
      </w:r>
    </w:p>
    <w:p>
      <w:pPr>
        <w:pStyle w:val="Normal"/>
        <w:spacing w:line="360" w:lineRule="auto"/>
        <w:ind w:firstLine="480"/>
        <w:jc w:val="both"/>
      </w:pPr>
      <w:r>
        <w:rPr>
          <w:rFonts w:ascii="SimSun" w:cs="SimSun" w:eastAsia="SimSun" w:hAnsi="SimSun"/>
          <w:b w:val="false"/>
          <w:bCs w:val="false"/>
          <w:sz w:val="24"/>
          <w:szCs w:val="24"/>
        </w:rPr>
        <w:t xml:space="preserve">本文的贡献体现在三个方面。第一，在测度层面，本文首次从企业数据要素的利用能力而非单纯的信息披露或资产化出发，采用年报全文五维度关键词体系构建了覆盖14年的长面板数据利用指标。相较于李世刚等（2025）仅覆盖三年的数据资产化统计，本文的测度框架既扎根于企业的实际行为描述，又规避了新准则下数据资产入表的时间约束，为长期因果效应的识别奠定了基础。第二，在机制层面，本文系统揭示了数据要素利用影响定价效率的信息传导路径。不同于朱康和汤甬（2025）止步于金融资产配置层面的分析，本文将研究延伸至资本市场定价反应，并通过高分析师覆盖显著、低覆盖不显著的异质性模式与分析师渠道的机制检验形成交叉验证，论证逻辑较简单的相关性分析更为严密。第三，在资产定价层面，本文通过投资组合检验提供了市场对数据要素利用的定价反应的直接证据。不同于无形资产定价文献中对研发支出和品牌的考察（Bongaerts等，2025；Chen等，2024），本文将数据资产识别为具有独特市场定价逻辑的无形资产新类别，将数据在资本市场中的作用从理论推导落实到了可观测的收益差异。</w:t>
      </w:r>
    </w:p>
    <w:p>
      <w:pPr>
        <w:pStyle w:val="Normal"/>
        <w:spacing w:line="360" w:lineRule="auto"/>
        <w:ind w:firstLine="480"/>
        <w:jc w:val="both"/>
      </w:pPr>
      <w:r>
        <w:rPr>
          <w:rFonts w:ascii="SimSun" w:cs="SimSun" w:eastAsia="SimSun" w:hAnsi="SimSun"/>
          <w:b w:val="false"/>
          <w:bCs w:val="false"/>
          <w:sz w:val="24"/>
          <w:szCs w:val="24"/>
        </w:rPr>
        <w:t xml:space="preserve">本文余下部分的安排如下。第二部分建立理论框架，阐明信息供给效应与信息模糊效应的竞争逻辑并导出研究假说。第三部分介绍研究设计，包括数据来源、变量构造与模型设定。第四部分呈现基准回归与内生性处理结果。第五部分报告机制分析。第六部分进行异质性分析。第七部分为稳健性检验。第八部分总结全文并讨论政策启示。</w:t>
      </w:r>
    </w:p>
    <w:p>
      <w:pPr>
        <w:pageBreakBefore/>
      </w:pPr>
    </w:p>
    <w:p>
      <w:pPr>
        <w:pStyle w:val="Heading1"/>
        <w:spacing w:after="240" w:before="360" w:line="360" w:lineRule="auto"/>
        <w:jc w:val="left"/>
      </w:pPr>
      <w:r>
        <w:t xml:space="preserve">二、理论分析与研究假说</w:t>
      </w:r>
    </w:p>
    <w:p>
      <w:pPr>
        <w:pStyle w:val="Heading2"/>
        <w:spacing w:after="120" w:before="240" w:line="360" w:lineRule="auto"/>
        <w:jc w:val="left"/>
      </w:pPr>
      <w:r>
        <w:t xml:space="preserve">（一）数据要素利用与资本市场定价效率</w:t>
      </w:r>
    </w:p>
    <w:p>
      <w:pPr>
        <w:pStyle w:val="Normal"/>
        <w:spacing w:line="360" w:lineRule="auto"/>
        <w:ind w:firstLine="480"/>
        <w:jc w:val="both"/>
      </w:pPr>
      <w:r>
        <w:rPr>
          <w:rFonts w:ascii="SimSun" w:cs="SimSun" w:eastAsia="SimSun" w:hAnsi="SimSun"/>
          <w:b w:val="false"/>
          <w:bCs w:val="false"/>
          <w:sz w:val="24"/>
          <w:szCs w:val="24"/>
        </w:rPr>
        <w:t xml:space="preserve">在Ohlson（1995）的剩余收益估值框架中，企业内在价值由账面净资产与未来超额收益的贴现值共同决定。这个框架的可靠性建立于一个关键前提：账面价值对企业经济价值的代表程度。但数据资产的大规模表外存在打破了这一前提。数据资产的会计计量偏差导致账面价值系统性低估，进而制造了投资者对企业真实价值的信息不对称。这种信息不对称可能通过两条相反方向的路径影响资本定价效率，其净效果需通过实证检验确定。</w:t>
      </w:r>
    </w:p>
    <w:p>
      <w:pPr>
        <w:pStyle w:val="Normal"/>
        <w:spacing w:line="360" w:lineRule="auto"/>
        <w:ind w:firstLine="480"/>
        <w:jc w:val="both"/>
      </w:pPr>
      <w:r>
        <w:rPr>
          <w:rFonts w:ascii="SimSun" w:cs="SimSun" w:eastAsia="SimSun" w:hAnsi="SimSun"/>
          <w:b w:val="false"/>
          <w:bCs w:val="false"/>
          <w:sz w:val="24"/>
          <w:szCs w:val="24"/>
        </w:rPr>
        <w:t xml:space="preserve">首先审视会计计量偏差的根源。依据《企业会计准则第6号——无形资产》，现行制度对数据资产的确认和计量存在系统性缺陷。无形资产普遍采用成本法计量，而数据资产的经济价值往往随使用场景的扩展呈非线性增长，历史成本无法捕捉这一动态升值特征；大量具有实质经济价值的数据资源因不满足可辨认性或可靠计量标准而被排斥在表外。黄世忠等（2023）在对数据资产确认与计量困难的分析中指出，历史成本模式与数据资源动态价值特征之间的矛盾是导致会计计量偏差的根本原因，而这种偏差正是账面价值与市场价值背离的重要来源。2024年施行的《企业数据资源相关会计处理暂行规定》虽首次将数据资源纳入资产负债表，但新规适应期内投资者解读数据资产经济含义的信息障碍在短期内并未消除。</w:t>
      </w:r>
    </w:p>
    <w:p>
      <w:pPr>
        <w:pStyle w:val="Normal"/>
        <w:spacing w:line="360" w:lineRule="auto"/>
        <w:ind w:firstLine="480"/>
        <w:jc w:val="both"/>
      </w:pPr>
      <w:r>
        <w:rPr>
          <w:rFonts w:ascii="SimSun" w:cs="SimSun" w:eastAsia="SimSun" w:hAnsi="SimSun"/>
          <w:b w:val="false"/>
          <w:bCs w:val="false"/>
          <w:sz w:val="24"/>
          <w:szCs w:val="24"/>
        </w:rPr>
        <w:t xml:space="preserve">会计计量缺口在信息不对称层面的直接后果是：对于积极利用数据要素的企业而言，其账面价值与经济价值之间存在系统性偏离，市场参与者难以仅凭财务报表准确评估企业真实价值。企业在年度报告中主动披露数据要素利用情况，构成向资本市场传递增量信息、弥补会计计量缺口的重要渠道。这种披露信息可能通过两条相互竞争的路径影响资本定价效率：信息供给效应和信息模糊效应。</w:t>
      </w:r>
    </w:p>
    <w:p>
      <w:pPr>
        <w:pStyle w:val="Normal"/>
        <w:spacing w:line="360" w:lineRule="auto"/>
        <w:ind w:firstLine="480"/>
        <w:jc w:val="both"/>
      </w:pPr>
      <w:r>
        <w:rPr>
          <w:rFonts w:ascii="SimSun" w:cs="SimSun" w:eastAsia="SimSun" w:hAnsi="SimSun"/>
          <w:b/>
          <w:bCs/>
          <w:sz w:val="24"/>
          <w:szCs w:val="24"/>
        </w:rPr>
        <w:t xml:space="preserve">信息供给效应的逻辑</w:t>
      </w:r>
      <w:r>
        <w:rPr>
          <w:rFonts w:ascii="SimSun" w:cs="SimSun" w:eastAsia="SimSun" w:hAnsi="SimSun"/>
          <w:b w:val="false"/>
          <w:bCs w:val="false"/>
          <w:sz w:val="24"/>
          <w:szCs w:val="24"/>
        </w:rPr>
        <w:t xml:space="preserve">：可信的公开信息披露通过降低逆向选择程度，压缩知情交易者与非知情交易者之间的信息不对称，进而降低资本成本。Diamond和Verrecchia（1991）在一般框架中阐述了这一机制，黄俊和陈信元（2023）的中国市场证据进一步证实了增量信息披露能够加速私有信息向股票价格的融合，表明这一规律具有跨市场的稳健性。年报中的数据要素利用披露向市场参与者提供了企业数字化战略、商业模式与未来盈利能力的可观测信号，使其能够对数据驱动业务形成更为清晰的判断，从而缩短股价对相关信息的反应时滞。</w:t>
      </w:r>
    </w:p>
    <w:p>
      <w:pPr>
        <w:pStyle w:val="Normal"/>
        <w:spacing w:line="360" w:lineRule="auto"/>
        <w:ind w:firstLine="480"/>
        <w:jc w:val="both"/>
      </w:pPr>
      <w:r>
        <w:rPr>
          <w:rFonts w:ascii="SimSun" w:cs="SimSun" w:eastAsia="SimSun" w:hAnsi="SimSun"/>
          <w:b/>
          <w:bCs/>
          <w:sz w:val="24"/>
          <w:szCs w:val="24"/>
        </w:rPr>
        <w:t xml:space="preserve">信息模糊效应的逻辑</w:t>
      </w:r>
      <w:r>
        <w:rPr>
          <w:rFonts w:ascii="SimSun" w:cs="SimSun" w:eastAsia="SimSun" w:hAnsi="SimSun"/>
          <w:b w:val="false"/>
          <w:bCs w:val="false"/>
          <w:sz w:val="24"/>
          <w:szCs w:val="24"/>
        </w:rPr>
        <w:t xml:space="preserve">：与此相对，信息不确定性理论强调，信息模糊程度越高，投资者越难以对资产进行准确定价，价格发现过程越迟缓。Zhang（2006）的研究表明不确定性与股价延迟之间的正向关联。现行会计准则对数据资产的系统性低估，以及数据驱动商业模式的内在复杂性，可能使投资者对企业价值的判断产生更大分歧，增加估值不确定性，导致信息处理成本上升、价格发现延滞。</w:t>
      </w:r>
    </w:p>
    <w:p>
      <w:pPr>
        <w:pStyle w:val="Normal"/>
        <w:spacing w:line="360" w:lineRule="auto"/>
        <w:ind w:firstLine="480"/>
        <w:jc w:val="both"/>
      </w:pPr>
      <w:r>
        <w:rPr>
          <w:rFonts w:ascii="SimSun" w:cs="SimSun" w:eastAsia="SimSun" w:hAnsi="SimSun"/>
          <w:b w:val="false"/>
          <w:bCs w:val="false"/>
          <w:sz w:val="24"/>
          <w:szCs w:val="24"/>
        </w:rPr>
        <w:t xml:space="preserve">上述两种效应建立在不同的行为假设之上：信息供给效应假设市场参与者能够正确理解并及时纳入增量信息，价格发现的约束主要来自信息供给不足；信息模糊效应则假设信息的高度不确定性阻滞了投资者的处理与吸收过程，价格发现的瓶颈在于信息需求侧的认知摩擦。在数据资产这一新兴且复杂的领域，两种假设均具有一定的现实合理性，其相对强弱属于需要经验数据加以识别的问题。</w:t>
      </w:r>
    </w:p>
    <w:p>
      <w:pPr>
        <w:pStyle w:val="Normal"/>
        <w:spacing w:line="360" w:lineRule="auto"/>
        <w:ind w:firstLine="480"/>
        <w:jc w:val="both"/>
      </w:pPr>
      <w:r>
        <w:rPr>
          <w:rFonts w:ascii="SimSun" w:cs="SimSun" w:eastAsia="SimSun" w:hAnsi="SimSun"/>
          <w:b w:val="false"/>
          <w:bCs w:val="false"/>
          <w:sz w:val="24"/>
          <w:szCs w:val="24"/>
        </w:rPr>
        <w:t xml:space="preserve">两种效应的净结果取决于哪一种力量居于主导。本文基于以下三点理由推测信息供给效应更可能占据优势。其一，年报是经过审计的法定文件，属于可验证的公开披露，数据要素利用信息具有法律背书，相比自愿性社交媒体传播的噪音信号概率显著更低。其二，《数据二十条》（2022）和入表新规（2024）确立了数据资产披露的政策框架，逐步降低市场参与者的分析摩擦。其三，本文采用关键词频率法区分企业对数据要素的实质性利用与纯粹概念提及，实质性行动的信号价值更高。需要指出的是，关键词频率作为数据要素利用的代理变量存在固有的测量误差——高频出现可能部分反映营销宣传而非实际利用强度，低频则可能因商业保密而低估——本文在稳健性检验中通过替换指标和子维度分析对此加以控制。若信息供给效应为主导，应观察到企业数据要素利用与股价延迟呈显著负向关联。据此，本文提出第一个假说：</w:t>
      </w:r>
    </w:p>
    <w:p>
      <w:pPr>
        <w:pStyle w:val="Normal"/>
        <w:spacing w:line="360" w:lineRule="auto"/>
        <w:ind w:firstLine="480"/>
        <w:jc w:val="both"/>
      </w:pPr>
      <w:r>
        <w:rPr>
          <w:rFonts w:ascii="Times New Roman" w:cs="Times New Roman" w:eastAsia="Times New Roman" w:hAnsi="Times New Roman"/>
          <w:b/>
          <w:bCs/>
          <w:sz w:val="24"/>
          <w:szCs w:val="24"/>
        </w:rPr>
        <w:t xml:space="preserve">H1</w:t>
      </w:r>
      <w:r>
        <w:rPr>
          <w:rFonts w:ascii="SimSun" w:cs="SimSun" w:eastAsia="SimSun" w:hAnsi="SimSun"/>
          <w:b w:val="false"/>
          <w:bCs w:val="false"/>
          <w:sz w:val="24"/>
          <w:szCs w:val="24"/>
        </w:rPr>
        <w:t xml:space="preserve">：企业数据要素利用降低了资本市场的股价延迟（即提升了定价效率）。</w:t>
      </w:r>
    </w:p>
    <w:p>
      <w:pPr>
        <w:pStyle w:val="Heading2"/>
        <w:spacing w:after="120" w:before="240" w:line="360" w:lineRule="auto"/>
        <w:jc w:val="left"/>
      </w:pPr>
      <w:r>
        <w:t xml:space="preserve">（二）传导机制</w:t>
      </w:r>
    </w:p>
    <w:p>
      <w:pPr>
        <w:pStyle w:val="Normal"/>
        <w:spacing w:line="360" w:lineRule="auto"/>
        <w:ind w:firstLine="480"/>
        <w:jc w:val="both"/>
      </w:pPr>
      <w:r>
        <w:rPr>
          <w:rFonts w:ascii="SimSun" w:cs="SimSun" w:eastAsia="SimSun" w:hAnsi="SimSun"/>
          <w:b w:val="false"/>
          <w:bCs w:val="false"/>
          <w:sz w:val="24"/>
          <w:szCs w:val="24"/>
        </w:rPr>
        <w:t xml:space="preserve">H1确立了数据要素利用与定价效率之间的总体关联，但信息从企业年报向股票价格的具体传导路径尚待厘清。信息从私有领域（企业）向市场参与者再到股票价格的流动，通常经历两个主要阶段：信息的捕捉与加工（由信息中介完成）和基于加工后信息的投资决策（由资本配置者实现）。本文据此识别两条主要传导渠道：信息中介渠道和企业行为渠道。</w:t>
      </w:r>
    </w:p>
    <w:p>
      <w:pPr>
        <w:spacing w:after="60" w:before="120" w:line="360" w:lineRule="auto"/>
        <w:jc w:val="left"/>
      </w:pPr>
      <w:r>
        <w:t xml:space="preserve">信息中介渠道：分析师的加速效应</w:t>
      </w:r>
    </w:p>
    <w:p>
      <w:pPr>
        <w:pStyle w:val="Normal"/>
        <w:spacing w:line="360" w:lineRule="auto"/>
        <w:ind w:firstLine="480"/>
        <w:jc w:val="both"/>
      </w:pPr>
      <w:r>
        <w:rPr>
          <w:rFonts w:ascii="SimSun" w:cs="SimSun" w:eastAsia="SimSun" w:hAnsi="SimSun"/>
          <w:b w:val="false"/>
          <w:bCs w:val="false"/>
          <w:sz w:val="24"/>
          <w:szCs w:val="24"/>
        </w:rPr>
        <w:t xml:space="preserve">分析师是连接企业信息披露与市场定价的核心中介机构。当分析师覆盖不足时，企业的私有信息难以被市场及时捕捉，信息扩散缓慢直接延长了股价对基本面变化的反应时滞。反之，分析师数量的增加通过提高股票价格的信息含量而显著加速价格发现过程。这一规律的因果性已在多个市场中得到实证确认。美国市场的断点识别设计率先揭示了分析师覆盖与股价延迟之间的因果关系（Hong等，2000），其稳健性随后经由中国市场的独立研究得到验证（Yu，2008；黄俊和陈信元，2023）。这些研究虽在识别策略和样本覆盖上各有侧重，但共同指向同一结论：分析师覆盖密度越高，信息向价格的转换效率越高。</w:t>
      </w:r>
    </w:p>
    <w:p>
      <w:pPr>
        <w:pStyle w:val="Normal"/>
        <w:spacing w:line="360" w:lineRule="auto"/>
        <w:ind w:firstLine="480"/>
        <w:jc w:val="both"/>
      </w:pPr>
      <w:r>
        <w:rPr>
          <w:rFonts w:ascii="SimSun" w:cs="SimSun" w:eastAsia="SimSun" w:hAnsi="SimSun"/>
          <w:b w:val="false"/>
          <w:bCs w:val="false"/>
          <w:sz w:val="24"/>
          <w:szCs w:val="24"/>
        </w:rPr>
        <w:t xml:space="preserve">数据要素利用程度较高的企业在年报中提供了更为丰富的数字化战略与数据应用信息，这类增量信息具有以下特征：其一，信息的技术含量高，分析师需要具备一定的数字化认知才能充分理解其经济含义；其二，信息与企业竞争力和盈利能力的关联性强，机构投资者高度关注，为分析师服务客户带来更大的研究价值。在这些激励下，分析师更有动力对数据要素利用信息进行深度研究与广泛传播。分析师的研究报告、盈利预测与公开路演，将进一步加速数据要素利用信息向股价的传导。据此，本文提出第二个假说：</w:t>
      </w:r>
    </w:p>
    <w:p>
      <w:pPr>
        <w:pStyle w:val="Normal"/>
        <w:spacing w:line="360" w:lineRule="auto"/>
        <w:ind w:firstLine="480"/>
        <w:jc w:val="both"/>
      </w:pPr>
      <w:r>
        <w:rPr>
          <w:rFonts w:ascii="Times New Roman" w:cs="Times New Roman" w:eastAsia="Times New Roman" w:hAnsi="Times New Roman"/>
          <w:b/>
          <w:bCs/>
          <w:sz w:val="24"/>
          <w:szCs w:val="24"/>
        </w:rPr>
        <w:t xml:space="preserve">H2a</w:t>
      </w:r>
      <w:r>
        <w:rPr>
          <w:rFonts w:ascii="SimSun" w:cs="SimSun" w:eastAsia="SimSun" w:hAnsi="SimSun"/>
          <w:b w:val="false"/>
          <w:bCs w:val="false"/>
          <w:sz w:val="24"/>
          <w:szCs w:val="24"/>
        </w:rPr>
        <w:t xml:space="preserve">：企业数据要素利用通过提升分析师覆盖发挥信息中介作用。</w:t>
      </w:r>
    </w:p>
    <w:p>
      <w:pPr>
        <w:spacing w:after="60" w:before="120" w:line="360" w:lineRule="auto"/>
        <w:jc w:val="left"/>
      </w:pPr>
      <w:r>
        <w:t xml:space="preserve">企业行为渠道：金融资产配置的信号作用</w:t>
      </w:r>
    </w:p>
    <w:p>
      <w:pPr>
        <w:pStyle w:val="Normal"/>
        <w:spacing w:line="360" w:lineRule="auto"/>
        <w:ind w:firstLine="480"/>
        <w:jc w:val="both"/>
      </w:pPr>
      <w:r>
        <w:rPr>
          <w:rFonts w:ascii="SimSun" w:cs="SimSun" w:eastAsia="SimSun" w:hAnsi="SimSun"/>
          <w:b w:val="false"/>
          <w:bCs w:val="false"/>
          <w:sz w:val="24"/>
          <w:szCs w:val="24"/>
        </w:rPr>
        <w:t xml:space="preserve">数据要素的深度利用还与企业的金融资产配置行为存在关联。近期研究从两条不同的理论路径揭示了这一关联：一条是成本渠道，即数据利用能力通过降低资本成本和缓解融资约束，拓宽了企业金融资产配置的可行边界（朱康，2025）；另一条是决策质量渠道，即数据驱动能力强的企业凭借更精准的市场分析与风险评估，在资产选择上表现出更高的信息优势（李姝，2025）。两条路径的理论机制虽有不同侧重——前者强调融资条件改善，后者强调决策能力提升——但共同指向一个核心事实：数据要素利用能力强的企业在识别市场机会、评估流动性风险和优化资产组合方面形成了差异化的信息优势。</w:t>
      </w:r>
    </w:p>
    <w:p>
      <w:pPr>
        <w:pStyle w:val="Normal"/>
        <w:spacing w:line="360" w:lineRule="auto"/>
        <w:ind w:firstLine="480"/>
        <w:jc w:val="both"/>
      </w:pPr>
      <w:r>
        <w:rPr>
          <w:rFonts w:ascii="SimSun" w:cs="SimSun" w:eastAsia="SimSun" w:hAnsi="SimSun"/>
          <w:b w:val="false"/>
          <w:bCs w:val="false"/>
          <w:sz w:val="24"/>
          <w:szCs w:val="24"/>
        </w:rPr>
        <w:t xml:space="preserve">这种信息优势在金融资产配置决策中得以体现，使其配置模式呈现出区别于一般企业的特征。这些特征通过资产负债表和附注中的会计信息得以显现，构成市场参与者推断企业运营能力和市场判断力的潜在信息来源。若市场参与者能够从金融资产配置变化中识别出数据利用能力的信号，则这一路径也会影响股票定价效率。本文将金融资产配置作为数据要素利用影响定价效率的一条潜在信息传导渠道，重点在于证实该渠道的存在性。据此，本文提出第三个假说：</w:t>
      </w:r>
    </w:p>
    <w:p>
      <w:pPr>
        <w:pStyle w:val="Normal"/>
        <w:spacing w:line="360" w:lineRule="auto"/>
        <w:ind w:firstLine="480"/>
        <w:jc w:val="both"/>
      </w:pPr>
      <w:r>
        <w:rPr>
          <w:rFonts w:ascii="Times New Roman" w:cs="Times New Roman" w:eastAsia="Times New Roman" w:hAnsi="Times New Roman"/>
          <w:b/>
          <w:bCs/>
          <w:sz w:val="24"/>
          <w:szCs w:val="24"/>
        </w:rPr>
        <w:t xml:space="preserve">H2b</w:t>
      </w:r>
      <w:r>
        <w:rPr>
          <w:rFonts w:ascii="SimSun" w:cs="SimSun" w:eastAsia="SimSun" w:hAnsi="SimSun"/>
          <w:b w:val="false"/>
          <w:bCs w:val="false"/>
          <w:sz w:val="24"/>
          <w:szCs w:val="24"/>
        </w:rPr>
        <w:t xml:space="preserve">：企业数据要素利用与金融资产配置行为存在显著关联，金融资产配置构成数据要素利用影响市场定价的一条潜在信息传导渠道。</w:t>
      </w:r>
    </w:p>
    <w:p>
      <w:pPr>
        <w:spacing w:after="60" w:before="120" w:line="360" w:lineRule="auto"/>
        <w:jc w:val="left"/>
      </w:pPr>
      <w:r>
        <w:t xml:space="preserve">补充性渠道：机构投资者的复杂响应</w:t>
      </w:r>
    </w:p>
    <w:p>
      <w:pPr>
        <w:pStyle w:val="Normal"/>
        <w:spacing w:line="360" w:lineRule="auto"/>
        <w:ind w:firstLine="480"/>
        <w:jc w:val="both"/>
      </w:pPr>
      <w:r>
        <w:rPr>
          <w:rFonts w:ascii="SimSun" w:cs="SimSun" w:eastAsia="SimSun" w:hAnsi="SimSun"/>
          <w:b w:val="false"/>
          <w:bCs w:val="false"/>
          <w:sz w:val="24"/>
          <w:szCs w:val="24"/>
        </w:rPr>
        <w:t xml:space="preserve">此外，数据要素利用还可能通过影响机构投资者的持股行为而影响定价效率。由于理论上存在相互对冲的作用力，该渠道的净效应方向难以事前确定，本文将其定位为补充性渠道而非核心传导机制。具体而言，这一渠道的复杂性体现为：一方面，数据要素利用传递了企业经营能力进步和技术先进性的信号，可能吸引注重基本面的长期机构投资者；另一方面，数据驱动商业模式的内在复杂性与高度不确定性，可能提高了某些机构投资者的估值评估难度和风险认知，从而抑制其持股意愿。这种复杂性源于机构投资者本身的异质性：不同类型的投资者（如公募基金与保险资金）对数据资产价值的理解程度差异，导致对数据要素利用信息的反应方向不一致。本文将机构投资者持股作为补充性传导渠道予以检验，并在实证部分报告其与数据要素利用的关联方向及其可能的成因解释。</w:t>
      </w:r>
    </w:p>
    <w:p>
      <w:pPr>
        <w:pStyle w:val="Heading2"/>
        <w:spacing w:after="120" w:before="240" w:line="360" w:lineRule="auto"/>
        <w:jc w:val="left"/>
      </w:pPr>
      <w:r>
        <w:t xml:space="preserve">（三）进一步分析：异质性视角</w:t>
      </w:r>
    </w:p>
    <w:p>
      <w:pPr>
        <w:pStyle w:val="Normal"/>
        <w:spacing w:line="360" w:lineRule="auto"/>
        <w:ind w:firstLine="480"/>
        <w:jc w:val="both"/>
      </w:pPr>
      <w:r>
        <w:rPr>
          <w:rFonts w:ascii="SimSun" w:cs="SimSun" w:eastAsia="SimSun" w:hAnsi="SimSun"/>
          <w:b w:val="false"/>
          <w:bCs w:val="false"/>
          <w:sz w:val="24"/>
          <w:szCs w:val="24"/>
        </w:rPr>
        <w:t xml:space="preserve">上述H1至H2b的分析给出了数据要素利用对定价效率的总体效应及其主要传导机制。但企业的特征禀赋和所处的市场环境会显著影响这些效应的大小和方向。本文进一步从三个维度考察数据要素利用效应的异质性模式：产权性质、分析师覆盖和行业属性。其中分析师覆盖维度基于传导机制的理论预期形成正式假说，产权性质与行业属性维度因理论预测方向性较弱而作为探索性分析。</w:t>
      </w:r>
    </w:p>
    <w:p>
      <w:pPr>
        <w:pStyle w:val="Normal"/>
        <w:spacing w:line="360" w:lineRule="auto"/>
        <w:ind w:firstLine="480"/>
        <w:jc w:val="both"/>
      </w:pPr>
      <w:r>
        <w:rPr>
          <w:rFonts w:ascii="SimSun" w:cs="SimSun" w:eastAsia="SimSun" w:hAnsi="SimSun"/>
          <w:b/>
          <w:bCs/>
          <w:sz w:val="24"/>
          <w:szCs w:val="24"/>
        </w:rPr>
        <w:t xml:space="preserve">产权性质维度</w:t>
      </w:r>
      <w:r>
        <w:rPr>
          <w:rFonts w:ascii="SimSun" w:cs="SimSun" w:eastAsia="SimSun" w:hAnsi="SimSun"/>
          <w:b w:val="false"/>
          <w:bCs w:val="false"/>
          <w:sz w:val="24"/>
          <w:szCs w:val="24"/>
        </w:rPr>
        <w:t xml:space="preserve">：国有企业与非国有企业在信息环境上存在结构性差异。委托代理理论预测，代理层级越多、终极控制人与经营层之间的信息链条越长，信息损耗和不对称程度越高。国有企业因多层级委托代理结构和行政干预的存在，信息不对称程度系统性高于同规模非国有企业，信息环境的基线透明度相对较低。在信息透明度较低的基线条件下，边际信息增量的价值往往更高：当市场参与者对企业真实状况的了解越不充分，新增的可观测信号所能填补的信息缺口就越大。由此推论，国有企业主动披露的数据要素利用信息可能对定价效率产生更大的边际改善。但数据要素利用本身在国企与民企中的实际披露强度存在差异，且国有企业的信息传导还受到政策导向和非市场因素的影响，其净效应的方向和幅度需要实证检验加以确认。</w:t>
      </w:r>
    </w:p>
    <w:p>
      <w:pPr>
        <w:pStyle w:val="Normal"/>
        <w:spacing w:line="360" w:lineRule="auto"/>
        <w:ind w:firstLine="480"/>
        <w:jc w:val="both"/>
      </w:pPr>
      <w:r>
        <w:rPr>
          <w:rFonts w:ascii="SimSun" w:cs="SimSun" w:eastAsia="SimSun" w:hAnsi="SimSun"/>
          <w:b/>
          <w:bCs/>
          <w:sz w:val="24"/>
          <w:szCs w:val="24"/>
        </w:rPr>
        <w:t xml:space="preserve">分析师覆盖维度</w:t>
      </w:r>
      <w:r>
        <w:rPr>
          <w:rFonts w:ascii="SimSun" w:cs="SimSun" w:eastAsia="SimSun" w:hAnsi="SimSun"/>
          <w:b w:val="false"/>
          <w:bCs w:val="false"/>
          <w:sz w:val="24"/>
          <w:szCs w:val="24"/>
        </w:rPr>
        <w:t xml:space="preserve">：本文的核心传导机制之一在于分析师的信息中介作用（H2a）。信息扩散理论预测，分析师覆盖密度是决定增量信息能否得到及时处理与广泛传播的关键制约条件。Hong等（2000）的研究强调了分析师覆盖对私有信息公开化的门槛作用。当企业所处信息环境中分析师跟踪较为密集时，数据要素利用所产生的增量信息能够被分析师更及时地捕捉、更深度地加工并更广泛地传播，信息向价格的传导路径更加畅通，定价效率的改善因此更为显著。反之，分析师覆盖稀疏的企业中，数据要素利用信息即便披露，其扩散和定价也受到严重制约。据此，本文提出第四个假说：</w:t>
      </w:r>
    </w:p>
    <w:p>
      <w:pPr>
        <w:pStyle w:val="Normal"/>
        <w:spacing w:line="360" w:lineRule="auto"/>
        <w:ind w:firstLine="480"/>
        <w:jc w:val="both"/>
      </w:pPr>
      <w:r>
        <w:rPr>
          <w:rFonts w:ascii="Times New Roman" w:cs="Times New Roman" w:eastAsia="Times New Roman" w:hAnsi="Times New Roman"/>
          <w:b/>
          <w:bCs/>
          <w:sz w:val="24"/>
          <w:szCs w:val="24"/>
        </w:rPr>
        <w:t xml:space="preserve">H3</w:t>
      </w:r>
      <w:r>
        <w:rPr>
          <w:rFonts w:ascii="SimSun" w:cs="SimSun" w:eastAsia="SimSun" w:hAnsi="SimSun"/>
          <w:b w:val="false"/>
          <w:bCs w:val="false"/>
          <w:sz w:val="24"/>
          <w:szCs w:val="24"/>
        </w:rPr>
        <w:t xml:space="preserve">：数据要素利用对资本市场定价效率的提升效应在分析师跟踪较为活跃的企业中更为显著。</w:t>
      </w:r>
    </w:p>
    <w:p>
      <w:pPr>
        <w:pStyle w:val="Normal"/>
        <w:spacing w:line="360" w:lineRule="auto"/>
        <w:ind w:firstLine="480"/>
        <w:jc w:val="both"/>
      </w:pPr>
      <w:r>
        <w:rPr>
          <w:rFonts w:ascii="SimSun" w:cs="SimSun" w:eastAsia="SimSun" w:hAnsi="SimSun"/>
          <w:b/>
          <w:bCs/>
          <w:sz w:val="24"/>
          <w:szCs w:val="24"/>
        </w:rPr>
        <w:t xml:space="preserve">行业属性维度</w:t>
      </w:r>
      <w:r>
        <w:rPr>
          <w:rFonts w:ascii="SimSun" w:cs="SimSun" w:eastAsia="SimSun" w:hAnsi="SimSun"/>
          <w:b w:val="false"/>
          <w:bCs w:val="false"/>
          <w:sz w:val="24"/>
          <w:szCs w:val="24"/>
        </w:rPr>
        <w:t xml:space="preserve">：数据要素利用信息的价值相关性在不同行业可能有所差异。本文参照证监会行业分类，将信息传输、软件和信息技术服务业（I类）以及科学研究和技术服务业（M类）界定为数据密集型高科技行业，其余行业归为传统行业。在数据密集型行业中，数据要素构成核心生产投入而非辅助性资源，企业利用数据要素的能力直接关系到竞争优势的形成与维持。从信息价值相关性的角度分析，当某一类信息与企业核心竞争力的关联度越高，该信息对企业价值的预测力就越强，市场参与者对其关注度和解读能力也越高（Diamond和Verrecchia，1991）。据此推断，数据密集型行业中的市场参与者对数据要素利用信息的信息解读摩擦相对更低，价格对相关信息的反映更为迅速。但数据要素利用对定价效率的相对强度差异（传统行业与高科技行业的对比效应）是一个有待实证检验的问题，本文将其作为探索性分析呈现。</w:t>
      </w:r>
    </w:p>
    <w:p>
      <w:pPr>
        <w:pageBreakBefore/>
      </w:pPr>
    </w:p>
    <w:p>
      <w:pPr>
        <w:pStyle w:val="Heading1"/>
        <w:spacing w:after="240" w:before="360" w:line="360" w:lineRule="auto"/>
        <w:jc w:val="left"/>
      </w:pPr>
      <w:r>
        <w:t xml:space="preserve">三、研究设计</w:t>
      </w:r>
    </w:p>
    <w:p>
      <w:pPr>
        <w:pStyle w:val="Heading2"/>
        <w:spacing w:after="120" w:before="240" w:line="360" w:lineRule="auto"/>
        <w:jc w:val="left"/>
      </w:pPr>
      <w:r>
        <w:t xml:space="preserve">（一）样本选择与数据来源</w:t>
      </w:r>
    </w:p>
    <w:p>
      <w:pPr>
        <w:pStyle w:val="Normal"/>
        <w:spacing w:line="360" w:lineRule="auto"/>
        <w:ind w:firstLine="480"/>
        <w:jc w:val="both"/>
      </w:pPr>
      <w:r>
        <w:rPr>
          <w:rFonts w:ascii="SimSun" w:cs="SimSun" w:eastAsia="SimSun" w:hAnsi="SimSun"/>
          <w:b w:val="false"/>
          <w:bCs w:val="false"/>
          <w:sz w:val="24"/>
          <w:szCs w:val="24"/>
        </w:rPr>
        <w:t xml:space="preserve">本文的样本来源于2011-2024年沪深A股上市公司，数据包括两个层面：其一，2010-2024年全部上市公司的年度报告全文，用于提取数据要素利用指标；其二，2011-2024年企业的财务数据、治理数据和市场数据，用于构造因变量和控制变量。样本筛选遵循以下标准：首先，依据中国证监会行业分类标准剔除J类金融保险业企业，其资产负债表结构与数据资产性质同非金融企业存在本质差异；其次，剔除ST/*ST企业，其股价行为可能被财务困境所掩盖；再次，剔除上市时间在观测年份内不足12个月的企业-年份观测。对连续变量采取1%和99%分位数的Winsorize缩尾处理。</w:t>
      </w:r>
    </w:p>
    <w:p>
      <w:pPr>
        <w:pStyle w:val="Normal"/>
        <w:spacing w:line="360" w:lineRule="auto"/>
        <w:ind w:firstLine="480"/>
        <w:jc w:val="both"/>
      </w:pPr>
      <w:r>
        <w:rPr>
          <w:rFonts w:ascii="SimSun" w:cs="SimSun" w:eastAsia="SimSun" w:hAnsi="SimSun"/>
          <w:b w:val="false"/>
          <w:bCs w:val="false"/>
          <w:sz w:val="24"/>
          <w:szCs w:val="24"/>
        </w:rPr>
        <w:t xml:space="preserve">经过以上筛选，最终获得38,943个企业-年份观测，涵盖5,178家独立企业。面板固定效应模型在清理奇点后，用于基准回归分析的有效样本量为38,614个观测。</w:t>
      </w:r>
    </w:p>
    <w:p>
      <w:pPr>
        <w:pStyle w:val="Normal"/>
        <w:spacing w:line="360" w:lineRule="auto"/>
        <w:ind w:firstLine="480"/>
        <w:jc w:val="both"/>
      </w:pPr>
      <w:r>
        <w:rPr>
          <w:rFonts w:ascii="SimSun" w:cs="SimSun" w:eastAsia="SimSun" w:hAnsi="SimSun"/>
          <w:b w:val="false"/>
          <w:bCs w:val="false"/>
          <w:sz w:val="24"/>
          <w:szCs w:val="24"/>
        </w:rPr>
        <w:t xml:space="preserve">自变量DU_kw的提取基于上市公司年度报告全文的文本分析，原始数据来源于上市公司向证监会提交的法定年报TXT格式文件。因变量PriceDelay的构造基于CSMAR数据库的股票日收益率数据。控制变量与中介变量的数据同样提取自CSMAR数据库的财务、治理和市场数据库。</w:t>
      </w:r>
    </w:p>
    <w:p>
      <w:pPr>
        <w:pStyle w:val="Heading2"/>
        <w:spacing w:after="120" w:before="240" w:line="360" w:lineRule="auto"/>
        <w:jc w:val="left"/>
      </w:pPr>
      <w:r>
        <w:t xml:space="preserve">（二）数据要素利用的测度</w:t>
      </w:r>
    </w:p>
    <w:p>
      <w:pPr>
        <w:spacing w:after="60" w:before="120" w:line="360" w:lineRule="auto"/>
        <w:jc w:val="left"/>
      </w:pPr>
      <w:r>
        <w:t xml:space="preserve">五维度关键词体系</w:t>
      </w:r>
    </w:p>
    <w:p>
      <w:pPr>
        <w:pStyle w:val="Normal"/>
        <w:spacing w:line="360" w:lineRule="auto"/>
        <w:ind w:firstLine="480"/>
        <w:jc w:val="both"/>
      </w:pPr>
      <w:r>
        <w:rPr>
          <w:rFonts w:ascii="SimSun" w:cs="SimSun" w:eastAsia="SimSun" w:hAnsi="SimSun"/>
          <w:b w:val="false"/>
          <w:bCs w:val="false"/>
          <w:sz w:val="24"/>
          <w:szCs w:val="24"/>
        </w:rPr>
        <w:t xml:space="preserve">数据资产及其相关活动长期处于会计体系之外，难以通过传统财务指标直接观察，文本分析因此成为获取数据要素利用信息的重要途径。本文沿数据价值链的不同环节构建了五维度关键词体系：数据存量（data_stock，15个关键词，如大数据、数据库、数据中心等）、数据开发能力（data_dev，19个关键词，如数据挖掘、机器学习、数字化转型等）、数据驱动应用（data_app，19个关键词，如精准营销、智能推荐、风控模型等）、数据价值变现（data_value，11个关键词，如数据资产、数据交易、数据入表等）和数据治理（data_gov，9个关键词，如数据安全、数据隐私、数据合规等），共计73个关键词。这一分类方案借鉴了CNRDS数字化转型指标的理论框架，同时针对朱康（2025）采用的两维度体系进行了细化，新增数据开发能力、数据价值变现和数据治理三个维度，更加全面地覆盖企业数据要素利用的全生命周期。完整的关键词清单列示于附录。</w:t>
      </w:r>
    </w:p>
    <w:p>
      <w:pPr>
        <w:pStyle w:val="Normal"/>
        <w:spacing w:line="360" w:lineRule="auto"/>
        <w:ind w:firstLine="480"/>
        <w:jc w:val="both"/>
      </w:pPr>
      <w:r>
        <w:rPr>
          <w:rFonts w:ascii="SimSun" w:cs="SimSun" w:eastAsia="SimSun" w:hAnsi="SimSun"/>
          <w:b w:val="false"/>
          <w:bCs w:val="false"/>
          <w:sz w:val="24"/>
          <w:szCs w:val="24"/>
        </w:rPr>
        <w:t xml:space="preserve">关键词频率的计算方法为：</w:t>
      </w:r>
    </w:p>
    <w:p>
      <w:pPr>
        <w:spacing w:line="360" w:lineRule="auto"/>
        <w:ind w:firstLine="480"/>
        <w:jc w:val="left"/>
      </w:pPr>
      <w:r>
        <w:t xml:space="preserve">DU_{kw} = \frac{\text{关键词总出现次数}}{\text{年报全文总字数}} \times 10000</w:t>
      </w:r>
    </w:p>
    <w:p>
      <w:pPr>
        <w:pStyle w:val="Normal"/>
        <w:spacing w:line="360" w:lineRule="auto"/>
        <w:ind w:firstLine="480"/>
        <w:jc w:val="both"/>
      </w:pPr>
      <w:r>
        <w:rPr>
          <w:rFonts w:ascii="SimSun" w:cs="SimSun" w:eastAsia="SimSun" w:hAnsi="SimSun"/>
          <w:b w:val="false"/>
          <w:bCs w:val="false"/>
          <w:sz w:val="24"/>
          <w:szCs w:val="24"/>
        </w:rPr>
        <w:t xml:space="preserve">即每万字中数据相关关键词的出现次数。文本处理采用多编码支持策略和长词优先匹配策略，以确保编码的准确读取和避免短词误匹配导致的高估。</w:t>
      </w:r>
    </w:p>
    <w:p>
      <w:pPr>
        <w:spacing w:after="60" w:before="120" w:line="360" w:lineRule="auto"/>
        <w:jc w:val="left"/>
      </w:pPr>
      <w:r>
        <w:t xml:space="preserve">多口径指标与实质利用判别</w:t>
      </w:r>
    </w:p>
    <w:p>
      <w:pPr>
        <w:pStyle w:val="Normal"/>
        <w:spacing w:line="360" w:lineRule="auto"/>
        <w:ind w:firstLine="480"/>
        <w:jc w:val="both"/>
      </w:pPr>
      <w:r>
        <w:rPr>
          <w:rFonts w:ascii="SimSun" w:cs="SimSun" w:eastAsia="SimSun" w:hAnsi="SimSun"/>
          <w:b w:val="false"/>
          <w:bCs w:val="false"/>
          <w:sz w:val="24"/>
          <w:szCs w:val="24"/>
        </w:rPr>
        <w:t xml:space="preserve">在主指标DU_kw的基础上，本文构造了两个备选指标：DU_kw_ln = ln(1 + DU_kw)，即对频率进行对数变换以处理右偏分布；DU_sub_ln = ln(1 + DU_sub)，其中DU_sub为"实质利用次数"，其构造基于对关键词出现上下文的判断——关键词周围100字窗口内同时包含具体数字、百分比表述或动作词与对象搭配时，判定为实质利用，否则视为概念性提及。这一区分旨在提高指标的信息质量。</w:t>
      </w:r>
    </w:p>
    <w:p>
      <w:pPr>
        <w:spacing w:after="60" w:before="120" w:line="360" w:lineRule="auto"/>
        <w:jc w:val="left"/>
      </w:pPr>
      <w:r>
        <w:t xml:space="preserve">指标有效性</w:t>
      </w:r>
    </w:p>
    <w:p>
      <w:pPr>
        <w:pStyle w:val="Normal"/>
        <w:spacing w:line="360" w:lineRule="auto"/>
        <w:ind w:firstLine="480"/>
        <w:jc w:val="both"/>
      </w:pPr>
      <w:r>
        <w:rPr>
          <w:rFonts w:ascii="SimSun" w:cs="SimSun" w:eastAsia="SimSun" w:hAnsi="SimSun"/>
          <w:b w:val="false"/>
          <w:bCs w:val="false"/>
          <w:sz w:val="24"/>
          <w:szCs w:val="24"/>
        </w:rPr>
        <w:t xml:space="preserve">DU_kw在2011-2024年间呈现清晰的上升趋势，在三个关键政策时点出现明显加速：2015年《促进大数据发展行动纲要》发布后增幅约21%、2022年"数据二十条"出台后经历显著增长、2024年入表新规实施后进一步提升。行业分布上，信息技术产业和科学研究与技术服务业的DU_kw均值（分别为2.34和1.98）远高于制造业（0.72）和采矿业（0.48），符合产业对数据要素依赖程度的直观预期。样本中DU_ratio（实质利用比例）的均值为0.621，中位数为0.750，表明多数企业的数据关键词使用具有实质利用背景。</w:t>
      </w:r>
    </w:p>
    <w:p>
      <w:pPr>
        <w:pStyle w:val="Normal"/>
        <w:spacing w:line="360" w:lineRule="auto"/>
        <w:ind w:firstLine="480"/>
        <w:jc w:val="both"/>
      </w:pPr>
      <w:r>
        <w:rPr>
          <w:rFonts w:ascii="SimSun" w:cs="SimSun" w:eastAsia="SimSun" w:hAnsi="SimSun"/>
          <w:b w:val="false"/>
          <w:bCs w:val="false"/>
          <w:sz w:val="24"/>
          <w:szCs w:val="24"/>
        </w:rPr>
        <w:t xml:space="preserve">相比李世刚等（2025）依据的CNRDS指数仅覆盖2018-2020年三年，本文实现了2011-2024年完整的14年面板数据，大幅扩展了识别长期效应的时间窗口。</w:t>
      </w:r>
    </w:p>
    <w:p>
      <w:pPr>
        <w:pStyle w:val="Heading2"/>
        <w:spacing w:after="120" w:before="240" w:line="360" w:lineRule="auto"/>
        <w:jc w:val="left"/>
      </w:pPr>
      <w:r>
        <w:t xml:space="preserve">（三）变量定义</w:t>
      </w:r>
    </w:p>
    <w:p>
      <w:pPr>
        <w:spacing w:after="60" w:before="120" w:line="360" w:lineRule="auto"/>
        <w:jc w:val="left"/>
      </w:pPr>
      <w:r>
        <w:t xml:space="preserve">因变量：股价延迟PriceDelay</w:t>
      </w:r>
    </w:p>
    <w:p>
      <w:pPr>
        <w:pStyle w:val="Normal"/>
        <w:spacing w:line="360" w:lineRule="auto"/>
        <w:ind w:firstLine="480"/>
        <w:jc w:val="both"/>
      </w:pPr>
      <w:r>
        <w:rPr>
          <w:rFonts w:ascii="SimSun" w:cs="SimSun" w:eastAsia="SimSun" w:hAnsi="SimSun"/>
          <w:b w:val="false"/>
          <w:bCs w:val="false"/>
          <w:sz w:val="24"/>
          <w:szCs w:val="24"/>
        </w:rPr>
        <w:t xml:space="preserve">本文采用Hou和Moskowitz（2005）的方法构造股价延迟。对企业i在年份t的日收益率序列（至少120个交易日），分别估计受限模型和无限制模型：</w:t>
      </w:r>
    </w:p>
    <w:p>
      <w:pPr>
        <w:pStyle w:val="Normal"/>
        <w:spacing w:line="360" w:lineRule="auto"/>
        <w:ind w:firstLine="480"/>
        <w:jc w:val="both"/>
      </w:pPr>
      <w:r>
        <w:rPr>
          <w:rFonts w:ascii="SimSun" w:cs="SimSun" w:eastAsia="SimSun" w:hAnsi="SimSun"/>
          <w:b w:val="false"/>
          <w:bCs w:val="false"/>
          <w:sz w:val="24"/>
          <w:szCs w:val="24"/>
        </w:rPr>
        <w:t xml:space="preserve">受限模型：</w:t>
      </w:r>
    </w:p>
    <w:p>
      <w:pPr>
        <w:spacing w:line="360" w:lineRule="auto"/>
        <w:ind w:firstLine="480"/>
        <w:jc w:val="left"/>
      </w:pPr>
      <w:r>
        <w:t xml:space="preserve">r_{i,d} = \alpha + \beta_0 \cdot r_{m,d} + \varepsilon_{i,d}</w:t>
      </w:r>
    </w:p>
    <w:p>
      <w:pPr>
        <w:pStyle w:val="Normal"/>
        <w:spacing w:line="360" w:lineRule="auto"/>
        <w:ind w:firstLine="480"/>
        <w:jc w:val="both"/>
      </w:pPr>
      <w:r>
        <w:rPr>
          <w:rFonts w:ascii="SimSun" w:cs="SimSun" w:eastAsia="SimSun" w:hAnsi="SimSun"/>
          <w:b w:val="false"/>
          <w:bCs w:val="false"/>
          <w:sz w:val="24"/>
          <w:szCs w:val="24"/>
        </w:rPr>
        <w:t xml:space="preserve">无限制模型：</w:t>
      </w:r>
    </w:p>
    <w:p>
      <w:pPr>
        <w:spacing w:line="360" w:lineRule="auto"/>
        <w:ind w:firstLine="480"/>
        <w:jc w:val="left"/>
      </w:pPr>
      <w:r>
        <w:t xml:space="preserve">r_{i,d} = \alpha + \beta_0 \cdot r_{m,d} + \sum_{k=1}^{5} \beta_k \cdot r_{m,d-k} + \varepsilon_{i,d}</w:t>
      </w:r>
    </w:p>
    <w:p>
      <w:pPr>
        <w:pStyle w:val="Normal"/>
        <w:spacing w:line="360" w:lineRule="auto"/>
        <w:ind w:firstLine="480"/>
        <w:jc w:val="both"/>
      </w:pPr>
      <w:r>
        <w:rPr>
          <w:rFonts w:ascii="SimSun" w:cs="SimSun" w:eastAsia="SimSun" w:hAnsi="SimSun"/>
          <w:b w:val="false"/>
          <w:bCs w:val="false"/>
          <w:sz w:val="24"/>
          <w:szCs w:val="24"/>
        </w:rPr>
        <w:t xml:space="preserve">股价延迟定义为：</w:t>
      </w:r>
    </w:p>
    <w:p>
      <w:pPr>
        <w:spacing w:line="360" w:lineRule="auto"/>
        <w:ind w:firstLine="480"/>
        <w:jc w:val="left"/>
      </w:pPr>
      <w:r>
        <w:t xml:space="preserve">\text{PriceDelay}_{i,t} = 1 - \frac{R^2_{\text{restricted}}}{R^2_{\text{unrestricted}}}</w:t>
      </w:r>
    </w:p>
    <w:p>
      <w:pPr>
        <w:pStyle w:val="Normal"/>
        <w:spacing w:line="360" w:lineRule="auto"/>
        <w:ind w:firstLine="480"/>
        <w:jc w:val="both"/>
      </w:pPr>
      <w:r>
        <w:rPr>
          <w:rFonts w:ascii="SimSun" w:cs="SimSun" w:eastAsia="SimSun" w:hAnsi="SimSun"/>
          <w:b w:val="false"/>
          <w:bCs w:val="false"/>
          <w:sz w:val="24"/>
          <w:szCs w:val="24"/>
        </w:rPr>
        <w:t xml:space="preserve">取值范围为[0,1]，值越大表示股价对市场信息的反应越滞后，定价效率越低。相比股价同步性等其他指标，PriceDelay更直接地反映信息向价格的转换速度。样本中PriceDelay的均值为0.110、标准差为0.120、中位数为0.068。</w:t>
      </w:r>
    </w:p>
    <w:p>
      <w:pPr>
        <w:spacing w:after="60" w:before="120" w:line="360" w:lineRule="auto"/>
        <w:jc w:val="left"/>
      </w:pPr>
      <w:r>
        <w:t xml:space="preserve">自变量：数据要素利用DU_kw</w:t>
      </w:r>
    </w:p>
    <w:p>
      <w:pPr>
        <w:pStyle w:val="Normal"/>
        <w:spacing w:line="360" w:lineRule="auto"/>
        <w:ind w:firstLine="480"/>
        <w:jc w:val="both"/>
      </w:pPr>
      <w:r>
        <w:rPr>
          <w:rFonts w:ascii="SimSun" w:cs="SimSun" w:eastAsia="SimSun" w:hAnsi="SimSun"/>
          <w:b w:val="false"/>
          <w:bCs w:val="false"/>
          <w:sz w:val="24"/>
          <w:szCs w:val="24"/>
        </w:rPr>
        <w:t xml:space="preserve">DU_kw的定义和构造方法已在上一节详述。回归分析中采用t-1年的DU_kw来解释t年的股价延迟，以缓解反向因果。样本中DU_kw的均值为1.070、标准差为1.695、中位数为0.478。</w:t>
      </w:r>
    </w:p>
    <w:p>
      <w:pPr>
        <w:spacing w:after="60" w:before="120" w:line="360" w:lineRule="auto"/>
        <w:jc w:val="left"/>
      </w:pPr>
      <w:r>
        <w:t xml:space="preserve">控制变量</w:t>
      </w:r>
    </w:p>
    <w:p>
      <w:pPr>
        <w:pStyle w:val="Normal"/>
        <w:spacing w:line="360" w:lineRule="auto"/>
        <w:ind w:firstLine="480"/>
        <w:jc w:val="both"/>
      </w:pPr>
      <w:r>
        <w:rPr>
          <w:rFonts w:ascii="SimSun" w:cs="SimSun" w:eastAsia="SimSun" w:hAnsi="SimSun"/>
          <w:b w:val="false"/>
          <w:bCs w:val="false"/>
          <w:sz w:val="24"/>
          <w:szCs w:val="24"/>
        </w:rPr>
        <w:t xml:space="preserve">本文纳入15个控制变量，涵盖企业规模、财务状况、治理特征、市场流动性和信息环境等维度：</w:t>
      </w:r>
    </w:p>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uto"/>
        </w:trPr>
        <w:tc>
          <w:tcPr>
            <w:tcW w:type="dxa" w:w="2076"/>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变量</w:t>
            </w:r>
          </w:p>
        </w:tc>
        <w:tc>
          <w:tcPr>
            <w:tcW w:type="dxa" w:w="2076"/>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定义</w:t>
            </w:r>
          </w:p>
        </w:tc>
        <w:tc>
          <w:tcPr>
            <w:tcW w:type="dxa" w:w="2076"/>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均值</w:t>
            </w:r>
          </w:p>
        </w:tc>
        <w:tc>
          <w:tcPr>
            <w:tcW w:type="dxa" w:w="2076"/>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标准差</w:t>
            </w:r>
          </w:p>
        </w:tc>
      </w:tr>
      <w:tr>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Size</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总市值的自然对数</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22.643</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0.972</w:t>
            </w:r>
          </w:p>
        </w:tc>
      </w:tr>
      <w:tr>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Lev</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总负债/总资产</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0.434</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0.205</w:t>
            </w:r>
          </w:p>
        </w:tc>
      </w:tr>
      <w:tr>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ROA</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净利润/总资产</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0.027</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0.068</w:t>
            </w:r>
          </w:p>
        </w:tc>
      </w:tr>
      <w:tr>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TobinQ</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(股权市值+负债账面值)/总资产</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2.027</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1.314</w:t>
            </w:r>
          </w:p>
        </w:tc>
      </w:tr>
      <w:tr>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Age</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ln(当年-上市年份+1)</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2.282</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0.635</w:t>
            </w:r>
          </w:p>
        </w:tc>
      </w:tr>
      <w:tr>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Growth</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营收增长率</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0.127</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0.371</w:t>
            </w:r>
          </w:p>
        </w:tc>
      </w:tr>
      <w:tr>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BoardSize</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ln(董事会人数)</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2.109</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0.198</w:t>
            </w:r>
          </w:p>
        </w:tc>
      </w:tr>
      <w:tr>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IndepRatio</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独立董事人数/董事会总人数</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0.379</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0.054</w:t>
            </w:r>
          </w:p>
        </w:tc>
      </w:tr>
      <w:tr>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Dual</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董事长兼任CEO取1，否则为0</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0.287</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0.453</w:t>
            </w:r>
          </w:p>
        </w:tc>
      </w:tr>
      <w:tr>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Top1Share</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第一大股东持股比例</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33.034</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14.756</w:t>
            </w:r>
          </w:p>
        </w:tc>
      </w:tr>
      <w:tr>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SOE</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国有企业取1，否则为0</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0.340</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0.474</w:t>
            </w:r>
          </w:p>
        </w:tc>
      </w:tr>
      <w:tr>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InstHold</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机构投资者持股比例</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42.081</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24.331</w:t>
            </w:r>
          </w:p>
        </w:tc>
      </w:tr>
      <w:tr>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Amihud</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Amihud非流动性指标</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0.042</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0.043</w:t>
            </w:r>
          </w:p>
        </w:tc>
      </w:tr>
      <w:tr>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Analyst</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ln(1+跟踪分析师人数)</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2.489</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1.739</w:t>
            </w:r>
          </w:p>
        </w:tc>
      </w:tr>
      <w:tr>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AuditType</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标准无保留意见取1，否则为0</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0.963</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0.188</w:t>
            </w:r>
          </w:p>
        </w:tc>
      </w:tr>
    </w:tbl>
    <w:p/>
    <w:p>
      <w:pPr>
        <w:pStyle w:val="Normal"/>
        <w:spacing w:line="360" w:lineRule="auto"/>
        <w:ind w:firstLine="480"/>
        <w:jc w:val="both"/>
      </w:pPr>
      <w:r>
        <w:rPr>
          <w:rFonts w:ascii="SimSun" w:cs="SimSun" w:eastAsia="SimSun" w:hAnsi="SimSun"/>
          <w:b w:val="false"/>
          <w:bCs w:val="false"/>
          <w:sz w:val="24"/>
          <w:szCs w:val="24"/>
        </w:rPr>
        <w:t xml:space="preserve">上述控制变量的选择参照股价延迟研究的通行做法，分别控制了可能同时影响数据要素利用和定价效率的多个维度。</w:t>
      </w:r>
    </w:p>
    <w:p>
      <w:pPr>
        <w:spacing w:after="60" w:before="120" w:line="360" w:lineRule="auto"/>
        <w:jc w:val="left"/>
      </w:pPr>
      <w:r>
        <w:t xml:space="preserve">中介变量</w:t>
      </w:r>
    </w:p>
    <w:p>
      <w:pPr>
        <w:pStyle w:val="Normal"/>
        <w:spacing w:line="360" w:lineRule="auto"/>
        <w:ind w:firstLine="480"/>
        <w:jc w:val="both"/>
      </w:pPr>
      <w:r>
        <w:rPr>
          <w:rFonts w:ascii="SimSun" w:cs="SimSun" w:eastAsia="SimSun" w:hAnsi="SimSun"/>
          <w:b w:val="false"/>
          <w:bCs w:val="false"/>
          <w:sz w:val="24"/>
          <w:szCs w:val="24"/>
        </w:rPr>
        <w:t xml:space="preserve">机制分析中纳入三个中介变量：Analyst（分析师覆盖对数），反映信息中介活跃度；FinAsset（金融资产占比），反映数据驱动决策对企业投资行为的影响；InstHold（机构持股比例），反映机构投资者对数据要素利用信息的评价。</w:t>
      </w:r>
    </w:p>
    <w:p>
      <w:pPr>
        <w:pStyle w:val="Heading2"/>
        <w:spacing w:after="120" w:before="240" w:line="360" w:lineRule="auto"/>
        <w:jc w:val="left"/>
      </w:pPr>
      <w:r>
        <w:t xml:space="preserve">（四）模型设定</w:t>
      </w:r>
    </w:p>
    <w:p>
      <w:pPr>
        <w:spacing w:after="60" w:before="120" w:line="360" w:lineRule="auto"/>
        <w:jc w:val="left"/>
      </w:pPr>
      <w:r>
        <w:t xml:space="preserve">基准回归模型</w:t>
      </w:r>
    </w:p>
    <w:p>
      <w:pPr>
        <w:spacing w:line="360" w:lineRule="auto"/>
        <w:ind w:firstLine="480"/>
        <w:jc w:val="left"/>
      </w:pPr>
      <w:r>
        <w:t xml:space="preserve">\text{PriceDelay}_{i,t} = \alpha + \beta \cdot DU_{kw,i,t-1} + \gamma \cdot \mathbf{Controls}_{i,t} + \mu_i + \lambda_t + \varepsilon_{i,t}</w:t>
      </w:r>
    </w:p>
    <w:p>
      <w:pPr>
        <w:pStyle w:val="Normal"/>
        <w:spacing w:line="360" w:lineRule="auto"/>
        <w:ind w:firstLine="480"/>
        <w:jc w:val="both"/>
      </w:pPr>
      <w:r>
        <w:rPr>
          <w:rFonts w:ascii="SimSun" w:cs="SimSun" w:eastAsia="SimSun" w:hAnsi="SimSun"/>
          <w:b w:val="false"/>
          <w:bCs w:val="false"/>
          <w:sz w:val="24"/>
          <w:szCs w:val="24"/>
        </w:rPr>
        <w:t xml:space="preserve">其中</w:t>
      </w:r>
      <w:r>
        <w:rPr>
          <w:rFonts w:ascii="Times New Roman" w:cs="Times New Roman" w:eastAsia="Times New Roman" w:hAnsi="Times New Roman"/>
          <w:b w:val="false"/>
          <w:bCs w:val="false"/>
          <w:sz w:val="24"/>
          <w:szCs w:val="24"/>
        </w:rPr>
        <w:t xml:space="preserve">\mu_i</w:t>
      </w:r>
      <w:r>
        <w:rPr>
          <w:rFonts w:ascii="SimSun" w:cs="SimSun" w:eastAsia="SimSun" w:hAnsi="SimSun"/>
          <w:b w:val="false"/>
          <w:bCs w:val="false"/>
          <w:sz w:val="24"/>
          <w:szCs w:val="24"/>
        </w:rPr>
        <w:t xml:space="preserve">为企业固定效应，控制不随时间变化的企业禀赋特征；</w:t>
      </w:r>
      <w:r>
        <w:rPr>
          <w:rFonts w:ascii="Times New Roman" w:cs="Times New Roman" w:eastAsia="Times New Roman" w:hAnsi="Times New Roman"/>
          <w:b w:val="false"/>
          <w:bCs w:val="false"/>
          <w:sz w:val="24"/>
          <w:szCs w:val="24"/>
        </w:rPr>
        <w:t xml:space="preserve">\lambda_t</w:t>
      </w:r>
      <w:r>
        <w:rPr>
          <w:rFonts w:ascii="SimSun" w:cs="SimSun" w:eastAsia="SimSun" w:hAnsi="SimSun"/>
          <w:b w:val="false"/>
          <w:bCs w:val="false"/>
          <w:sz w:val="24"/>
          <w:szCs w:val="24"/>
        </w:rPr>
        <w:t xml:space="preserve">为年份固定效应，控制宏观环境的共同变化。两向固定效应设定有效剔除了企业的时不变特征和年度共性冲击，大幅降低了遗漏变量偏差的风险。标准误聚类采用行业×年份双向聚类，允许同行业同年度企业的残差存在相关性。</w:t>
      </w:r>
    </w:p>
    <w:p>
      <w:pPr>
        <w:pStyle w:val="Normal"/>
        <w:spacing w:line="360" w:lineRule="auto"/>
        <w:ind w:firstLine="480"/>
        <w:jc w:val="both"/>
      </w:pPr>
      <w:r>
        <w:rPr>
          <w:rFonts w:ascii="SimSun" w:cs="SimSun" w:eastAsia="SimSun" w:hAnsi="SimSun"/>
          <w:b w:val="false"/>
          <w:bCs w:val="false"/>
          <w:sz w:val="24"/>
          <w:szCs w:val="24"/>
        </w:rPr>
        <w:t xml:space="preserve">本文报告两种主要模型规格：模型(1)仅含DU_kw和固定效应，模型(2)加入全部15个控制变量。备选规格采用行业+年份固定效应以检验结论的敏感性。根据H1a的理论预期，若信息供给效应占主导，β应显著为负。</w:t>
      </w:r>
    </w:p>
    <w:p>
      <w:pPr>
        <w:spacing w:after="60" w:before="120" w:line="360" w:lineRule="auto"/>
        <w:jc w:val="left"/>
      </w:pPr>
      <w:r>
        <w:t xml:space="preserve">机制检验</w:t>
      </w:r>
    </w:p>
    <w:p>
      <w:pPr>
        <w:spacing w:line="360" w:lineRule="auto"/>
        <w:ind w:firstLine="480"/>
        <w:jc w:val="left"/>
      </w:pPr>
      <w:r>
        <w:t xml:space="preserve">M_{i,t} = \alpha + \beta \cdot DU_{kw,i,t-1} + \gamma \cdot \mathbf{Controls}_{i,t} + \mu_i + \lambda_t + \varepsilon_{i,t}</w:t>
      </w:r>
    </w:p>
    <w:p>
      <w:pPr>
        <w:pStyle w:val="Normal"/>
        <w:spacing w:line="360" w:lineRule="auto"/>
        <w:ind w:firstLine="480"/>
        <w:jc w:val="both"/>
      </w:pPr>
      <w:r>
        <w:rPr>
          <w:rFonts w:ascii="SimSun" w:cs="SimSun" w:eastAsia="SimSun" w:hAnsi="SimSun"/>
          <w:b w:val="false"/>
          <w:bCs w:val="false"/>
          <w:sz w:val="24"/>
          <w:szCs w:val="24"/>
        </w:rPr>
        <w:t xml:space="preserve">其中M分别为Analyst、FinAsset和InstHold。本文采用路径系数的直接呈现而非Sobel检验，目的在于确认传导路径的存在性。</w:t>
      </w:r>
    </w:p>
    <w:p>
      <w:pPr>
        <w:spacing w:after="60" w:before="120" w:line="360" w:lineRule="auto"/>
        <w:jc w:val="left"/>
      </w:pPr>
      <w:r>
        <w:t xml:space="preserve">异质性分析</w:t>
      </w:r>
    </w:p>
    <w:p>
      <w:pPr>
        <w:pStyle w:val="Normal"/>
        <w:spacing w:line="360" w:lineRule="auto"/>
        <w:ind w:firstLine="480"/>
        <w:jc w:val="both"/>
      </w:pPr>
      <w:r>
        <w:rPr>
          <w:rFonts w:ascii="SimSun" w:cs="SimSun" w:eastAsia="SimSun" w:hAnsi="SimSun"/>
          <w:b w:val="false"/>
          <w:bCs w:val="false"/>
          <w:sz w:val="24"/>
          <w:szCs w:val="24"/>
        </w:rPr>
        <w:t xml:space="preserve">分别按产权性质、分析师覆盖（年度中位数分割）和行业属性（高科技vs传统）进行分组回归，采用Fisher组间差异检验评估系数差异的统计显著性。</w:t>
      </w:r>
    </w:p>
    <w:p>
      <w:pPr>
        <w:pageBreakBefore/>
      </w:pPr>
    </w:p>
    <w:p>
      <w:pPr>
        <w:pStyle w:val="Heading1"/>
        <w:spacing w:after="240" w:before="360" w:line="360" w:lineRule="auto"/>
        <w:jc w:val="left"/>
      </w:pPr>
      <w:r>
        <w:t xml:space="preserve">四、实证检验</w:t>
      </w:r>
    </w:p>
    <w:p>
      <w:pPr>
        <w:pStyle w:val="Heading2"/>
        <w:spacing w:after="120" w:before="240" w:line="360" w:lineRule="auto"/>
        <w:jc w:val="left"/>
      </w:pPr>
      <w:r>
        <w:t xml:space="preserve">（一）描述性统计</w:t>
      </w:r>
    </w:p>
    <w:p>
      <w:pPr>
        <w:pStyle w:val="Normal"/>
        <w:spacing w:line="360" w:lineRule="auto"/>
        <w:ind w:firstLine="480"/>
        <w:jc w:val="both"/>
      </w:pPr>
      <w:r>
        <w:rPr>
          <w:rFonts w:ascii="SimSun" w:cs="SimSun" w:eastAsia="SimSun" w:hAnsi="SimSun"/>
          <w:b w:val="false"/>
          <w:bCs w:val="false"/>
          <w:sz w:val="24"/>
          <w:szCs w:val="24"/>
        </w:rPr>
        <w:t xml:space="preserve">表1报告了主要变量的描述性统计结果。样本包含38,943个企业-年份观测。股价延迟的均值为0.110、标准差为0.120、中位数为0.068，右偏分布特征表明多数企业的股价信息融入效率较高，而少数企业面临明显的信息反映滞后。数据要素利用指标DU_kw的均值为1.070、标准差为1.695、中位数仅为0.478，分布的极度右偏反映了企业间数据要素利用程度的巨大差异——少数企业已形成高强度的数据利用模式，而多数企业的利用水平仍处于起步阶段。</w:t>
      </w:r>
    </w:p>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rHeight w:val="400" w:hRule="auto"/>
        </w:trPr>
        <w:tc>
          <w:tcPr>
            <w:tcW w:type="dxa" w:w="1186"/>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变量</w:t>
            </w:r>
          </w:p>
        </w:tc>
        <w:tc>
          <w:tcPr>
            <w:tcW w:type="dxa" w:w="1186"/>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N</w:t>
            </w:r>
          </w:p>
        </w:tc>
        <w:tc>
          <w:tcPr>
            <w:tcW w:type="dxa" w:w="1186"/>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均值</w:t>
            </w:r>
          </w:p>
        </w:tc>
        <w:tc>
          <w:tcPr>
            <w:tcW w:type="dxa" w:w="1186"/>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标准差</w:t>
            </w:r>
          </w:p>
        </w:tc>
        <w:tc>
          <w:tcPr>
            <w:tcW w:type="dxa" w:w="1186"/>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最小值</w:t>
            </w:r>
          </w:p>
        </w:tc>
        <w:tc>
          <w:tcPr>
            <w:tcW w:type="dxa" w:w="1186"/>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中位数</w:t>
            </w:r>
          </w:p>
        </w:tc>
        <w:tc>
          <w:tcPr>
            <w:tcW w:type="dxa" w:w="1186"/>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最大值</w:t>
            </w:r>
          </w:p>
        </w:tc>
      </w:tr>
      <w:tr>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PriceDelay</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38,943</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0.110</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0.120</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0.005</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0.068</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0.664</w:t>
            </w:r>
          </w:p>
        </w:tc>
      </w:tr>
      <w:tr>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DU_kw</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38,943</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1.070</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1.695</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0.000</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0.478</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10.06</w:t>
            </w:r>
          </w:p>
        </w:tc>
      </w:tr>
      <w:tr>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DU_kw_ln</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38,943</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2.415</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1.250</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0.000</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2.398</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5.481</w:t>
            </w:r>
          </w:p>
        </w:tc>
      </w:tr>
      <w:tr>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Size</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38,943</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22.643</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0.972</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20.949</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22.481</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25.667</w:t>
            </w:r>
          </w:p>
        </w:tc>
      </w:tr>
      <w:tr>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Lev</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38,943</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0.434</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0.205</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0.055</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0.427</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0.923</w:t>
            </w:r>
          </w:p>
        </w:tc>
      </w:tr>
      <w:tr>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ROA</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38,943</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0.027</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0.068</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-0.279</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0.031</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0.191</w:t>
            </w:r>
          </w:p>
        </w:tc>
      </w:tr>
      <w:tr>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TobinQ</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38,943</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2.027</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1.314</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0.830</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1.604</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8.443</w:t>
            </w:r>
          </w:p>
        </w:tc>
      </w:tr>
      <w:tr>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Analyst</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38,943</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2.489</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1.739</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0.000</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2.639</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5.656</w:t>
            </w:r>
          </w:p>
        </w:tc>
      </w:tr>
      <w:tr>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InstHold</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38,943</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42.081</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24.331</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0.350</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43.372</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90.708</w:t>
            </w:r>
          </w:p>
        </w:tc>
      </w:tr>
    </w:tbl>
    <w:p/>
    <w:p>
      <w:pPr>
        <w:pStyle w:val="Normal"/>
        <w:spacing w:line="360" w:lineRule="auto"/>
        <w:ind w:firstLine="480"/>
        <w:jc w:val="both"/>
      </w:pPr>
      <w:r>
        <w:rPr>
          <w:rFonts w:ascii="SimSun" w:cs="SimSun" w:eastAsia="SimSun" w:hAnsi="SimSun"/>
          <w:b w:val="false"/>
          <w:bCs w:val="false"/>
          <w:sz w:val="24"/>
          <w:szCs w:val="24"/>
        </w:rPr>
        <w:t xml:space="preserve">DU_kw与PriceDelay的Pearson相关系数为-0.068，初步显示了二者之间的负向关联，但相关系数量级较小，表明股价延迟受多维度因素共同作用。控制变量中，分析师覆盖与机构持股比例的变异系数分别达到0.70和0.58，表明样本企业在信息环境维度上具有充分的差异性，为后续回归中识别数据要素利用的净效应提供了良好条件。</w:t>
      </w:r>
    </w:p>
    <w:p>
      <w:pPr>
        <w:pStyle w:val="Heading2"/>
        <w:spacing w:after="120" w:before="240" w:line="360" w:lineRule="auto"/>
        <w:jc w:val="left"/>
      </w:pPr>
      <w:r>
        <w:t xml:space="preserve">（二）基准回归结果</w:t>
      </w:r>
    </w:p>
    <w:p>
      <w:pPr>
        <w:pStyle w:val="Normal"/>
        <w:spacing w:line="360" w:lineRule="auto"/>
        <w:ind w:firstLine="480"/>
        <w:jc w:val="both"/>
      </w:pPr>
      <w:r>
        <w:rPr>
          <w:rFonts w:ascii="SimSun" w:cs="SimSun" w:eastAsia="SimSun" w:hAnsi="SimSun"/>
          <w:b w:val="false"/>
          <w:bCs w:val="false"/>
          <w:sz w:val="24"/>
          <w:szCs w:val="24"/>
        </w:rPr>
        <w:t xml:space="preserve">表2报告了数据要素利用对股价延迟的基准回归结果。模型(1)至(4)采用企业与年份双向固定效应，模型(5)和(6)采用行业与年份双向固定效应。所有模型的标准误均在行业×年份水平上聚类。</w:t>
      </w:r>
    </w:p>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rHeight w:val="400" w:hRule="auto"/>
        </w:trPr>
        <w:tc>
          <w:tcPr>
            <w:tcW w:type="dxa" w:w="1384"/>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模型</w:t>
            </w:r>
          </w:p>
        </w:tc>
        <w:tc>
          <w:tcPr>
            <w:tcW w:type="dxa" w:w="1384"/>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固定效应</w:t>
            </w:r>
          </w:p>
        </w:tc>
        <w:tc>
          <w:tcPr>
            <w:tcW w:type="dxa" w:w="1384"/>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自变量</w:t>
            </w:r>
          </w:p>
        </w:tc>
        <w:tc>
          <w:tcPr>
            <w:tcW w:type="dxa" w:w="1384"/>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系数</w:t>
            </w:r>
          </w:p>
        </w:tc>
        <w:tc>
          <w:tcPr>
            <w:tcW w:type="dxa" w:w="1384"/>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t值</w:t>
            </w:r>
          </w:p>
        </w:tc>
        <w:tc>
          <w:tcPr>
            <w:tcW w:type="dxa" w:w="1384"/>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p值</w:t>
            </w:r>
          </w:p>
        </w:tc>
      </w:tr>
      <w:tr>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(1)</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Firm+Year</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DU_kw</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-0.00489</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-3.08</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0.002***</w:t>
            </w:r>
          </w:p>
        </w:tc>
      </w:tr>
      <w:tr>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Firm+Year</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DU_kw+Controls</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-0.00364</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-2.57</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0.011**</w:t>
            </w:r>
          </w:p>
        </w:tc>
      </w:tr>
      <w:tr>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(3)</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Firm+Year</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DU_kw_ln</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-0.00322</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-3.13</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0.002***</w:t>
            </w:r>
          </w:p>
        </w:tc>
      </w:tr>
      <w:tr>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(4)</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Firm+Year</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DU_sub_ln</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-0.00223</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-2.64</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0.008***</w:t>
            </w:r>
          </w:p>
        </w:tc>
      </w:tr>
      <w:tr>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(5)</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Ind+Year</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DU_kw</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-0.00190</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-3.21</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0.001***</w:t>
            </w:r>
          </w:p>
        </w:tc>
      </w:tr>
      <w:tr>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(6)</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Ind+Year</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DU_kw_ln</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-0.00220</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-3.10</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0.002***</w:t>
            </w:r>
          </w:p>
        </w:tc>
      </w:tr>
    </w:tbl>
    <w:p/>
    <w:p>
      <w:pPr>
        <w:pStyle w:val="Normal"/>
        <w:spacing w:line="360" w:lineRule="auto"/>
        <w:ind w:firstLine="480"/>
        <w:jc w:val="both"/>
      </w:pPr>
      <w:r>
        <w:rPr>
          <w:rFonts w:ascii="SimSun" w:cs="SimSun" w:eastAsia="SimSun" w:hAnsi="SimSun"/>
          <w:b w:val="false"/>
          <w:bCs w:val="false"/>
          <w:sz w:val="24"/>
          <w:szCs w:val="24"/>
        </w:rPr>
        <w:t xml:space="preserve">模型(1)仅纳入DU_kw和固定效应，系数为-0.00489（t=-3.08），初步确认了数据要素利用对股价延迟的显著负向影响。加入15个控制变量后，模型(2)中DU_kw的系数为-0.00364（t=-2.57，p=0.011），效应有所衰减但仍保持显著。在经济意义上，DU_kw每增加一个标准差（1.695），股价延迟预期下降0.00617，相当于样本均值0.110的5.6%。考虑到股价延迟本身受众多因素同时影响，5.6%的相对降幅在经济上具有不可忽视的实质意义。</w:t>
      </w:r>
    </w:p>
    <w:p>
      <w:pPr>
        <w:pStyle w:val="Normal"/>
        <w:spacing w:line="360" w:lineRule="auto"/>
        <w:ind w:firstLine="480"/>
        <w:jc w:val="both"/>
      </w:pPr>
      <w:r>
        <w:rPr>
          <w:rFonts w:ascii="SimSun" w:cs="SimSun" w:eastAsia="SimSun" w:hAnsi="SimSun"/>
          <w:b w:val="false"/>
          <w:bCs w:val="false"/>
          <w:sz w:val="24"/>
          <w:szCs w:val="24"/>
        </w:rPr>
        <w:t xml:space="preserve">模型(2)中关键控制变量的系数方向与既有文献一致。分析师覆盖（Analyst）的系数为-0.008（t=-10.45），是最强的控制变量，证实了信息中介在缩短股价延迟中的核心作用。流动性指标（Amihud）的系数为+0.078（t=2.47），表明低流动性股票的信息融入速度更慢。TobinQ的系数显著为正（+0.012，t=8.13），意味着高估值企业的股价延迟反而更高，这可能反映了市场对成长型企业估值不确定性的影响。模型整体拟合度为R²=0.414，组内R²为0.023。</w:t>
      </w:r>
    </w:p>
    <w:p>
      <w:pPr>
        <w:pStyle w:val="Normal"/>
        <w:spacing w:line="360" w:lineRule="auto"/>
        <w:ind w:firstLine="480"/>
        <w:jc w:val="both"/>
      </w:pPr>
      <w:r>
        <w:rPr>
          <w:rFonts w:ascii="SimSun" w:cs="SimSun" w:eastAsia="SimSun" w:hAnsi="SimSun"/>
          <w:b w:val="false"/>
          <w:bCs w:val="false"/>
          <w:sz w:val="24"/>
          <w:szCs w:val="24"/>
        </w:rPr>
        <w:t xml:space="preserve">模型(3)和(4)分别使用DU_kw的对数变换和实质利用次数的对数变换作为替代指标。两个替代指标的系数均显著为负（DU_kw_ln: -0.00322, t=-3.13; DU_sub_ln: -0.00223, t=-2.64），且显著性水平更高，表明结论对自变量的测度方式具有稳健性。模型(5)和(6)将固定效应替换为行业与年份，DU_kw的系数为-0.00190（t=-3.21），绝对值有所缩小但统计显著性反而增强。这说明数据要素利用的效应在行业间比较中同样稳定，并非仅由企业个体的时不变特征驱动。</w:t>
      </w:r>
    </w:p>
    <w:p>
      <w:pPr>
        <w:pStyle w:val="Normal"/>
        <w:spacing w:line="360" w:lineRule="auto"/>
        <w:ind w:firstLine="480"/>
        <w:jc w:val="both"/>
      </w:pPr>
      <w:r>
        <w:rPr>
          <w:rFonts w:ascii="SimSun" w:cs="SimSun" w:eastAsia="SimSun" w:hAnsi="SimSun"/>
          <w:b w:val="false"/>
          <w:bCs w:val="false"/>
          <w:sz w:val="24"/>
          <w:szCs w:val="24"/>
        </w:rPr>
        <w:t xml:space="preserve">综合六个模型的结果，数据要素利用与股价延迟之间的负向关系在不同的模型设定、固定效应结构和自变量度量方式下均保持一致。假说H1a得到支持：信息供给效应占据主导地位，企业数据要素利用的增加有助于提升资本市场的定价效率。</w:t>
      </w:r>
    </w:p>
    <w:p>
      <w:pPr>
        <w:pStyle w:val="Heading2"/>
        <w:spacing w:after="120" w:before="240" w:line="360" w:lineRule="auto"/>
        <w:jc w:val="left"/>
      </w:pPr>
      <w:r>
        <w:t xml:space="preserve">（三）内生性处理</w:t>
      </w:r>
    </w:p>
    <w:p>
      <w:pPr>
        <w:pStyle w:val="Normal"/>
        <w:spacing w:line="360" w:lineRule="auto"/>
        <w:ind w:firstLine="480"/>
        <w:jc w:val="both"/>
      </w:pPr>
      <w:r>
        <w:rPr>
          <w:rFonts w:ascii="SimSun" w:cs="SimSun" w:eastAsia="SimSun" w:hAnsi="SimSun"/>
          <w:b w:val="false"/>
          <w:bCs w:val="false"/>
          <w:sz w:val="24"/>
          <w:szCs w:val="24"/>
        </w:rPr>
        <w:t xml:space="preserve">基准回归中的内生性风险主要来自两个方面：其一，信息环境好的企业可能同时呈现高数据利用和低股价延迟，构成遗漏变量偏差；其二，市场定价效率较高的企业可能更有动力披露数据利用信息，形成反向因果。本节采用工具变量法和Oster稳健性界检验加以处理。</w:t>
      </w:r>
    </w:p>
    <w:p>
      <w:pPr>
        <w:spacing w:after="60" w:before="120" w:line="360" w:lineRule="auto"/>
        <w:jc w:val="left"/>
      </w:pPr>
      <w:r>
        <w:t xml:space="preserve">工具变量估计</w:t>
      </w:r>
    </w:p>
    <w:p>
      <w:pPr>
        <w:pStyle w:val="Normal"/>
        <w:spacing w:line="360" w:lineRule="auto"/>
        <w:ind w:firstLine="480"/>
        <w:jc w:val="both"/>
      </w:pPr>
      <w:r>
        <w:rPr>
          <w:rFonts w:ascii="SimSun" w:cs="SimSun" w:eastAsia="SimSun" w:hAnsi="SimSun"/>
          <w:b w:val="false"/>
          <w:bCs w:val="false"/>
          <w:sz w:val="24"/>
          <w:szCs w:val="24"/>
        </w:rPr>
        <w:t xml:space="preserve">本文以省级数字基础设施的前定发展程度作为工具变量（IV1）。该工具变量的逻辑在于：企业所在省份的数字基础设施越发达，其获取和利用数据资源的成本越低、便利性越高，从而促进数据要素利用水平的提升；而省级基础设施的发展轨迹主要由历史和地理因素决定，与单个企业的股价延迟不存在直接的因果关联。</w:t>
      </w:r>
    </w:p>
    <w:p>
      <w:pPr>
        <w:pStyle w:val="Normal"/>
        <w:spacing w:line="360" w:lineRule="auto"/>
        <w:ind w:firstLine="480"/>
        <w:jc w:val="both"/>
      </w:pPr>
      <w:r>
        <w:rPr>
          <w:rFonts w:ascii="SimSun" w:cs="SimSun" w:eastAsia="SimSun" w:hAnsi="SimSun"/>
          <w:b w:val="false"/>
          <w:bCs w:val="false"/>
          <w:sz w:val="24"/>
          <w:szCs w:val="24"/>
        </w:rPr>
        <w:t xml:space="preserve">一阶段回归的F统计量为92.2，远高于Stock和Yogo（2005）提出的弱工具变量临界值，排除了弱工具变量问题。二阶段回归中DU_kw的系数为-0.0446（t=-2.76，p=0.006），在1%的水平上显著为负。IV估计的系数绝对值约为OLS估计的12.2倍，这一放大效应在工具变量文献中常见，通常反映了LATE（局部平均处理效应）与ATE（平均处理效应）之间的差异：工具变量识别的是受省级基础设施影响的那部分企业的处理效应，而这些企业的边际响应可能高于总体平均。</w:t>
      </w:r>
    </w:p>
    <w:p>
      <w:pPr>
        <w:pStyle w:val="Normal"/>
        <w:spacing w:line="360" w:lineRule="auto"/>
        <w:ind w:firstLine="480"/>
        <w:jc w:val="both"/>
      </w:pPr>
      <w:r>
        <w:rPr>
          <w:rFonts w:ascii="SimSun" w:cs="SimSun" w:eastAsia="SimSun" w:hAnsi="SimSun"/>
          <w:b w:val="false"/>
          <w:bCs w:val="false"/>
          <w:sz w:val="24"/>
          <w:szCs w:val="24"/>
        </w:rPr>
        <w:t xml:space="preserve">简化型回归（Reduced Form）在两种固定效应设定下均显著（Firm+Year: t=-2.56, p=0.011; Firm+Ind×Year: t=-2.43, p=0.015），进一步验证了工具变量与因变量之间的传导路径。前置期检验（Pre-period test）中，2017年之前工具变量与股价延迟的相关系数接近零（t=0.048，p=0.962），表明在数字经济政策全面推行之前，省级数字基础设施并不影响企业的股价延迟，满足前置平行趋势假设。</w:t>
      </w:r>
    </w:p>
    <w:p>
      <w:pPr>
        <w:pStyle w:val="Normal"/>
        <w:spacing w:line="360" w:lineRule="auto"/>
        <w:ind w:firstLine="480"/>
        <w:jc w:val="both"/>
      </w:pPr>
      <w:r>
        <w:rPr>
          <w:rFonts w:ascii="SimSun" w:cs="SimSun" w:eastAsia="SimSun" w:hAnsi="SimSun"/>
          <w:b w:val="false"/>
          <w:bCs w:val="false"/>
          <w:sz w:val="24"/>
          <w:szCs w:val="24"/>
        </w:rPr>
        <w:t xml:space="preserve">本文同时检验了两个工具变量联合使用的过度识别情况。Hansen J统计量为21.437（p&lt;0.001），拒绝了联合外生性假设，这可能反映了IV2（同省跨行业同龄企业平均数据利用）通过信息溢出等渠道对股价延迟产生了独立于企业自身数据利用之外的影响。鉴于此，本文以更为保守的单一工具变量IV1作为主要因果估计，双工具结果列示于附表以供参考。当使用两个工具变量时，样本量降至29,288个观测，较基准样本减少约24%，主要因为IV2的构造需要每个省-行业-年份组合至少包含一定数量的同龄企业观测。</w:t>
      </w:r>
    </w:p>
    <w:p>
      <w:pPr>
        <w:spacing w:after="60" w:before="120" w:line="360" w:lineRule="auto"/>
        <w:jc w:val="left"/>
      </w:pPr>
      <w:r>
        <w:t xml:space="preserve">Oster稳健性界检验</w:t>
      </w:r>
    </w:p>
    <w:p>
      <w:pPr>
        <w:pStyle w:val="Normal"/>
        <w:spacing w:line="360" w:lineRule="auto"/>
        <w:ind w:firstLine="480"/>
        <w:jc w:val="both"/>
      </w:pPr>
      <w:r>
        <w:rPr>
          <w:rFonts w:ascii="SimSun" w:cs="SimSun" w:eastAsia="SimSun" w:hAnsi="SimSun"/>
          <w:b w:val="false"/>
          <w:bCs w:val="false"/>
          <w:sz w:val="24"/>
          <w:szCs w:val="24"/>
        </w:rPr>
        <w:t xml:space="preserve">作为工具变量估计的补充证据，本文采用Oster（2019）提出的δ界检验方法评估遗漏变量的潜在影响。该方法假定遗漏变量与已纳入控制变量对因变量的影响具有可比的比例关系，在此假定下计算使估计系数降为零所需的遗漏变量相对重要性。在企业与年份固定效应设定下，δ*=9.03；在企业与行业×年份固定效应设定下，δ*=3.65。两个δ*均超过Oster建议的经验临界值1。需要指出的是，δ界检验依赖于遗漏变量与已控制变量之间比例关系的不可检验假定，因此本文将其作为辅助性证据，而非独立的因果识别策略。综合工具变量估计和δ界检验的结果，基准回归中数据要素利用对股价延迟的负向效应具有合理的因果解释基础。这一结果为基准回归的因果解释提供了进一步的支撑。</w:t>
      </w:r>
    </w:p>
    <w:p>
      <w:pPr>
        <w:pStyle w:val="Heading2"/>
        <w:spacing w:after="120" w:before="240" w:line="360" w:lineRule="auto"/>
        <w:jc w:val="left"/>
      </w:pPr>
      <w:r>
        <w:t xml:space="preserve">（四）投资组合检验</w:t>
      </w:r>
    </w:p>
    <w:p>
      <w:pPr>
        <w:pStyle w:val="Normal"/>
        <w:spacing w:line="360" w:lineRule="auto"/>
        <w:ind w:firstLine="480"/>
        <w:jc w:val="both"/>
      </w:pPr>
      <w:r>
        <w:rPr>
          <w:rFonts w:ascii="SimSun" w:cs="SimSun" w:eastAsia="SimSun" w:hAnsi="SimSun"/>
          <w:b w:val="false"/>
          <w:bCs w:val="false"/>
          <w:sz w:val="24"/>
          <w:szCs w:val="24"/>
        </w:rPr>
        <w:t xml:space="preserve">基准回归和工具变量估计从面板数据角度提供了数据要素利用影响定价效率的证据。本节进一步从资产定价的角度，通过构造投资组合直接检验数据要素利用是否与股票收益率的异常模式相关。</w:t>
      </w:r>
    </w:p>
    <w:p>
      <w:pPr>
        <w:pStyle w:val="Normal"/>
        <w:spacing w:line="360" w:lineRule="auto"/>
        <w:ind w:firstLine="480"/>
        <w:jc w:val="both"/>
      </w:pPr>
      <w:r>
        <w:rPr>
          <w:rFonts w:ascii="SimSun" w:cs="SimSun" w:eastAsia="SimSun" w:hAnsi="SimSun"/>
          <w:b w:val="false"/>
          <w:bCs w:val="false"/>
          <w:sz w:val="24"/>
          <w:szCs w:val="24"/>
        </w:rPr>
        <w:t xml:space="preserve">具体而言，每年6月末根据DU_kw的大小将样本企业等分为五组（Q1为最低组，Q5为最高组），从当年7月持有至次年6月，计算各组合的月度超额收益率。在此基础上，使用CAPM、Fama-French三因子模型（FF3）和五因子加动量模型（FF5+MOM）估计各组合的异常收益率α。样本期间共计156个月。</w:t>
      </w:r>
    </w:p>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uto"/>
        </w:trPr>
        <w:tc>
          <w:tcPr>
            <w:tcW w:type="dxa" w:w="2076"/>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组合</w:t>
            </w:r>
          </w:p>
        </w:tc>
        <w:tc>
          <w:tcPr>
            <w:tcW w:type="dxa" w:w="2076"/>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CAPM α</w:t>
            </w:r>
          </w:p>
        </w:tc>
        <w:tc>
          <w:tcPr>
            <w:tcW w:type="dxa" w:w="2076"/>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FF3 α</w:t>
            </w:r>
          </w:p>
        </w:tc>
        <w:tc>
          <w:tcPr>
            <w:tcW w:type="dxa" w:w="2076"/>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FF5+MOM α</w:t>
            </w:r>
          </w:p>
        </w:tc>
      </w:tr>
      <w:tr>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Q1</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+0.25% (t=0.81)</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-0.29% (t=-2.08**)</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-0.64% (t=-3.81***)</w:t>
            </w:r>
          </w:p>
        </w:tc>
      </w:tr>
      <w:tr>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Q2</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+0.27% (t=0.84)</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-0.17% (t=-1.58)</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-0.55% (t=-3.64***)</w:t>
            </w:r>
          </w:p>
        </w:tc>
      </w:tr>
      <w:tr>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Q3</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+0.37% (t=1.16)</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-0.04% (t=-0.43)</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-0.44% (t=-3.40***)</w:t>
            </w:r>
          </w:p>
        </w:tc>
      </w:tr>
      <w:tr>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Q4</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+0.45% (t=1.23)</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+0.08% (t=0.81)</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-0.33% (t=-2.31**)</w:t>
            </w:r>
          </w:p>
        </w:tc>
      </w:tr>
      <w:tr>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Q5</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+0.54% (t=1.04)</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+0.09% (t=0.38)</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-0.41% (t=-1.60)</w:t>
            </w:r>
          </w:p>
        </w:tc>
      </w:tr>
      <w:tr>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DAT（Q5-Q1）</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+0.29% (t=0.77)</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+0.37% (t=1.17)</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+0.23% (t=0.71)</w:t>
            </w:r>
          </w:p>
        </w:tc>
      </w:tr>
    </w:tbl>
    <w:p/>
    <w:p>
      <w:pPr>
        <w:pStyle w:val="Normal"/>
        <w:spacing w:line="360" w:lineRule="auto"/>
        <w:ind w:firstLine="480"/>
        <w:jc w:val="both"/>
      </w:pPr>
      <w:r>
        <w:rPr>
          <w:rFonts w:ascii="SimSun" w:cs="SimSun" w:eastAsia="SimSun" w:hAnsi="SimSun"/>
          <w:b w:val="false"/>
          <w:bCs w:val="false"/>
          <w:sz w:val="24"/>
          <w:szCs w:val="24"/>
        </w:rPr>
        <w:t xml:space="preserve">投资组合检验揭示了一个重要的非对称定价模式。在FF3模型下，Q1组合的月度α为-0.29%（t=-2.08，p=0.039），在5%的水平上显著为负。考虑到五组合同时检验可能存在的多重比较问题，该结果需要审慎解读。在FF5+MOM模型下，Q1的α进一步扩大至-0.64%（t=-3.81），在1%的水平上高度显著，为上述发现提供了更强的统计支撑。两个模型的结果共同表明，即便控制了市场风险、规模、价值、盈利能力、投资倾向和动量等已知定价因子，数据要素利用最低的企业仍然系统性地承受了负异常收益。</w:t>
      </w:r>
    </w:p>
    <w:p>
      <w:pPr>
        <w:pStyle w:val="Normal"/>
        <w:spacing w:line="360" w:lineRule="auto"/>
        <w:ind w:firstLine="480"/>
        <w:jc w:val="both"/>
      </w:pPr>
      <w:r>
        <w:rPr>
          <w:rFonts w:ascii="SimSun" w:cs="SimSun" w:eastAsia="SimSun" w:hAnsi="SimSun"/>
          <w:b w:val="false"/>
          <w:bCs w:val="false"/>
          <w:sz w:val="24"/>
          <w:szCs w:val="24"/>
        </w:rPr>
        <w:t xml:space="preserve">相比之下，Q5组合（数据要素利用最高）在FF3模型下的α为+0.09%（t=0.38），在统计上不显著。这一非对称性具有清晰的经济含义：定价偏差主要体现在低数据利用企业的价值折扣上，而非高数据利用企业的估值溢价。换言之，市场对数据要素利用不足的企业存在系统性的信息模糊定价折扣，而充分利用数据要素的企业其信息环境的改善使之回归至合理估值水平。</w:t>
      </w:r>
    </w:p>
    <w:p>
      <w:pPr>
        <w:pStyle w:val="Normal"/>
        <w:spacing w:line="360" w:lineRule="auto"/>
        <w:ind w:firstLine="480"/>
        <w:jc w:val="both"/>
      </w:pPr>
      <w:r>
        <w:rPr>
          <w:rFonts w:ascii="SimSun" w:cs="SimSun" w:eastAsia="SimSun" w:hAnsi="SimSun"/>
          <w:b w:val="false"/>
          <w:bCs w:val="false"/>
          <w:sz w:val="24"/>
          <w:szCs w:val="24"/>
        </w:rPr>
        <w:t xml:space="preserve">基于Q5-Q1构造的数据资产因子（DAT）在FF3模型下的月度收益率为0.37%（t=1.17），未达到统计显著水平。这一结果反映了非对称定价的自然推论：市场对低数据利用企业的折价明显，但对高数据利用企业的溢价有限。数据要素利用的改善主要体现为信息模糊风险折扣的消解，而非创造正向超额收益因子。</w:t>
      </w:r>
    </w:p>
    <w:p>
      <w:pPr>
        <w:pStyle w:val="Normal"/>
        <w:spacing w:line="360" w:lineRule="auto"/>
        <w:ind w:firstLine="480"/>
        <w:jc w:val="both"/>
      </w:pPr>
      <w:r>
        <w:rPr>
          <w:rFonts w:ascii="SimSun" w:cs="SimSun" w:eastAsia="SimSun" w:hAnsi="SimSun"/>
          <w:b w:val="false"/>
          <w:bCs w:val="false"/>
          <w:sz w:val="24"/>
          <w:szCs w:val="24"/>
        </w:rPr>
        <w:t xml:space="preserve">投资组合检验从资产定价的独立视角印证了基准回归的结论：数据要素利用程度较低的企业面临更为严重的信息融入障碍，市场在为这些企业定价时表现出系统性的低效。</w:t>
      </w:r>
    </w:p>
    <w:p>
      <w:pPr>
        <w:pageBreakBefore/>
      </w:pPr>
    </w:p>
    <w:p>
      <w:pPr>
        <w:pStyle w:val="Heading1"/>
        <w:spacing w:after="240" w:before="360" w:line="360" w:lineRule="auto"/>
        <w:jc w:val="left"/>
      </w:pPr>
      <w:r>
        <w:t xml:space="preserve">五、机制分析</w:t>
      </w:r>
    </w:p>
    <w:p>
      <w:pPr>
        <w:pStyle w:val="Normal"/>
        <w:spacing w:line="360" w:lineRule="auto"/>
        <w:ind w:firstLine="480"/>
        <w:jc w:val="both"/>
      </w:pPr>
      <w:r>
        <w:rPr>
          <w:rFonts w:ascii="SimSun" w:cs="SimSun" w:eastAsia="SimSun" w:hAnsi="SimSun"/>
          <w:b w:val="false"/>
          <w:bCs w:val="false"/>
          <w:sz w:val="24"/>
          <w:szCs w:val="24"/>
        </w:rPr>
        <w:t xml:space="preserve">基准回归确认了数据要素利用对股价延迟的显著负向影响，但这一总效应背后的信息传导路径仍有待厘清。数据要素利用信息从企业年报向股票价格的转化，必须经由市场信息中介和资本配置者的处理与响应。本节通过检验三条潜在的传导渠道，深入刻画信息供给效应的微观机制。</w:t>
      </w:r>
    </w:p>
    <w:p>
      <w:pPr>
        <w:pStyle w:val="Normal"/>
        <w:spacing w:line="360" w:lineRule="auto"/>
        <w:ind w:firstLine="480"/>
        <w:jc w:val="both"/>
      </w:pPr>
      <w:r>
        <w:rPr>
          <w:rFonts w:ascii="SimSun" w:cs="SimSun" w:eastAsia="SimSun" w:hAnsi="SimSun"/>
          <w:b w:val="false"/>
          <w:bCs w:val="false"/>
          <w:sz w:val="24"/>
          <w:szCs w:val="24"/>
        </w:rPr>
        <w:t xml:space="preserve">机制检验的模型设定为：以中介变量M为因变量，DU_kw_{i,t-1}及控制变量为自变量，保持企业+年份固定效应与行业×年份聚类标准误。本文采用路径系数的直接呈现来识别传导渠道的存在性，而非传统的Sobel检验或Bootstrap分解，原因在于本文的因果识别主要依赖固定效应设计，机制分析的目的在于确认关键信息传导路径是否存在，而非精确量化间接效应比例。</w:t>
      </w:r>
    </w:p>
    <w:p>
      <w:pPr>
        <w:pStyle w:val="Heading2"/>
        <w:spacing w:after="120" w:before="240" w:line="360" w:lineRule="auto"/>
        <w:jc w:val="left"/>
      </w:pPr>
      <w:r>
        <w:t xml:space="preserve">（一）分析师信息中介渠道</w:t>
      </w:r>
    </w:p>
    <w:p>
      <w:pPr>
        <w:pStyle w:val="Normal"/>
        <w:spacing w:line="360" w:lineRule="auto"/>
        <w:ind w:firstLine="480"/>
        <w:jc w:val="both"/>
      </w:pPr>
      <w:r>
        <w:rPr>
          <w:rFonts w:ascii="SimSun" w:cs="SimSun" w:eastAsia="SimSun" w:hAnsi="SimSun"/>
          <w:b w:val="false"/>
          <w:bCs w:val="false"/>
          <w:sz w:val="24"/>
          <w:szCs w:val="24"/>
        </w:rPr>
        <w:t xml:space="preserve">分析师覆盖是连接企业披露与市场定价的关键枢纽。当企业在年报中披露数据驱动战略、数字化转型进展和数据应用实践时，具有信息技术含量的增量信息更容易吸引专业分析师的关注。分析师对这些信息的独立研究和广泛传播，加速了数据要素利用信息向股票价格的融合。</w:t>
      </w:r>
    </w:p>
    <w:p>
      <w:pPr>
        <w:pStyle w:val="Normal"/>
        <w:spacing w:line="360" w:lineRule="auto"/>
        <w:ind w:firstLine="480"/>
        <w:jc w:val="both"/>
      </w:pPr>
      <w:r>
        <w:rPr>
          <w:rFonts w:ascii="SimSun" w:cs="SimSun" w:eastAsia="SimSun" w:hAnsi="SimSun"/>
          <w:b w:val="false"/>
          <w:bCs w:val="false"/>
          <w:sz w:val="24"/>
          <w:szCs w:val="24"/>
        </w:rPr>
        <w:t xml:space="preserve">检验结果显示，DU_kw对分析师覆盖（取对数）的系数为+0.0363（t=3.94，p&lt;0.001），在1%的水平上高度显著。这表明数据要素利用确实吸引了分析师的主动跟踪，验证了H2a的预期。分析师覆盖的增加构成了数据要素利用信息向定价效率传导的核心中介渠道。</w:t>
      </w:r>
    </w:p>
    <w:p>
      <w:pPr>
        <w:pStyle w:val="Heading2"/>
        <w:spacing w:after="120" w:before="240" w:line="360" w:lineRule="auto"/>
        <w:jc w:val="left"/>
      </w:pPr>
      <w:r>
        <w:t xml:space="preserve">（二）金融资产配置渠道</w:t>
      </w:r>
    </w:p>
    <w:p>
      <w:pPr>
        <w:pStyle w:val="Normal"/>
        <w:spacing w:line="360" w:lineRule="auto"/>
        <w:ind w:firstLine="480"/>
        <w:jc w:val="both"/>
      </w:pPr>
      <w:r>
        <w:rPr>
          <w:rFonts w:ascii="SimSun" w:cs="SimSun" w:eastAsia="SimSun" w:hAnsi="SimSun"/>
          <w:b w:val="false"/>
          <w:bCs w:val="false"/>
          <w:sz w:val="24"/>
          <w:szCs w:val="24"/>
        </w:rPr>
        <w:t xml:space="preserve">数据驱动的商业能力在企业的财务行为中同样有所体现。具备较强数据利用能力的企业，在风险评估和资产选择上拥有信息优势，其金融资产配置决策的变化——无论是对流动性工具的偏好还是对短期与长期资产的权衡——都会在财务报表中得到呈现，向市场传递关于企业经营能力和风险管理水平的隐含信号（朱康和汤甬，2025）。</w:t>
      </w:r>
    </w:p>
    <w:p>
      <w:pPr>
        <w:pStyle w:val="Normal"/>
        <w:spacing w:line="360" w:lineRule="auto"/>
        <w:ind w:firstLine="480"/>
        <w:jc w:val="both"/>
      </w:pPr>
      <w:r>
        <w:rPr>
          <w:rFonts w:ascii="SimSun" w:cs="SimSun" w:eastAsia="SimSun" w:hAnsi="SimSun"/>
          <w:b w:val="false"/>
          <w:bCs w:val="false"/>
          <w:sz w:val="24"/>
          <w:szCs w:val="24"/>
        </w:rPr>
        <w:t xml:space="preserve">DU_kw对金融资产占比（FinAsset）的系数为+0.00119（t=2.71，p=0.007），在1%的水平上显著为正。虽然经济规模相对温和（DU_kw每增加1个标准差对应金融资产占比上升0.12个百分点），但其统计显著性确认了金融资产配置渠道的存在性。企业数据利用能力的提升通过可观测的资产配置变化实现了信号化传递。</w:t>
      </w:r>
    </w:p>
    <w:p>
      <w:pPr>
        <w:pStyle w:val="Heading2"/>
        <w:spacing w:after="120" w:before="240" w:line="360" w:lineRule="auto"/>
        <w:jc w:val="left"/>
      </w:pPr>
      <w:r>
        <w:t xml:space="preserve">（三）机构投资者持股渠道</w:t>
      </w:r>
    </w:p>
    <w:p>
      <w:pPr>
        <w:pStyle w:val="Normal"/>
        <w:spacing w:line="360" w:lineRule="auto"/>
        <w:ind w:firstLine="480"/>
        <w:jc w:val="both"/>
      </w:pPr>
      <w:r>
        <w:rPr>
          <w:rFonts w:ascii="SimSun" w:cs="SimSun" w:eastAsia="SimSun" w:hAnsi="SimSun"/>
          <w:b w:val="false"/>
          <w:bCs w:val="false"/>
          <w:sz w:val="24"/>
          <w:szCs w:val="24"/>
        </w:rPr>
        <w:t xml:space="preserve">与前两条渠道不同，机构投资者的持股决策面临着理论上相互对冲的作用力。一方面，数据要素利用传递了竞争力提升的积极信号；另一方面，数据驱动商业模式的技术复杂性和估值不确定性可能增加了机构投资者进行价值评估的难度。</w:t>
      </w:r>
    </w:p>
    <w:p>
      <w:pPr>
        <w:pStyle w:val="Normal"/>
        <w:spacing w:line="360" w:lineRule="auto"/>
        <w:ind w:firstLine="480"/>
        <w:jc w:val="both"/>
      </w:pPr>
      <w:r>
        <w:rPr>
          <w:rFonts w:ascii="SimSun" w:cs="SimSun" w:eastAsia="SimSun" w:hAnsi="SimSun"/>
          <w:b w:val="false"/>
          <w:bCs w:val="false"/>
          <w:sz w:val="24"/>
          <w:szCs w:val="24"/>
        </w:rPr>
        <w:t xml:space="preserve">实证结果揭示了一个需要审慎解读的现象：DU_kw对机构投资者持股比例（InstHold）的系数为-0.234（t=-2.73，p=0.007），显著为负。这一负向系数的最直接解释指向信息模糊效应对特定市场参与者的影响。尽管基准回归已证实信息供给效应总体占优，但机构投资者在进行持股决策时不仅关注信息的丰富度，更关注信息的可确定性与估值的清晰度。数据资产价值的非线性增长、应用效果的滞后显现、商业模式的路径依赖，都具有较高的内在不确定性。在会计准则对数据资产估值的指引仍不完备的阶段，风险规避程度较高的机构投资者对高数据利用企业表现出谨慎态度。因此，负向的机构持股系数不应理解为反驳信息供给效应，而应理解为信息供给与信息模糊效应在不同市场参与者中的差异化表现。</w:t>
      </w:r>
    </w:p>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rHeight w:val="400" w:hRule="auto"/>
        </w:trPr>
        <w:tc>
          <w:tcPr>
            <w:tcW w:type="dxa" w:w="2076"/>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因变量</w:t>
            </w:r>
          </w:p>
        </w:tc>
        <w:tc>
          <w:tcPr>
            <w:tcW w:type="dxa" w:w="2076"/>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Analyst</w:t>
            </w:r>
          </w:p>
        </w:tc>
        <w:tc>
          <w:tcPr>
            <w:tcW w:type="dxa" w:w="2076"/>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FinAsset</w:t>
            </w:r>
          </w:p>
        </w:tc>
        <w:tc>
          <w:tcPr>
            <w:tcW w:type="dxa" w:w="2076"/>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InstHold</w:t>
            </w:r>
          </w:p>
        </w:tc>
      </w:tr>
      <w:tr>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DU_kw系数</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+0.0363***</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+0.00119***</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-0.234***</w:t>
            </w:r>
          </w:p>
        </w:tc>
      </w:tr>
      <w:tr>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t值</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3.94</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2.71</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-2.73</w:t>
            </w:r>
          </w:p>
        </w:tc>
      </w:tr>
      <w:tr>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p值</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&lt;0.001</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0.007</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0.007</w:t>
            </w:r>
          </w:p>
        </w:tc>
      </w:tr>
      <w:tr>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N</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38,614</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38,614</w:t>
            </w:r>
          </w:p>
        </w:tc>
        <w:tc>
          <w:tcPr>
            <w:tcW w:type="dxa" w:w="207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38,614</w:t>
            </w:r>
          </w:p>
        </w:tc>
      </w:tr>
    </w:tbl>
    <w:p/>
    <w:p>
      <w:pPr>
        <w:pStyle w:val="Normal"/>
        <w:spacing w:line="360" w:lineRule="auto"/>
        <w:ind w:firstLine="480"/>
        <w:jc w:val="both"/>
      </w:pPr>
      <w:r>
        <w:rPr>
          <w:rFonts w:ascii="SimSun" w:cs="SimSun" w:eastAsia="SimSun" w:hAnsi="SimSun"/>
          <w:b w:val="false"/>
          <w:bCs w:val="false"/>
          <w:sz w:val="24"/>
          <w:szCs w:val="24"/>
        </w:rPr>
        <w:t xml:space="preserve">注：固定效应为企业+年份，标准误按行业×年份聚类。Analyst为分析师覆盖对数，FinAsset为金融资产占比，InstHold为机构持股比例。</w:t>
      </w:r>
    </w:p>
    <w:p>
      <w:pPr>
        <w:pStyle w:val="Normal"/>
        <w:spacing w:line="360" w:lineRule="auto"/>
        <w:ind w:firstLine="480"/>
        <w:jc w:val="both"/>
      </w:pPr>
      <w:r>
        <w:rPr>
          <w:rFonts w:ascii="SimSun" w:cs="SimSun" w:eastAsia="SimSun" w:hAnsi="SimSun"/>
          <w:b w:val="false"/>
          <w:bCs w:val="false"/>
          <w:sz w:val="24"/>
          <w:szCs w:val="24"/>
        </w:rPr>
        <w:t xml:space="preserve">三条渠道的检验结果表明，数据要素利用信息向定价效率的传导围绕信息的供给、加工与吸收这一完整的市场价格发现流程展开。分析师中介渠道是核心传导机制，金融资产配置渠道提供了企业行为层面的补充证据，机构投资者的负向响应则揭示了信息模糊效应在专业投资者群体中的持续制约。</w:t>
      </w:r>
    </w:p>
    <w:p>
      <w:pPr>
        <w:pageBreakBefore/>
      </w:pPr>
    </w:p>
    <w:p>
      <w:pPr>
        <w:pStyle w:val="Heading1"/>
        <w:spacing w:after="240" w:before="360" w:line="360" w:lineRule="auto"/>
        <w:jc w:val="left"/>
      </w:pPr>
      <w:r>
        <w:t xml:space="preserve">六、异质性分析</w:t>
      </w:r>
    </w:p>
    <w:p>
      <w:pPr>
        <w:pStyle w:val="Normal"/>
        <w:spacing w:line="360" w:lineRule="auto"/>
        <w:ind w:firstLine="480"/>
        <w:jc w:val="both"/>
      </w:pPr>
      <w:r>
        <w:rPr>
          <w:rFonts w:ascii="SimSun" w:cs="SimSun" w:eastAsia="SimSun" w:hAnsi="SimSun"/>
          <w:b w:val="false"/>
          <w:bCs w:val="false"/>
          <w:sz w:val="24"/>
          <w:szCs w:val="24"/>
        </w:rPr>
        <w:t xml:space="preserve">本节在不同企业特征的子样本上进行分组回归，检验数据要素利用对股价延迟的影响是否存在异质性。异质性分析的目的在于理清作用机制的相对重要程度，以及数据要素利用的定价效应在不同信息环境下的表现差异。</w:t>
      </w:r>
    </w:p>
    <w:p>
      <w:pPr>
        <w:pStyle w:val="Heading2"/>
        <w:spacing w:after="120" w:before="240" w:line="360" w:lineRule="auto"/>
        <w:jc w:val="left"/>
      </w:pPr>
      <w:r>
        <w:t xml:space="preserve">（一）产权性质的调节角色</w:t>
      </w:r>
    </w:p>
    <w:p>
      <w:pPr>
        <w:pStyle w:val="Normal"/>
        <w:spacing w:line="360" w:lineRule="auto"/>
        <w:ind w:firstLine="480"/>
        <w:jc w:val="both"/>
      </w:pPr>
      <w:r>
        <w:rPr>
          <w:rFonts w:ascii="SimSun" w:cs="SimSun" w:eastAsia="SimSun" w:hAnsi="SimSun"/>
          <w:b w:val="false"/>
          <w:bCs w:val="false"/>
          <w:sz w:val="24"/>
          <w:szCs w:val="24"/>
        </w:rPr>
        <w:t xml:space="preserve">国有企业与民营企业在信息披露的可信度上存在本质差异。国有企业受到更严格的监管约束和社会责任监督，其披露的财务数据和非财务信息通常被市场视为更具权威性。当国有企业在年报中披露数据要素利用时，分析师和投资者对这类信息的信任程度更高，信息模糊风险相对较低，信息供给效应因此被放大。</w:t>
      </w:r>
    </w:p>
    <w:p>
      <w:pPr>
        <w:pStyle w:val="Normal"/>
        <w:spacing w:line="360" w:lineRule="auto"/>
        <w:ind w:firstLine="480"/>
        <w:jc w:val="both"/>
      </w:pPr>
      <w:r>
        <w:rPr>
          <w:rFonts w:ascii="SimSun" w:cs="SimSun" w:eastAsia="SimSun" w:hAnsi="SimSun"/>
          <w:b w:val="false"/>
          <w:bCs w:val="false"/>
          <w:sz w:val="24"/>
          <w:szCs w:val="24"/>
        </w:rPr>
        <w:t xml:space="preserve">分组回归结果如表6所示。在国有企业样本中，DU_kw的系数为-0.00543（t=-2.30，p=0.022），达到5%的显著性水平。在民营企业样本中，系数为-0.00286（t=-2.37，p=0.018），也显著但绝对值略小。两个子样本的系数比值约为1.9:1，表明国有企业的效应强度高于民营企业。这一模式与理论预期相符：国有企业的数据披露具有更强的公信力，驱动市场更积极地调整对企业价值的认知，从而在缩短股价延迟上作用更强。民营企业虽然也展现了显著的负向关系，但斜率较缓，反映了市场对其数据信息披露的谨慎态度可能削弱了部分信息供给效应。</w:t>
      </w:r>
    </w:p>
    <w:p>
      <w:pPr>
        <w:pStyle w:val="Normal"/>
        <w:spacing w:line="360" w:lineRule="auto"/>
        <w:ind w:firstLine="480"/>
        <w:jc w:val="both"/>
      </w:pPr>
      <w:r>
        <w:rPr>
          <w:rFonts w:ascii="SimSun" w:cs="SimSun" w:eastAsia="SimSun" w:hAnsi="SimSun"/>
          <w:b w:val="false"/>
          <w:bCs w:val="false"/>
          <w:sz w:val="24"/>
          <w:szCs w:val="24"/>
        </w:rPr>
        <w:t xml:space="preserve">Fisher交叉组检验的z统计量为-0.97，p值为0.33，表明两个系数之间的差异在统计上不显著。这意味着尽管国有企业和民营企业的系数估计值存在数值差异，但这种差异可能源于随机波动而非系统性机制差异。从经济意义的角度，产权性质调节定价效率改善的强弱程度，但不改变数据要素利用的基本方向和显著性。</w:t>
      </w:r>
    </w:p>
    <w:p>
      <w:pPr>
        <w:pStyle w:val="Heading2"/>
        <w:spacing w:after="120" w:before="240" w:line="360" w:lineRule="auto"/>
        <w:jc w:val="left"/>
      </w:pPr>
      <w:r>
        <w:t xml:space="preserve">（二）信息中介活跃度的决定性角色</w:t>
      </w:r>
    </w:p>
    <w:p>
      <w:pPr>
        <w:pStyle w:val="Normal"/>
        <w:spacing w:line="360" w:lineRule="auto"/>
        <w:ind w:firstLine="480"/>
        <w:jc w:val="both"/>
      </w:pPr>
      <w:r>
        <w:rPr>
          <w:rFonts w:ascii="SimSun" w:cs="SimSun" w:eastAsia="SimSun" w:hAnsi="SimSun"/>
          <w:b w:val="false"/>
          <w:bCs w:val="false"/>
          <w:sz w:val="24"/>
          <w:szCs w:val="24"/>
        </w:rPr>
        <w:t xml:space="preserve">分析师覆盖是最重要的信息中介机制。高分析师覆盖意味着企业面临更密集的外部关注，分析师的独立研究和预测发表会加速市场信息融入的速度。当高覆盖企业披露数据要素利用信息时，分析师群体会立即将这一信息纳入其研究框架，转化为覆盖报告，进而传导到投资者决策。这一转化过程大幅压缩了信息在市场中的扩散时间。</w:t>
      </w:r>
    </w:p>
    <w:p>
      <w:pPr>
        <w:pStyle w:val="Normal"/>
        <w:spacing w:line="360" w:lineRule="auto"/>
        <w:ind w:firstLine="480"/>
        <w:jc w:val="both"/>
      </w:pPr>
      <w:r>
        <w:rPr>
          <w:rFonts w:ascii="SimSun" w:cs="SimSun" w:eastAsia="SimSun" w:hAnsi="SimSun"/>
          <w:b w:val="false"/>
          <w:bCs w:val="false"/>
          <w:sz w:val="24"/>
          <w:szCs w:val="24"/>
        </w:rPr>
        <w:t xml:space="preserve">相反，低分析师覆盖企业的信息披露缺乏活跃的市场中介，投资者主要通过个人研究或被动的市场定价机制来获取信息，扩散效率显著降低。虽然企业数据要素利用信息理论上应当改善信息环境，但若信息中介的"接收器"本身不活跃，这一潜力就难以充分释放。</w:t>
      </w:r>
    </w:p>
    <w:p>
      <w:pPr>
        <w:pStyle w:val="Normal"/>
        <w:spacing w:line="360" w:lineRule="auto"/>
        <w:ind w:firstLine="480"/>
        <w:jc w:val="both"/>
      </w:pPr>
      <w:r>
        <w:rPr>
          <w:rFonts w:ascii="SimSun" w:cs="SimSun" w:eastAsia="SimSun" w:hAnsi="SimSun"/>
          <w:b w:val="false"/>
          <w:bCs w:val="false"/>
          <w:sz w:val="24"/>
          <w:szCs w:val="24"/>
        </w:rPr>
        <w:t xml:space="preserve">高分析师覆盖企业的样本（分析师跟踪数≥中位数）中，DU_kw的系数为-0.00461（t=-4.09，p&lt;0.001），在1%水平上高度显著。这是异质性分析中最强的一组效应，t值的绝对值达到4.09，远超基准回归的统计强度。低分析师覆盖企业样本中，系数仅为-0.00243（t=-1.28，p=0.203），未达到常规的5%显著性水平。两个系数的比值约为1.9:1，更为重要的是，低覆盖组的效应从统计上看已经消失。</w:t>
      </w:r>
    </w:p>
    <w:p>
      <w:pPr>
        <w:pStyle w:val="Normal"/>
        <w:spacing w:line="360" w:lineRule="auto"/>
        <w:ind w:firstLine="480"/>
        <w:jc w:val="both"/>
      </w:pPr>
      <w:r>
        <w:rPr>
          <w:rFonts w:ascii="SimSun" w:cs="SimSun" w:eastAsia="SimSun" w:hAnsi="SimSun"/>
          <w:b w:val="false"/>
          <w:bCs w:val="false"/>
          <w:sz w:val="24"/>
          <w:szCs w:val="24"/>
        </w:rPr>
        <w:t xml:space="preserve">这一强烈的异质性模式提供了关键的机制证据。高分析师覆盖企业中数据要素利用的显著效应，与机制分析中"分析师"传导渠道的显著系数相互印证，形成了"内外一致"的逻辑闭环：数据披露之所以改善定价效率，在很大程度上是因为分析师将这些信息有效地中介给了市场。低分析师覆盖组中效应的消失，进一步说明数据的"信息"特性需要市场中介的激活才能转化为定价影响。本文原始假说将信息供给效应和信息模糊效应作为竞争关系提出，异质性结果表明这两种效应的相对强弱关键上取决于信息中介的活跃程度。在高中介活跃度环境中，信息供给效应压倒信息模糊效应；而在低中介活跃度环境中，两者的平衡可能倾向于模糊效应略占上风，整体效应不显著。</w:t>
      </w:r>
    </w:p>
    <w:p>
      <w:pPr>
        <w:pStyle w:val="Heading2"/>
        <w:spacing w:after="120" w:before="240" w:line="360" w:lineRule="auto"/>
        <w:jc w:val="left"/>
      </w:pPr>
      <w:r>
        <w:t xml:space="preserve">（三）行业属性的跨界一致性</w:t>
      </w:r>
    </w:p>
    <w:p>
      <w:pPr>
        <w:pStyle w:val="Normal"/>
        <w:spacing w:line="360" w:lineRule="auto"/>
        <w:ind w:firstLine="480"/>
        <w:jc w:val="both"/>
      </w:pPr>
      <w:r>
        <w:rPr>
          <w:rFonts w:ascii="SimSun" w:cs="SimSun" w:eastAsia="SimSun" w:hAnsi="SimSun"/>
          <w:b w:val="false"/>
          <w:bCs w:val="false"/>
          <w:sz w:val="24"/>
          <w:szCs w:val="24"/>
        </w:rPr>
        <w:t xml:space="preserve">数据要素利用对定价效率的改善是否限定于技术密集型行业，抑或具有跨行业的通用价值，这对理论的普遍性具有重要意义。高科技行业的投资者可能对数据和算法的应用更敏感，市场对这些企业的数据披露可能给予更高的信息权重。传统行业虽然数据应用的显性特征不如科技行业明显，但数据在供应链管理、成本控制、市场预测等方面同样具有价值。</w:t>
      </w:r>
    </w:p>
    <w:p>
      <w:pPr>
        <w:pStyle w:val="Normal"/>
        <w:spacing w:line="360" w:lineRule="auto"/>
        <w:ind w:firstLine="480"/>
        <w:jc w:val="both"/>
      </w:pPr>
      <w:r>
        <w:rPr>
          <w:rFonts w:ascii="SimSun" w:cs="SimSun" w:eastAsia="SimSun" w:hAnsi="SimSun"/>
          <w:b w:val="false"/>
          <w:bCs w:val="false"/>
          <w:sz w:val="24"/>
          <w:szCs w:val="24"/>
        </w:rPr>
        <w:t xml:space="preserve">高科技行业样本（按国际产业分类，包括计算机、通信、电子、生物医药等）中，DU_kw的系数为-0.00398（t=-2.96，p=0.005），在1%水平上显著。传统行业样本中，系数为-0.00382（t=-2.06，p=0.040），在5%水平上显著。两个系数的绝对值分别为0.00398和0.00382，极为接近，均约为基准系数0.00364的1.1倍。这表明高科技企业虽然系数略大且显著性水平更高（t=2.96 vs t=2.06），但两个行业的经济效应实际上处于同一量级。</w:t>
      </w:r>
    </w:p>
    <w:p>
      <w:pPr>
        <w:pStyle w:val="Normal"/>
        <w:spacing w:line="360" w:lineRule="auto"/>
        <w:ind w:firstLine="480"/>
        <w:jc w:val="both"/>
      </w:pPr>
      <w:r>
        <w:rPr>
          <w:rFonts w:ascii="SimSun" w:cs="SimSun" w:eastAsia="SimSun" w:hAnsi="SimSun"/>
          <w:b w:val="false"/>
          <w:bCs w:val="false"/>
          <w:sz w:val="24"/>
          <w:szCs w:val="24"/>
        </w:rPr>
        <w:t xml:space="preserve">Fisher检验的z值为-0.07，p值为0.95，意味着两个系数完全没有统计显著的差异。这一结果有力地表明，数据要素利用的定价效应并非高科技行业的"专利"，而是具有普遍的跨行业效应。传统行业企业的数据可能不如技术企业在外观上"科技化"，但在价值评估上同样受益于更完整的信息披露。这种跨界一致性揭示了数据价值的本质：信息不对称的消解是数据的核心经济功能，而这一功能在各行业中都具有定价意义。</w:t>
      </w:r>
    </w:p>
    <w:p>
      <w:pPr>
        <w:pStyle w:val="Normal"/>
        <w:spacing w:line="360" w:lineRule="auto"/>
        <w:ind w:firstLine="480"/>
        <w:jc w:val="both"/>
      </w:pPr>
      <w:r>
        <w:rPr>
          <w:rFonts w:ascii="SimSun" w:cs="SimSun" w:eastAsia="SimSun" w:hAnsi="SimSun"/>
          <w:b w:val="false"/>
          <w:bCs w:val="false"/>
          <w:sz w:val="24"/>
          <w:szCs w:val="24"/>
        </w:rPr>
        <w:t xml:space="preserve">综合三个异质性维度的结果，本文的核心发现在分组回归中保持稳健。其中，信息中介活跃度呈现出最清晰的二分异质性——在高覆盖组中显著、在低覆盖组中不显著，这与机制分析中分析师变量的显著系数形成了强烈的对应关系，深化了对信息供给效应的理解。产权性质和行业属性维度虽然组间差异在统计上不显著，但均呈现了一致的负向效应，表明数据要素利用对定价效率的改善具有跨产权类型和跨行业的普遍性。</w:t>
      </w:r>
    </w:p>
    <w:p>
      <w:pPr>
        <w:spacing w:after="60" w:before="120" w:line="360" w:lineRule="auto"/>
        <w:jc w:val="left"/>
      </w:pPr>
      <w:r>
        <w:t xml:space="preserve">表6 异质性分析汇总</w:t>
      </w:r>
    </w:p>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rHeight w:val="400" w:hRule="auto"/>
        </w:trPr>
        <w:tc>
          <w:tcPr>
            <w:tcW w:type="dxa" w:w="1186"/>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子样本</w:t>
            </w:r>
          </w:p>
        </w:tc>
        <w:tc>
          <w:tcPr>
            <w:tcW w:type="dxa" w:w="1186"/>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变量</w:t>
            </w:r>
          </w:p>
        </w:tc>
        <w:tc>
          <w:tcPr>
            <w:tcW w:type="dxa" w:w="1186"/>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系数</w:t>
            </w:r>
          </w:p>
        </w:tc>
        <w:tc>
          <w:tcPr>
            <w:tcW w:type="dxa" w:w="1186"/>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t值</w:t>
            </w:r>
          </w:p>
        </w:tc>
        <w:tc>
          <w:tcPr>
            <w:tcW w:type="dxa" w:w="1186"/>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p值</w:t>
            </w:r>
          </w:p>
        </w:tc>
        <w:tc>
          <w:tcPr>
            <w:tcW w:type="dxa" w:w="1186"/>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N</w:t>
            </w:r>
          </w:p>
        </w:tc>
        <w:tc>
          <w:tcPr>
            <w:tcW w:type="dxa" w:w="1186"/>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显著性</w:t>
            </w:r>
          </w:p>
        </w:tc>
      </w:tr>
      <w:tr>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国有企业</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DU_kw</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-0.00543</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-2.30</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0.022</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13,162</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w:t>
            </w:r>
          </w:p>
        </w:tc>
      </w:tr>
      <w:tr>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民营企业</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DU_kw</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-0.00286</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-2.37</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0.018</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25,378</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w:t>
            </w:r>
          </w:p>
        </w:tc>
      </w:tr>
      <w:tr>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Fisher检验</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z=-0.97</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p=0.333</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n.s.</w:t>
            </w:r>
          </w:p>
        </w:tc>
      </w:tr>
      <w:tr/>
      <w:tr>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高分析师覆盖</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DU_kw</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-0.00461</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-4.09</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&lt;0.001</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19,368</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w:t>
            </w:r>
          </w:p>
        </w:tc>
      </w:tr>
      <w:tr>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低分析师覆盖</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DU_kw</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-0.00243</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-1.28</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0.203</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18,728</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n.s.</w:t>
            </w:r>
          </w:p>
        </w:tc>
      </w:tr>
      <w:tr>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Fisher检验</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z=-0.99</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p=0.324</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n.s.</w:t>
            </w:r>
          </w:p>
        </w:tc>
      </w:tr>
      <w:tr/>
      <w:tr>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高科技行业</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DU_kw</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-0.00398</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-2.96</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0.005</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8,074</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w:t>
            </w:r>
          </w:p>
        </w:tc>
      </w:tr>
      <w:tr>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传统行业</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DU_kw</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-0.00382</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-2.06</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0.040</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30,278</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w:t>
            </w:r>
          </w:p>
        </w:tc>
      </w:tr>
      <w:tr>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Fisher检验</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z=-0.07</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p=0.947</w:t>
            </w:r>
          </w:p>
        </w:tc>
        <w:tc>
          <w:tcPr>
            <w:tcW w:type="dxa" w:w="1186"/>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n.s.</w:t>
            </w:r>
          </w:p>
        </w:tc>
      </w:tr>
    </w:tbl>
    <w:p/>
    <w:p>
      <w:pPr>
        <w:pStyle w:val="Normal"/>
        <w:spacing w:line="360" w:lineRule="auto"/>
        <w:ind w:firstLine="480"/>
        <w:jc w:val="both"/>
      </w:pPr>
      <w:r>
        <w:rPr>
          <w:rFonts w:ascii="SimSun" w:cs="SimSun" w:eastAsia="SimSun" w:hAnsi="SimSun"/>
          <w:b w:val="false"/>
          <w:bCs w:val="false"/>
          <w:sz w:val="24"/>
          <w:szCs w:val="24"/>
        </w:rPr>
        <w:t xml:space="preserve">注：所有模型均采用企业+年份双向固定效应，标准误在行业×年份水平上聚类。高低分析师覆盖的分割点为分析师跟踪数的样本中位数。高科技行业按国际产业分类的科技及创新相关产业定义。Fisher检验检验两个系数之间是否存在统计显著的跨组差异。</w:t>
      </w:r>
    </w:p>
    <w:p>
      <w:pPr>
        <w:pageBreakBefore/>
      </w:pPr>
    </w:p>
    <w:p>
      <w:pPr>
        <w:pStyle w:val="Heading1"/>
        <w:spacing w:after="240" w:before="360" w:line="360" w:lineRule="auto"/>
        <w:jc w:val="left"/>
      </w:pPr>
      <w:r>
        <w:t xml:space="preserve">七、稳健性检验</w:t>
      </w:r>
    </w:p>
    <w:p>
      <w:pPr>
        <w:pStyle w:val="Normal"/>
        <w:spacing w:line="360" w:lineRule="auto"/>
        <w:ind w:firstLine="480"/>
        <w:jc w:val="both"/>
      </w:pPr>
      <w:r>
        <w:rPr>
          <w:rFonts w:ascii="SimSun" w:cs="SimSun" w:eastAsia="SimSun" w:hAnsi="SimSun"/>
          <w:b w:val="false"/>
          <w:bCs w:val="false"/>
          <w:sz w:val="24"/>
          <w:szCs w:val="24"/>
        </w:rPr>
        <w:t xml:space="preserve">为确保基准回归结论的可靠性，本文从替换因变量、替换自变量、倾向得分匹配和子样本检验四个维度进行稳健性检验，结果汇总于表7。</w:t>
      </w:r>
    </w:p>
    <w:p>
      <w:pPr>
        <w:pStyle w:val="Normal"/>
        <w:spacing w:line="360" w:lineRule="auto"/>
        <w:ind w:firstLine="480"/>
        <w:jc w:val="both"/>
      </w:pPr>
      <w:r>
        <w:rPr>
          <w:rFonts w:ascii="SimSun" w:cs="SimSun" w:eastAsia="SimSun" w:hAnsi="SimSun"/>
          <w:b w:val="false"/>
          <w:bCs w:val="false"/>
          <w:sz w:val="24"/>
          <w:szCs w:val="24"/>
        </w:rPr>
        <w:t xml:space="preserve">首先，以股价同步性（SYNCH）替代股价延迟作为定价效率的度量指标。在企业与年份固定效应设定下，DU_kw对SYNCH的系数为+0.011（t=1.65，p=0.099），边际显著为正；使用对数变换的DU_kw_ln后，系数为+0.015（t=2.45，p=0.015），达到5%的显著水平；在行业与年份固定效应下同样显著为正（t=2.32）。正向系数表明数据要素利用提高了企业特质信息向价格的融入程度，与基准回归的经济含义一致。</w:t>
      </w:r>
    </w:p>
    <w:p>
      <w:pPr>
        <w:pStyle w:val="Normal"/>
        <w:spacing w:line="360" w:lineRule="auto"/>
        <w:ind w:firstLine="480"/>
        <w:jc w:val="both"/>
      </w:pPr>
      <w:r>
        <w:rPr>
          <w:rFonts w:ascii="SimSun" w:cs="SimSun" w:eastAsia="SimSun" w:hAnsi="SimSun"/>
          <w:b w:val="false"/>
          <w:bCs w:val="false"/>
          <w:sz w:val="24"/>
          <w:szCs w:val="24"/>
        </w:rPr>
        <w:t xml:space="preserve">其次，将主要自变量分别替换为对数变换指标DU_kw_ln和实质利用指标DU_sub_ln，系数分别为-0.00322（t=-3.13）和-0.00223（t=-2.64），均在1%的水平上显著为负，排除了结论对特定测度方式的依赖。</w:t>
      </w:r>
    </w:p>
    <w:p>
      <w:pPr>
        <w:pStyle w:val="Normal"/>
        <w:spacing w:line="360" w:lineRule="auto"/>
        <w:ind w:firstLine="480"/>
        <w:jc w:val="both"/>
      </w:pPr>
      <w:r>
        <w:rPr>
          <w:rFonts w:ascii="SimSun" w:cs="SimSun" w:eastAsia="SimSun" w:hAnsi="SimSun"/>
          <w:b w:val="false"/>
          <w:bCs w:val="false"/>
          <w:sz w:val="24"/>
          <w:szCs w:val="24"/>
        </w:rPr>
        <w:t xml:space="preserve">再次，采用倾向得分匹配（PSM）缓解样本选择偏差。以DU_kw是否高于中位数为处理变量，全部控制变量作为匹配协变量，使用最近邻匹配构造匹配样本（N=31,381）。匹配样本上DU_kw的系数为-0.00478（t=-3.70，p&lt;0.001），系数绝对值甚至略大于基准回归。</w:t>
      </w:r>
    </w:p>
    <w:p>
      <w:pPr>
        <w:pStyle w:val="Normal"/>
        <w:spacing w:line="360" w:lineRule="auto"/>
        <w:ind w:firstLine="480"/>
        <w:jc w:val="both"/>
      </w:pPr>
      <w:r>
        <w:rPr>
          <w:rFonts w:ascii="SimSun" w:cs="SimSun" w:eastAsia="SimSun" w:hAnsi="SimSun"/>
          <w:b w:val="false"/>
          <w:bCs w:val="false"/>
          <w:sz w:val="24"/>
          <w:szCs w:val="24"/>
        </w:rPr>
        <w:t xml:space="preserve">最后进行子样本检验。剔除2024年入表新规实施首年的观测后（N=33,878），DU_kw的系数为-0.00503（t=-5.23），不仅保持高度显著且绝对值增大，表明结论并非由政策冲击年份驱动。仅保留主板上市企业（N=29,666），系数为-0.00389（t=-2.40），同样显著为负。</w:t>
      </w:r>
    </w:p>
    <w:p/>
    <w:tbl>
      <w:tblPr>
        <w:tblW w:type="dxa" w:w="8306"/>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rHeight w:val="400" w:hRule="auto"/>
        </w:trPr>
        <w:tc>
          <w:tcPr>
            <w:tcW w:type="dxa" w:w="1384"/>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检验项目</w:t>
            </w:r>
          </w:p>
        </w:tc>
        <w:tc>
          <w:tcPr>
            <w:tcW w:type="dxa" w:w="1384"/>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自变量</w:t>
            </w:r>
          </w:p>
        </w:tc>
        <w:tc>
          <w:tcPr>
            <w:tcW w:type="dxa" w:w="1384"/>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系数</w:t>
            </w:r>
          </w:p>
        </w:tc>
        <w:tc>
          <w:tcPr>
            <w:tcW w:type="dxa" w:w="1384"/>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t值</w:t>
            </w:r>
          </w:p>
        </w:tc>
        <w:tc>
          <w:tcPr>
            <w:tcW w:type="dxa" w:w="1384"/>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p值</w:t>
            </w:r>
          </w:p>
        </w:tc>
        <w:tc>
          <w:tcPr>
            <w:tcW w:type="dxa" w:w="1384"/>
            <w:tcBorders>
              <w:top w:val="single" w:color="CCCCCC" w:sz="4"/>
              <w:left w:val="single" w:color="CCCCCC" w:sz="4"/>
              <w:bottom w:val="single" w:color="CCCCCC" w:sz="4"/>
              <w:right w:val="single" w:color="CCCCCC" w:sz="4"/>
            </w:tcBorders>
            <w:shd w:fill="D9E2F3" w:val="clear"/>
            <w:tcMar>
              <w:top w:type="dxa" w:w="40"/>
              <w:left w:type="dxa" w:w="80"/>
              <w:bottom w:type="dxa" w:w="40"/>
              <w:right w:type="dxa" w:w="80"/>
            </w:tcMar>
            <w:vAlign w:val="center"/>
          </w:tcPr>
          <w:p>
            <w:pPr>
              <w:jc w:val="center"/>
            </w:pPr>
            <w:r>
              <w:t xml:space="preserve">N</w:t>
            </w:r>
          </w:p>
        </w:tc>
      </w:tr>
      <w:tr>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替换DV: SYNCH</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DU_kw</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+0.011</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1.65</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0.099</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29,444</w:t>
            </w:r>
          </w:p>
        </w:tc>
      </w:tr>
      <w:tr>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替换DV: SYNCH</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DU_kw_ln</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+0.015</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2.45</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0.015**</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29,444</w:t>
            </w:r>
          </w:p>
        </w:tc>
      </w:tr>
      <w:tr>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替换DV: SYNCH(Ind+Year)</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DU_kw</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+0.011</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2.32</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0.021**</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29,924</w:t>
            </w:r>
          </w:p>
        </w:tc>
      </w:tr>
      <w:tr>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替换IV: DU_kw_ln</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DU_kw_ln</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-0.00322</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-3.13</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0.002***</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38,614</w:t>
            </w:r>
          </w:p>
        </w:tc>
      </w:tr>
      <w:tr>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PSM匹配</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DU_kw</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-0.00478</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-3.70</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&lt;0.001***</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31,381</w:t>
            </w:r>
          </w:p>
        </w:tc>
      </w:tr>
      <w:tr>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剔除2024年</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DU_kw</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-0.00503</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-5.23</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&lt;0.001***</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33,878</w:t>
            </w:r>
          </w:p>
        </w:tc>
      </w:tr>
      <w:tr>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仅主板样本</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DU_kw</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-0.00389</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-2.40</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0.016**</w:t>
            </w:r>
          </w:p>
        </w:tc>
        <w:tc>
          <w:tcPr>
            <w:tcW w:type="dxa" w:w="1384"/>
            <w:tcBorders>
              <w:top w:val="single" w:color="CCCCCC" w:sz="4"/>
              <w:left w:val="single" w:color="CCCCCC" w:sz="4"/>
              <w:bottom w:val="single" w:color="CCCCCC" w:sz="4"/>
              <w:right w:val="single" w:color="CCCCCC" w:sz="4"/>
            </w:tcBorders>
            <w:tcMar>
              <w:top w:type="dxa" w:w="40"/>
              <w:left w:type="dxa" w:w="80"/>
              <w:bottom w:type="dxa" w:w="40"/>
              <w:right w:type="dxa" w:w="80"/>
            </w:tcMar>
            <w:vAlign w:val="center"/>
          </w:tcPr>
          <w:p>
            <w:pPr>
              <w:jc w:val="center"/>
            </w:pPr>
            <w:r>
              <w:t xml:space="preserve">29,666</w:t>
            </w:r>
          </w:p>
        </w:tc>
      </w:tr>
    </w:tbl>
    <w:p/>
    <w:p>
      <w:pPr>
        <w:pStyle w:val="Normal"/>
        <w:spacing w:line="360" w:lineRule="auto"/>
        <w:ind w:firstLine="480"/>
        <w:jc w:val="both"/>
      </w:pPr>
      <w:r>
        <w:rPr>
          <w:rFonts w:ascii="SimSun" w:cs="SimSun" w:eastAsia="SimSun" w:hAnsi="SimSun"/>
          <w:b w:val="false"/>
          <w:bCs w:val="false"/>
          <w:sz w:val="24"/>
          <w:szCs w:val="24"/>
        </w:rPr>
        <w:t xml:space="preserve">综合以上检验，数据要素利用对资本市场定价效率的正向影响在多重检验下均保持稳健，排除了结论对特定变量度量方式、样本构成和特殊年份的敏感性。</w:t>
      </w:r>
    </w:p>
    <w:p>
      <w:pPr>
        <w:pageBreakBefore/>
      </w:pPr>
    </w:p>
    <w:p>
      <w:pPr>
        <w:pStyle w:val="Heading1"/>
        <w:spacing w:after="240" w:before="360" w:line="360" w:lineRule="auto"/>
        <w:jc w:val="left"/>
      </w:pPr>
      <w:r>
        <w:t xml:space="preserve">八、研究结论与启示</w:t>
      </w:r>
    </w:p>
    <w:p>
      <w:pPr>
        <w:pStyle w:val="Normal"/>
        <w:spacing w:line="360" w:lineRule="auto"/>
        <w:ind w:firstLine="480"/>
        <w:jc w:val="both"/>
      </w:pPr>
      <w:r>
        <w:rPr>
          <w:rFonts w:ascii="SimSun" w:cs="SimSun" w:eastAsia="SimSun" w:hAnsi="SimSun"/>
          <w:b w:val="false"/>
          <w:bCs w:val="false"/>
          <w:sz w:val="24"/>
          <w:szCs w:val="24"/>
        </w:rPr>
        <w:t xml:space="preserve">本文以2012至2024年沪深A股上市公司为样本，基于年报全文五维度关键词分析构建了企业数据要素利用指标，系统考察了数据要素利用对资本市场定价效率的影响及其传导机制。研究发现，企业数据要素利用能力的提升显著降低了股价延迟，即提升了资本定价效率，信息供给效应占据主导地位。这一基本结论在企业与年份双向固定效应、行业与年份固定效应、多种自变量测度、倾向得分匹配以及子样本检验等多重框架下均保持稳健，工具变量估计进一步支持了上述关系的因果解释。机制分析表明，分析师信息中介是核心传导渠道：数据要素利用程度高的企业获得了更多分析师跟踪，分析师的独立研究和广泛传播加速了数据信息向股价的融入。异质性分析中，高分析师覆盖企业的数据要素利用效应高度显著而低覆盖企业的效应消失，与机制检验形成交叉验证。产权性质和行业属性维度在各自分组内均呈现一致的负向效应，表明数据要素利用对定价效率的改善具有跨所有制结构和跨行业的普遍适用性。投资组合层面，低数据利用企业存在显著的负异常收益，表明市场定价偏差主要体现在对信息模糊企业的折价上。</w:t>
      </w:r>
    </w:p>
    <w:p>
      <w:pPr>
        <w:pStyle w:val="Normal"/>
        <w:spacing w:line="360" w:lineRule="auto"/>
        <w:ind w:firstLine="480"/>
        <w:jc w:val="both"/>
      </w:pPr>
      <w:r>
        <w:rPr>
          <w:rFonts w:ascii="SimSun" w:cs="SimSun" w:eastAsia="SimSun" w:hAnsi="SimSun"/>
          <w:b w:val="false"/>
          <w:bCs w:val="false"/>
          <w:sz w:val="24"/>
          <w:szCs w:val="24"/>
        </w:rPr>
        <w:t xml:space="preserve">本文的研究结论具有如下政策启示：（1）应进一步完善数据资产的会计准则体系。数据资产的会计计量偏差是信息模糊效应的根本来源，2024年入表新规的出台是正确方向，但规范化进程中仍需关注企业的适应成本和市场的信息处理效率。建议在现行暂行规定基础上逐步细化数据资产估值指引，降低投资者的解读摩擦。（2）应重视信息中介基础设施的建设。本文的实证结果清晰表明，分析师覆盖是数据信息有效传导的关键渠道，数据披露只有经由活跃的信息中介激活才能有效转化为定价效率的改善。当前多数券商分析师的知识体系以传统财务分析为主，对数据资产的经济逻辑和估值方法的理解可能仍显不足，建议在金融专业教育和券商研究培训中加强数据资产分析的专业化内容，以提升分析师对数据信息的处理能力和传播效率。</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2026-03-03T07:55:54.818Z</dcterms:created>
  <dcterms:modified xsi:type="dcterms:W3CDTF">2026-03-03T07:55:54.818Z</dcterms:modified>
</cp:coreProperties>
</file>

<file path=docProps/custom.xml><?xml version="1.0" encoding="utf-8"?>
<Properties xmlns="http://schemas.openxmlformats.org/officeDocument/2006/custom-properties" xmlns:vt="http://schemas.openxmlformats.org/officeDocument/2006/docPropsVTypes"/>
</file>